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spacing w:before="8"/>
        <w:rPr>
          <w:rFonts w:ascii="Times New Roman"/>
          <w:sz w:val="21"/>
        </w:rPr>
      </w:pPr>
    </w:p>
    <w:p>
      <w:pPr>
        <w:spacing w:before="0"/>
        <w:ind w:left="2850" w:right="0" w:firstLine="0"/>
        <w:jc w:val="left"/>
        <w:rPr>
          <w:rFonts w:ascii="Times New Roman"/>
          <w:b/>
          <w:sz w:val="18"/>
        </w:rPr>
      </w:pPr>
      <w:r>
        <w:rPr/>
        <w:drawing>
          <wp:anchor distT="0" distB="0" distL="0" distR="0" allowOverlap="1" layoutInCell="1" locked="0" behindDoc="0" simplePos="0" relativeHeight="1048">
            <wp:simplePos x="0" y="0"/>
            <wp:positionH relativeFrom="page">
              <wp:posOffset>914400</wp:posOffset>
            </wp:positionH>
            <wp:positionV relativeFrom="paragraph">
              <wp:posOffset>-190470</wp:posOffset>
            </wp:positionV>
            <wp:extent cx="1130808" cy="1138427"/>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130808" cy="1138427"/>
                    </a:xfrm>
                    <a:prstGeom prst="rect">
                      <a:avLst/>
                    </a:prstGeom>
                  </pic:spPr>
                </pic:pic>
              </a:graphicData>
            </a:graphic>
          </wp:anchor>
        </w:drawing>
      </w:r>
      <w:r>
        <w:rPr/>
        <w:pict>
          <v:line style="position:absolute;mso-position-horizontal-relative:page;mso-position-vertical-relative:paragraph;z-index:1072" from="184.080002pt,-23.757681pt" to="184.080002pt,75.242319pt" stroked="true" strokeweight=".48pt" strokecolor="#093365">
            <w10:wrap type="none"/>
          </v:line>
        </w:pict>
      </w:r>
      <w:r>
        <w:rPr>
          <w:rFonts w:ascii="Times New Roman"/>
          <w:b/>
          <w:color w:val="002053"/>
          <w:sz w:val="18"/>
        </w:rPr>
        <w:t>OFFICE OF COMMU NITY DEVELOPMENT</w:t>
      </w:r>
    </w:p>
    <w:p>
      <w:pPr>
        <w:pStyle w:val="BodyText"/>
        <w:rPr>
          <w:rFonts w:ascii="Times New Roman"/>
          <w:b/>
          <w:sz w:val="18"/>
        </w:rPr>
      </w:pPr>
    </w:p>
    <w:p>
      <w:pPr>
        <w:spacing w:before="107"/>
        <w:ind w:left="2849" w:right="0" w:firstLine="0"/>
        <w:jc w:val="left"/>
        <w:rPr>
          <w:rFonts w:ascii="Times New Roman"/>
          <w:sz w:val="18"/>
        </w:rPr>
      </w:pPr>
      <w:r>
        <w:rPr>
          <w:rFonts w:ascii="Times New Roman"/>
          <w:color w:val="002053"/>
          <w:sz w:val="18"/>
        </w:rPr>
        <w:t>CITY HALL</w:t>
      </w:r>
    </w:p>
    <w:p>
      <w:pPr>
        <w:spacing w:before="95"/>
        <w:ind w:left="2845" w:right="0" w:firstLine="0"/>
        <w:jc w:val="left"/>
        <w:rPr>
          <w:rFonts w:ascii="Times New Roman" w:hAnsi="Times New Roman"/>
          <w:sz w:val="18"/>
        </w:rPr>
      </w:pPr>
      <w:r>
        <w:rPr>
          <w:rFonts w:ascii="Times New Roman" w:hAnsi="Times New Roman"/>
          <w:color w:val="002053"/>
          <w:sz w:val="18"/>
        </w:rPr>
        <w:t>10300 TORRE AVENUE •  CUPERTINO, CA 95014-3255</w:t>
      </w:r>
    </w:p>
    <w:p>
      <w:pPr>
        <w:spacing w:before="98"/>
        <w:ind w:left="2845" w:right="0" w:firstLine="0"/>
        <w:jc w:val="left"/>
        <w:rPr>
          <w:rFonts w:ascii="Times New Roman" w:hAnsi="Times New Roman"/>
          <w:sz w:val="18"/>
        </w:rPr>
      </w:pPr>
      <w:r>
        <w:rPr>
          <w:rFonts w:ascii="Times New Roman" w:hAnsi="Times New Roman"/>
          <w:color w:val="002053"/>
          <w:sz w:val="18"/>
        </w:rPr>
        <w:t>(408) 777-3308 • FAX (408) 777-3333 •  </w:t>
      </w:r>
      <w:hyperlink r:id="rId6">
        <w:r>
          <w:rPr>
            <w:rFonts w:ascii="Times New Roman" w:hAnsi="Times New Roman"/>
            <w:color w:val="003366"/>
            <w:sz w:val="18"/>
            <w:u w:val="single" w:color="003366"/>
          </w:rPr>
          <w:t>planning@cupertino.org</w:t>
        </w:r>
      </w:hyperlink>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Heading1"/>
        <w:spacing w:before="105"/>
        <w:ind w:left="2241" w:right="2258"/>
        <w:jc w:val="center"/>
      </w:pPr>
      <w:r>
        <w:rPr/>
        <w:t>PLANNING COMMISSION STAFF REPORT</w:t>
      </w:r>
    </w:p>
    <w:p>
      <w:pPr>
        <w:pStyle w:val="BodyText"/>
        <w:rPr>
          <w:b/>
          <w:sz w:val="20"/>
        </w:rPr>
      </w:pPr>
    </w:p>
    <w:p>
      <w:pPr>
        <w:tabs>
          <w:tab w:pos="6159" w:val="left" w:leader="none"/>
        </w:tabs>
        <w:spacing w:before="174"/>
        <w:ind w:left="100" w:right="0" w:firstLine="0"/>
        <w:jc w:val="left"/>
        <w:rPr>
          <w:sz w:val="24"/>
        </w:rPr>
      </w:pPr>
      <w:r>
        <w:rPr/>
        <w:pict>
          <v:line style="position:absolute;mso-position-horizontal-relative:page;mso-position-vertical-relative:paragraph;z-index:-5032" from="165.720001pt,22.857639pt" to="168.720001pt,22.857639pt" stroked="true" strokeweight=".72pt" strokecolor="#000000">
            <w10:wrap type="none"/>
          </v:line>
        </w:pict>
      </w:r>
      <w:r>
        <w:rPr>
          <w:b/>
          <w:sz w:val="24"/>
        </w:rPr>
        <w:t>Agenda Item No.</w:t>
        <w:tab/>
        <w:t>Agenda Date: </w:t>
      </w:r>
      <w:r>
        <w:rPr>
          <w:sz w:val="24"/>
          <w:u w:val="single"/>
        </w:rPr>
        <w:t>October 25,</w:t>
      </w:r>
      <w:r>
        <w:rPr>
          <w:spacing w:val="-1"/>
          <w:sz w:val="24"/>
          <w:u w:val="single"/>
        </w:rPr>
        <w:t> </w:t>
      </w:r>
      <w:r>
        <w:rPr>
          <w:sz w:val="24"/>
          <w:u w:val="single"/>
        </w:rPr>
        <w:t>2016</w:t>
      </w:r>
    </w:p>
    <w:p>
      <w:pPr>
        <w:pStyle w:val="BodyText"/>
        <w:rPr>
          <w:sz w:val="20"/>
        </w:rPr>
      </w:pPr>
    </w:p>
    <w:p>
      <w:pPr>
        <w:pStyle w:val="BodyText"/>
        <w:spacing w:before="3"/>
        <w:rPr>
          <w:sz w:val="19"/>
        </w:rPr>
      </w:pPr>
    </w:p>
    <w:p>
      <w:pPr>
        <w:pStyle w:val="Heading1"/>
        <w:spacing w:before="35"/>
        <w:ind w:left="100"/>
      </w:pPr>
      <w:r>
        <w:rPr/>
        <w:t>SUBJECT:</w:t>
      </w:r>
    </w:p>
    <w:p>
      <w:pPr>
        <w:pStyle w:val="BodyText"/>
        <w:spacing w:before="120"/>
        <w:ind w:left="100" w:right="115"/>
        <w:jc w:val="both"/>
      </w:pPr>
      <w:r>
        <w:rPr/>
        <w:t>An Ordinance of the City Council of the City of Cupertino amending Title 19, Zoning,</w:t>
      </w:r>
      <w:r>
        <w:rPr>
          <w:spacing w:val="-14"/>
        </w:rPr>
        <w:t> </w:t>
      </w:r>
      <w:r>
        <w:rPr/>
        <w:t>of the Cupertino Municipal Code including but not limited to Chapter 19.08 (Definitions), Chapter</w:t>
      </w:r>
      <w:r>
        <w:rPr>
          <w:spacing w:val="-11"/>
        </w:rPr>
        <w:t> </w:t>
      </w:r>
      <w:r>
        <w:rPr/>
        <w:t>19.20</w:t>
      </w:r>
      <w:r>
        <w:rPr>
          <w:spacing w:val="-12"/>
        </w:rPr>
        <w:t> </w:t>
      </w:r>
      <w:r>
        <w:rPr/>
        <w:t>(Permitted,</w:t>
      </w:r>
      <w:r>
        <w:rPr>
          <w:spacing w:val="-16"/>
        </w:rPr>
        <w:t> </w:t>
      </w:r>
      <w:r>
        <w:rPr/>
        <w:t>Conditional</w:t>
      </w:r>
      <w:r>
        <w:rPr>
          <w:spacing w:val="-16"/>
        </w:rPr>
        <w:t> </w:t>
      </w:r>
      <w:r>
        <w:rPr/>
        <w:t>and</w:t>
      </w:r>
      <w:r>
        <w:rPr>
          <w:spacing w:val="-13"/>
        </w:rPr>
        <w:t> </w:t>
      </w:r>
      <w:r>
        <w:rPr/>
        <w:t>Excluded</w:t>
      </w:r>
      <w:r>
        <w:rPr>
          <w:spacing w:val="-14"/>
        </w:rPr>
        <w:t> </w:t>
      </w:r>
      <w:r>
        <w:rPr/>
        <w:t>Uses</w:t>
      </w:r>
      <w:r>
        <w:rPr>
          <w:spacing w:val="-11"/>
        </w:rPr>
        <w:t> </w:t>
      </w:r>
      <w:r>
        <w:rPr/>
        <w:t>in</w:t>
      </w:r>
      <w:r>
        <w:rPr>
          <w:spacing w:val="-15"/>
        </w:rPr>
        <w:t> </w:t>
      </w:r>
      <w:r>
        <w:rPr/>
        <w:t>Agricultural</w:t>
      </w:r>
      <w:r>
        <w:rPr>
          <w:spacing w:val="-11"/>
        </w:rPr>
        <w:t> </w:t>
      </w:r>
      <w:r>
        <w:rPr/>
        <w:t>and</w:t>
      </w:r>
      <w:r>
        <w:rPr>
          <w:spacing w:val="-13"/>
        </w:rPr>
        <w:t> </w:t>
      </w:r>
      <w:r>
        <w:rPr/>
        <w:t>Residential Zones), Chapter 19.24 (Agricultural (A) and Agricultural – Residential (A-1) Zones), Chapter 19.32 (Residential Duplex (R-2) Zones), Chapter 19.52 (Reasonable Accommodation), and Chapter 19.112 (Second Dwelling Units in R-1, RHS, A and A-1 Zones), in response to recently adopted State legislation regarding accessory dwelling units for compliance with State Law, and for internal consistency. (Application No. MCA-2016-05; Applicant: City of Cupertino; Location:</w:t>
      </w:r>
      <w:r>
        <w:rPr>
          <w:spacing w:val="-4"/>
        </w:rPr>
        <w:t> </w:t>
      </w:r>
      <w:r>
        <w:rPr/>
        <w:t>City-wide)</w:t>
      </w:r>
    </w:p>
    <w:p>
      <w:pPr>
        <w:pStyle w:val="BodyText"/>
        <w:spacing w:before="8"/>
        <w:rPr>
          <w:sz w:val="17"/>
        </w:rPr>
      </w:pPr>
    </w:p>
    <w:p>
      <w:pPr>
        <w:pStyle w:val="Heading1"/>
        <w:ind w:left="100"/>
      </w:pPr>
      <w:r>
        <w:rPr/>
        <w:t>RECOMMENDATION</w:t>
      </w:r>
    </w:p>
    <w:p>
      <w:pPr>
        <w:pStyle w:val="BodyText"/>
        <w:spacing w:before="122"/>
        <w:ind w:left="100"/>
        <w:jc w:val="both"/>
      </w:pPr>
      <w:r>
        <w:rPr/>
        <w:t>Staff recommends that the Planning Commission recommend that the City Council:</w:t>
      </w:r>
    </w:p>
    <w:p>
      <w:pPr>
        <w:pStyle w:val="BodyText"/>
        <w:spacing w:before="2"/>
        <w:rPr>
          <w:sz w:val="29"/>
        </w:rPr>
      </w:pPr>
    </w:p>
    <w:p>
      <w:pPr>
        <w:pStyle w:val="ListParagraph"/>
        <w:numPr>
          <w:ilvl w:val="0"/>
          <w:numId w:val="1"/>
        </w:numPr>
        <w:tabs>
          <w:tab w:pos="460" w:val="left" w:leader="none"/>
        </w:tabs>
        <w:spacing w:line="240" w:lineRule="auto" w:before="0" w:after="0"/>
        <w:ind w:left="460" w:right="0" w:hanging="360"/>
        <w:jc w:val="both"/>
        <w:rPr>
          <w:sz w:val="24"/>
        </w:rPr>
      </w:pPr>
      <w:r>
        <w:rPr>
          <w:sz w:val="24"/>
        </w:rPr>
        <w:t>Find that the proposed actions are exempt from CEQA; </w:t>
      </w:r>
      <w:r>
        <w:rPr>
          <w:spacing w:val="59"/>
          <w:sz w:val="24"/>
        </w:rPr>
        <w:t> </w:t>
      </w:r>
      <w:r>
        <w:rPr>
          <w:sz w:val="24"/>
        </w:rPr>
        <w:t>and</w:t>
      </w:r>
    </w:p>
    <w:p>
      <w:pPr>
        <w:pStyle w:val="ListParagraph"/>
        <w:numPr>
          <w:ilvl w:val="0"/>
          <w:numId w:val="1"/>
        </w:numPr>
        <w:tabs>
          <w:tab w:pos="460" w:val="left" w:leader="none"/>
        </w:tabs>
        <w:spacing w:line="240" w:lineRule="auto" w:before="120" w:after="0"/>
        <w:ind w:left="460" w:right="111" w:hanging="360"/>
        <w:jc w:val="both"/>
        <w:rPr>
          <w:sz w:val="24"/>
        </w:rPr>
      </w:pPr>
      <w:r>
        <w:rPr>
          <w:sz w:val="24"/>
        </w:rPr>
        <w:t>Adopt an ordinance amending Title 19, Zoning, of the Cupertino Municipal Code including but not limited to Chapter 19.08 (Definitions), Chapter 19.20 (Permitted, Conditional</w:t>
      </w:r>
      <w:r>
        <w:rPr>
          <w:spacing w:val="-9"/>
          <w:sz w:val="24"/>
        </w:rPr>
        <w:t> </w:t>
      </w:r>
      <w:r>
        <w:rPr>
          <w:sz w:val="24"/>
        </w:rPr>
        <w:t>and</w:t>
      </w:r>
      <w:r>
        <w:rPr>
          <w:spacing w:val="-8"/>
          <w:sz w:val="24"/>
        </w:rPr>
        <w:t> </w:t>
      </w:r>
      <w:r>
        <w:rPr>
          <w:sz w:val="24"/>
        </w:rPr>
        <w:t>Excluded</w:t>
      </w:r>
      <w:r>
        <w:rPr>
          <w:spacing w:val="-7"/>
          <w:sz w:val="24"/>
        </w:rPr>
        <w:t> </w:t>
      </w:r>
      <w:r>
        <w:rPr>
          <w:sz w:val="24"/>
        </w:rPr>
        <w:t>Uses</w:t>
      </w:r>
      <w:r>
        <w:rPr>
          <w:spacing w:val="-9"/>
          <w:sz w:val="24"/>
        </w:rPr>
        <w:t> </w:t>
      </w:r>
      <w:r>
        <w:rPr>
          <w:sz w:val="24"/>
        </w:rPr>
        <w:t>in</w:t>
      </w:r>
      <w:r>
        <w:rPr>
          <w:spacing w:val="-11"/>
          <w:sz w:val="24"/>
        </w:rPr>
        <w:t> </w:t>
      </w:r>
      <w:r>
        <w:rPr>
          <w:sz w:val="24"/>
        </w:rPr>
        <w:t>Agricultural</w:t>
      </w:r>
      <w:r>
        <w:rPr>
          <w:spacing w:val="-6"/>
          <w:sz w:val="24"/>
        </w:rPr>
        <w:t> </w:t>
      </w:r>
      <w:r>
        <w:rPr>
          <w:sz w:val="24"/>
        </w:rPr>
        <w:t>and</w:t>
      </w:r>
      <w:r>
        <w:rPr>
          <w:spacing w:val="-8"/>
          <w:sz w:val="24"/>
        </w:rPr>
        <w:t> </w:t>
      </w:r>
      <w:r>
        <w:rPr>
          <w:sz w:val="24"/>
        </w:rPr>
        <w:t>Residential</w:t>
      </w:r>
      <w:r>
        <w:rPr>
          <w:spacing w:val="-11"/>
          <w:sz w:val="24"/>
        </w:rPr>
        <w:t> </w:t>
      </w:r>
      <w:r>
        <w:rPr>
          <w:sz w:val="24"/>
        </w:rPr>
        <w:t>Zones),</w:t>
      </w:r>
      <w:r>
        <w:rPr>
          <w:spacing w:val="-8"/>
          <w:sz w:val="24"/>
        </w:rPr>
        <w:t> </w:t>
      </w:r>
      <w:r>
        <w:rPr>
          <w:sz w:val="24"/>
        </w:rPr>
        <w:t>Chapter</w:t>
      </w:r>
      <w:r>
        <w:rPr>
          <w:spacing w:val="-6"/>
          <w:sz w:val="24"/>
        </w:rPr>
        <w:t> </w:t>
      </w:r>
      <w:r>
        <w:rPr>
          <w:sz w:val="24"/>
        </w:rPr>
        <w:t>19.24 (Agricultural (A) and Agricultural – Residential (A-1) Zones), Chapter 19.32 (Residential Duplex (R-2) Zones), Chapter 19.52 (Reasonable Accommodation), and Chapter</w:t>
      </w:r>
      <w:r>
        <w:rPr>
          <w:spacing w:val="-1"/>
          <w:sz w:val="24"/>
        </w:rPr>
        <w:t> </w:t>
      </w:r>
      <w:r>
        <w:rPr>
          <w:sz w:val="24"/>
        </w:rPr>
        <w:t>19.112</w:t>
      </w:r>
      <w:r>
        <w:rPr>
          <w:spacing w:val="-9"/>
          <w:sz w:val="24"/>
        </w:rPr>
        <w:t> </w:t>
      </w:r>
      <w:r>
        <w:rPr>
          <w:sz w:val="24"/>
        </w:rPr>
        <w:t>(Second</w:t>
      </w:r>
      <w:r>
        <w:rPr>
          <w:spacing w:val="-8"/>
          <w:sz w:val="24"/>
        </w:rPr>
        <w:t> </w:t>
      </w:r>
      <w:r>
        <w:rPr>
          <w:sz w:val="24"/>
        </w:rPr>
        <w:t>Dwelling</w:t>
      </w:r>
      <w:r>
        <w:rPr>
          <w:spacing w:val="-8"/>
          <w:sz w:val="24"/>
        </w:rPr>
        <w:t> </w:t>
      </w:r>
      <w:r>
        <w:rPr>
          <w:sz w:val="24"/>
        </w:rPr>
        <w:t>Units</w:t>
      </w:r>
      <w:r>
        <w:rPr>
          <w:spacing w:val="-2"/>
          <w:sz w:val="24"/>
        </w:rPr>
        <w:t> </w:t>
      </w:r>
      <w:r>
        <w:rPr>
          <w:spacing w:val="-3"/>
          <w:sz w:val="24"/>
        </w:rPr>
        <w:t>in</w:t>
      </w:r>
      <w:r>
        <w:rPr>
          <w:spacing w:val="-7"/>
          <w:sz w:val="24"/>
        </w:rPr>
        <w:t> </w:t>
      </w:r>
      <w:r>
        <w:rPr>
          <w:sz w:val="24"/>
        </w:rPr>
        <w:t>R-1,</w:t>
      </w:r>
      <w:r>
        <w:rPr>
          <w:spacing w:val="-1"/>
          <w:sz w:val="24"/>
        </w:rPr>
        <w:t> </w:t>
      </w:r>
      <w:r>
        <w:rPr>
          <w:sz w:val="24"/>
        </w:rPr>
        <w:t>RHS,</w:t>
      </w:r>
      <w:r>
        <w:rPr>
          <w:spacing w:val="-8"/>
          <w:sz w:val="24"/>
        </w:rPr>
        <w:t> </w:t>
      </w:r>
      <w:r>
        <w:rPr>
          <w:sz w:val="24"/>
        </w:rPr>
        <w:t>A</w:t>
      </w:r>
      <w:r>
        <w:rPr>
          <w:spacing w:val="-1"/>
          <w:sz w:val="24"/>
        </w:rPr>
        <w:t> </w:t>
      </w:r>
      <w:r>
        <w:rPr>
          <w:sz w:val="24"/>
        </w:rPr>
        <w:t>and</w:t>
      </w:r>
      <w:r>
        <w:rPr>
          <w:spacing w:val="-6"/>
          <w:sz w:val="24"/>
        </w:rPr>
        <w:t> </w:t>
      </w:r>
      <w:r>
        <w:rPr>
          <w:sz w:val="24"/>
        </w:rPr>
        <w:t>A-1</w:t>
      </w:r>
      <w:r>
        <w:rPr>
          <w:spacing w:val="-1"/>
          <w:sz w:val="24"/>
        </w:rPr>
        <w:t> </w:t>
      </w:r>
      <w:r>
        <w:rPr>
          <w:sz w:val="24"/>
        </w:rPr>
        <w:t>Zones),</w:t>
      </w:r>
      <w:r>
        <w:rPr>
          <w:spacing w:val="-2"/>
          <w:sz w:val="24"/>
        </w:rPr>
        <w:t> </w:t>
      </w:r>
      <w:r>
        <w:rPr>
          <w:spacing w:val="-3"/>
          <w:sz w:val="24"/>
        </w:rPr>
        <w:t>in</w:t>
      </w:r>
      <w:r>
        <w:rPr>
          <w:spacing w:val="-7"/>
          <w:sz w:val="24"/>
        </w:rPr>
        <w:t> </w:t>
      </w:r>
      <w:r>
        <w:rPr>
          <w:sz w:val="24"/>
        </w:rPr>
        <w:t>response</w:t>
      </w:r>
      <w:r>
        <w:rPr>
          <w:spacing w:val="-1"/>
          <w:sz w:val="24"/>
        </w:rPr>
        <w:t> </w:t>
      </w:r>
      <w:r>
        <w:rPr>
          <w:sz w:val="24"/>
        </w:rPr>
        <w:t>to recently adopted State legislation regarding accessory dwelling units for compliance with State Law, and for internal consistency.  (Attachment</w:t>
      </w:r>
      <w:r>
        <w:rPr>
          <w:spacing w:val="-4"/>
          <w:sz w:val="24"/>
        </w:rPr>
        <w:t> </w:t>
      </w:r>
      <w:r>
        <w:rPr>
          <w:sz w:val="24"/>
        </w:rPr>
        <w:t>A).</w:t>
      </w:r>
    </w:p>
    <w:p>
      <w:pPr>
        <w:spacing w:after="0" w:line="240" w:lineRule="auto"/>
        <w:jc w:val="both"/>
        <w:rPr>
          <w:sz w:val="24"/>
        </w:rPr>
        <w:sectPr>
          <w:type w:val="continuous"/>
          <w:pgSz w:w="12240" w:h="15840"/>
          <w:pgMar w:top="1260" w:bottom="280" w:left="1340" w:right="1320"/>
        </w:sectPr>
      </w:pPr>
    </w:p>
    <w:p>
      <w:pPr>
        <w:pStyle w:val="BodyText"/>
        <w:spacing w:before="1"/>
        <w:rPr>
          <w:sz w:val="13"/>
        </w:rPr>
      </w:pPr>
    </w:p>
    <w:p>
      <w:pPr>
        <w:pStyle w:val="Heading1"/>
        <w:spacing w:before="35"/>
      </w:pPr>
      <w:r>
        <w:rPr/>
        <w:t>DISCUSSION</w:t>
      </w:r>
    </w:p>
    <w:p>
      <w:pPr>
        <w:pStyle w:val="BodyText"/>
        <w:spacing w:before="2"/>
        <w:rPr>
          <w:b/>
          <w:sz w:val="18"/>
        </w:rPr>
      </w:pPr>
    </w:p>
    <w:p>
      <w:pPr>
        <w:pStyle w:val="Heading2"/>
        <w:rPr>
          <w:i/>
        </w:rPr>
      </w:pPr>
      <w:r>
        <w:rPr>
          <w:i/>
        </w:rPr>
        <w:t>Background</w:t>
      </w:r>
    </w:p>
    <w:p>
      <w:pPr>
        <w:pStyle w:val="BodyText"/>
        <w:spacing w:before="118"/>
        <w:ind w:left="140"/>
        <w:jc w:val="both"/>
      </w:pPr>
      <w:r>
        <w:rPr/>
        <w:t>On September 27, 2016, Governor</w:t>
      </w:r>
      <w:r>
        <w:rPr>
          <w:spacing w:val="50"/>
        </w:rPr>
        <w:t> </w:t>
      </w:r>
      <w:r>
        <w:rPr/>
        <w:t>Brown signed Senate Bill 1069, amending Section</w:t>
      </w:r>
    </w:p>
    <w:p>
      <w:pPr>
        <w:pStyle w:val="ListParagraph"/>
        <w:numPr>
          <w:ilvl w:val="0"/>
          <w:numId w:val="2"/>
        </w:numPr>
        <w:tabs>
          <w:tab w:pos="1021" w:val="left" w:leader="none"/>
        </w:tabs>
        <w:spacing w:line="240" w:lineRule="auto" w:before="0" w:after="0"/>
        <w:ind w:left="140" w:right="141" w:firstLine="0"/>
        <w:jc w:val="left"/>
        <w:rPr>
          <w:sz w:val="24"/>
        </w:rPr>
      </w:pPr>
      <w:r>
        <w:rPr>
          <w:sz w:val="24"/>
        </w:rPr>
        <w:t>of the Government Code, reducing requirements that local jurisdictions may impose on accessory dwelling units and streamlining the approval</w:t>
      </w:r>
      <w:r>
        <w:rPr>
          <w:spacing w:val="-2"/>
          <w:sz w:val="24"/>
        </w:rPr>
        <w:t> </w:t>
      </w:r>
      <w:r>
        <w:rPr>
          <w:sz w:val="24"/>
        </w:rPr>
        <w:t>process.</w:t>
      </w:r>
    </w:p>
    <w:p>
      <w:pPr>
        <w:pStyle w:val="BodyText"/>
        <w:spacing w:before="11"/>
        <w:rPr>
          <w:sz w:val="23"/>
        </w:rPr>
      </w:pPr>
    </w:p>
    <w:p>
      <w:pPr>
        <w:pStyle w:val="BodyText"/>
        <w:ind w:left="140" w:right="135"/>
        <w:jc w:val="both"/>
      </w:pPr>
      <w:r>
        <w:rPr/>
        <w:t>In order to ensure that the Municipal Code conforms to state law, the following</w:t>
      </w:r>
      <w:r>
        <w:rPr>
          <w:spacing w:val="-17"/>
        </w:rPr>
        <w:t> </w:t>
      </w:r>
      <w:r>
        <w:rPr/>
        <w:t>chapters have been identified in the Zoning Code for revisions to reflect the amendment in the Government</w:t>
      </w:r>
      <w:r>
        <w:rPr>
          <w:spacing w:val="-1"/>
        </w:rPr>
        <w:t> </w:t>
      </w:r>
      <w:r>
        <w:rPr/>
        <w:t>Code:</w:t>
      </w:r>
    </w:p>
    <w:p>
      <w:pPr>
        <w:pStyle w:val="ListParagraph"/>
        <w:numPr>
          <w:ilvl w:val="1"/>
          <w:numId w:val="2"/>
        </w:numPr>
        <w:tabs>
          <w:tab w:pos="860" w:val="left" w:leader="none"/>
        </w:tabs>
        <w:spacing w:line="240" w:lineRule="auto" w:before="0" w:after="0"/>
        <w:ind w:left="860" w:right="0" w:hanging="360"/>
        <w:jc w:val="left"/>
        <w:rPr>
          <w:sz w:val="24"/>
        </w:rPr>
      </w:pPr>
      <w:r>
        <w:rPr>
          <w:sz w:val="24"/>
        </w:rPr>
        <w:t>Chapter 19.08 – Definitions: State Law consistency,</w:t>
      </w:r>
      <w:r>
        <w:rPr>
          <w:spacing w:val="-4"/>
          <w:sz w:val="24"/>
        </w:rPr>
        <w:t> </w:t>
      </w:r>
      <w:r>
        <w:rPr>
          <w:sz w:val="24"/>
        </w:rPr>
        <w:t>clarifications</w:t>
      </w:r>
    </w:p>
    <w:p>
      <w:pPr>
        <w:pStyle w:val="ListParagraph"/>
        <w:numPr>
          <w:ilvl w:val="1"/>
          <w:numId w:val="2"/>
        </w:numPr>
        <w:tabs>
          <w:tab w:pos="860" w:val="left" w:leader="none"/>
        </w:tabs>
        <w:spacing w:line="240" w:lineRule="auto" w:before="0" w:after="0"/>
        <w:ind w:left="860" w:right="141" w:hanging="360"/>
        <w:jc w:val="left"/>
        <w:rPr>
          <w:sz w:val="24"/>
        </w:rPr>
      </w:pPr>
      <w:r>
        <w:rPr>
          <w:sz w:val="24"/>
        </w:rPr>
        <w:t>Chapter 19.20 - Permitted, Conditional and Excluded Uses in Agricultural and Residential Zones: Consistency</w:t>
      </w:r>
    </w:p>
    <w:p>
      <w:pPr>
        <w:pStyle w:val="ListParagraph"/>
        <w:numPr>
          <w:ilvl w:val="1"/>
          <w:numId w:val="2"/>
        </w:numPr>
        <w:tabs>
          <w:tab w:pos="860" w:val="left" w:leader="none"/>
        </w:tabs>
        <w:spacing w:line="240" w:lineRule="auto" w:before="0" w:after="0"/>
        <w:ind w:left="860" w:right="142" w:hanging="360"/>
        <w:jc w:val="left"/>
        <w:rPr>
          <w:sz w:val="24"/>
        </w:rPr>
      </w:pPr>
      <w:r>
        <w:rPr>
          <w:sz w:val="24"/>
        </w:rPr>
        <w:t>Chapter 19.24 - Agricultural (A) and Agricultural – Residential (A-1) Zones: Consistency</w:t>
      </w:r>
    </w:p>
    <w:p>
      <w:pPr>
        <w:pStyle w:val="ListParagraph"/>
        <w:numPr>
          <w:ilvl w:val="1"/>
          <w:numId w:val="2"/>
        </w:numPr>
        <w:tabs>
          <w:tab w:pos="860" w:val="left" w:leader="none"/>
        </w:tabs>
        <w:spacing w:line="240" w:lineRule="auto" w:before="2" w:after="0"/>
        <w:ind w:left="860" w:right="0" w:hanging="360"/>
        <w:jc w:val="left"/>
        <w:rPr>
          <w:sz w:val="24"/>
        </w:rPr>
      </w:pPr>
      <w:r>
        <w:rPr>
          <w:sz w:val="24"/>
        </w:rPr>
        <w:t>Chapter 19.32 - Residential Duplex Zones: Consistency</w:t>
      </w:r>
    </w:p>
    <w:p>
      <w:pPr>
        <w:pStyle w:val="ListParagraph"/>
        <w:numPr>
          <w:ilvl w:val="1"/>
          <w:numId w:val="2"/>
        </w:numPr>
        <w:tabs>
          <w:tab w:pos="860" w:val="left" w:leader="none"/>
        </w:tabs>
        <w:spacing w:line="240" w:lineRule="auto" w:before="46" w:after="0"/>
        <w:ind w:left="860" w:right="0" w:hanging="360"/>
        <w:jc w:val="left"/>
        <w:rPr>
          <w:sz w:val="24"/>
        </w:rPr>
      </w:pPr>
      <w:r>
        <w:rPr>
          <w:sz w:val="24"/>
        </w:rPr>
        <w:t>Chapter 19.52 - Reasonable Accommodation:</w:t>
      </w:r>
      <w:r>
        <w:rPr>
          <w:spacing w:val="-7"/>
          <w:sz w:val="24"/>
        </w:rPr>
        <w:t> </w:t>
      </w:r>
      <w:r>
        <w:rPr>
          <w:sz w:val="24"/>
        </w:rPr>
        <w:t>Consistency</w:t>
      </w:r>
    </w:p>
    <w:p>
      <w:pPr>
        <w:pStyle w:val="ListParagraph"/>
        <w:numPr>
          <w:ilvl w:val="1"/>
          <w:numId w:val="2"/>
        </w:numPr>
        <w:tabs>
          <w:tab w:pos="860" w:val="left" w:leader="none"/>
        </w:tabs>
        <w:spacing w:line="240" w:lineRule="auto" w:before="0" w:after="0"/>
        <w:ind w:left="860" w:right="135" w:hanging="360"/>
        <w:jc w:val="left"/>
        <w:rPr>
          <w:sz w:val="24"/>
        </w:rPr>
      </w:pPr>
      <w:r>
        <w:rPr>
          <w:sz w:val="24"/>
        </w:rPr>
        <w:t>Chapter 19.112 - Second Dwelling Units in R-1, RHS, A and A-1 Zones: State Law consistency,</w:t>
      </w:r>
      <w:r>
        <w:rPr>
          <w:spacing w:val="-1"/>
          <w:sz w:val="24"/>
        </w:rPr>
        <w:t> </w:t>
      </w:r>
      <w:r>
        <w:rPr>
          <w:sz w:val="24"/>
        </w:rPr>
        <w:t>clarifications</w:t>
      </w:r>
    </w:p>
    <w:p>
      <w:pPr>
        <w:pStyle w:val="BodyText"/>
        <w:spacing w:before="10"/>
        <w:rPr>
          <w:sz w:val="17"/>
        </w:rPr>
      </w:pPr>
    </w:p>
    <w:p>
      <w:pPr>
        <w:pStyle w:val="BodyText"/>
        <w:spacing w:before="1"/>
        <w:ind w:left="140" w:right="128"/>
      </w:pPr>
      <w:r>
        <w:rPr/>
        <w:t>In</w:t>
      </w:r>
      <w:r>
        <w:rPr>
          <w:spacing w:val="-11"/>
        </w:rPr>
        <w:t> </w:t>
      </w:r>
      <w:r>
        <w:rPr/>
        <w:t>addition</w:t>
      </w:r>
      <w:r>
        <w:rPr>
          <w:spacing w:val="-12"/>
        </w:rPr>
        <w:t> </w:t>
      </w:r>
      <w:r>
        <w:rPr/>
        <w:t>to</w:t>
      </w:r>
      <w:r>
        <w:rPr>
          <w:spacing w:val="-8"/>
        </w:rPr>
        <w:t> </w:t>
      </w:r>
      <w:r>
        <w:rPr/>
        <w:t>ensure</w:t>
      </w:r>
      <w:r>
        <w:rPr>
          <w:spacing w:val="-8"/>
        </w:rPr>
        <w:t> </w:t>
      </w:r>
      <w:r>
        <w:rPr/>
        <w:t>consistency</w:t>
      </w:r>
      <w:r>
        <w:rPr>
          <w:spacing w:val="-11"/>
        </w:rPr>
        <w:t> </w:t>
      </w:r>
      <w:r>
        <w:rPr/>
        <w:t>with</w:t>
      </w:r>
      <w:r>
        <w:rPr>
          <w:spacing w:val="-8"/>
        </w:rPr>
        <w:t> </w:t>
      </w:r>
      <w:r>
        <w:rPr/>
        <w:t>state</w:t>
      </w:r>
      <w:r>
        <w:rPr>
          <w:spacing w:val="-9"/>
        </w:rPr>
        <w:t> </w:t>
      </w:r>
      <w:r>
        <w:rPr/>
        <w:t>law,</w:t>
      </w:r>
      <w:r>
        <w:rPr>
          <w:spacing w:val="-11"/>
        </w:rPr>
        <w:t> </w:t>
      </w:r>
      <w:r>
        <w:rPr/>
        <w:t>minor</w:t>
      </w:r>
      <w:r>
        <w:rPr>
          <w:spacing w:val="-9"/>
        </w:rPr>
        <w:t> </w:t>
      </w:r>
      <w:r>
        <w:rPr/>
        <w:t>amendments</w:t>
      </w:r>
      <w:r>
        <w:rPr>
          <w:spacing w:val="-7"/>
        </w:rPr>
        <w:t> </w:t>
      </w:r>
      <w:r>
        <w:rPr/>
        <w:t>have</w:t>
      </w:r>
      <w:r>
        <w:rPr>
          <w:spacing w:val="-9"/>
        </w:rPr>
        <w:t> </w:t>
      </w:r>
      <w:r>
        <w:rPr/>
        <w:t>been</w:t>
      </w:r>
      <w:r>
        <w:rPr>
          <w:spacing w:val="-11"/>
        </w:rPr>
        <w:t> </w:t>
      </w:r>
      <w:r>
        <w:rPr/>
        <w:t>proposed to ensure internal consistency and as</w:t>
      </w:r>
      <w:r>
        <w:rPr>
          <w:spacing w:val="-1"/>
        </w:rPr>
        <w:t> </w:t>
      </w:r>
      <w:r>
        <w:rPr/>
        <w:t>clarifications.</w:t>
      </w:r>
    </w:p>
    <w:p>
      <w:pPr>
        <w:pStyle w:val="BodyText"/>
        <w:spacing w:before="10"/>
        <w:rPr>
          <w:sz w:val="17"/>
        </w:rPr>
      </w:pPr>
    </w:p>
    <w:p>
      <w:pPr>
        <w:pStyle w:val="Heading2"/>
        <w:spacing w:before="1"/>
        <w:rPr>
          <w:i/>
        </w:rPr>
      </w:pPr>
      <w:r>
        <w:rPr>
          <w:i/>
        </w:rPr>
        <w:t>Analysis</w:t>
      </w:r>
    </w:p>
    <w:p>
      <w:pPr>
        <w:pStyle w:val="BodyText"/>
        <w:spacing w:before="8"/>
        <w:rPr>
          <w:b/>
          <w:i/>
          <w:sz w:val="17"/>
        </w:rPr>
      </w:pPr>
    </w:p>
    <w:p>
      <w:pPr>
        <w:spacing w:before="0"/>
        <w:ind w:left="140" w:right="0" w:firstLine="0"/>
        <w:jc w:val="both"/>
        <w:rPr>
          <w:i/>
          <w:sz w:val="24"/>
        </w:rPr>
      </w:pPr>
      <w:r>
        <w:rPr>
          <w:i/>
          <w:sz w:val="24"/>
          <w:u w:val="single"/>
        </w:rPr>
        <w:t>Consistency with State Law:</w:t>
      </w:r>
    </w:p>
    <w:p>
      <w:pPr>
        <w:pStyle w:val="BodyText"/>
        <w:spacing w:before="5"/>
        <w:rPr>
          <w:i/>
          <w:sz w:val="15"/>
        </w:rPr>
      </w:pPr>
    </w:p>
    <w:p>
      <w:pPr>
        <w:pStyle w:val="ListParagraph"/>
        <w:numPr>
          <w:ilvl w:val="0"/>
          <w:numId w:val="3"/>
        </w:numPr>
        <w:tabs>
          <w:tab w:pos="500" w:val="left" w:leader="none"/>
        </w:tabs>
        <w:spacing w:line="276" w:lineRule="auto" w:before="35" w:after="0"/>
        <w:ind w:left="500" w:right="135" w:hanging="360"/>
        <w:jc w:val="both"/>
        <w:rPr>
          <w:sz w:val="24"/>
        </w:rPr>
      </w:pPr>
      <w:r>
        <w:rPr>
          <w:sz w:val="24"/>
        </w:rPr>
        <w:t>“Accessory Dwelling Unit”: Senate Bill 1069 amends Section 65852.2 of the Government Code by replacing the term “second unit” with “accessory dwelling unit.” The definition of “second dwelling unit” has been updated to match the</w:t>
      </w:r>
      <w:r>
        <w:rPr>
          <w:spacing w:val="-29"/>
          <w:sz w:val="24"/>
        </w:rPr>
        <w:t> </w:t>
      </w:r>
      <w:r>
        <w:rPr>
          <w:sz w:val="24"/>
        </w:rPr>
        <w:t>state’s definition</w:t>
      </w:r>
      <w:r>
        <w:rPr>
          <w:spacing w:val="-13"/>
          <w:sz w:val="24"/>
        </w:rPr>
        <w:t> </w:t>
      </w:r>
      <w:r>
        <w:rPr>
          <w:sz w:val="24"/>
        </w:rPr>
        <w:t>of</w:t>
      </w:r>
      <w:r>
        <w:rPr>
          <w:spacing w:val="-12"/>
          <w:sz w:val="24"/>
        </w:rPr>
        <w:t> </w:t>
      </w:r>
      <w:r>
        <w:rPr>
          <w:sz w:val="24"/>
        </w:rPr>
        <w:t>an</w:t>
      </w:r>
      <w:r>
        <w:rPr>
          <w:spacing w:val="-13"/>
          <w:sz w:val="24"/>
        </w:rPr>
        <w:t> </w:t>
      </w:r>
      <w:r>
        <w:rPr>
          <w:sz w:val="24"/>
        </w:rPr>
        <w:t>“accessory</w:t>
      </w:r>
      <w:r>
        <w:rPr>
          <w:spacing w:val="-11"/>
          <w:sz w:val="24"/>
        </w:rPr>
        <w:t> </w:t>
      </w:r>
      <w:r>
        <w:rPr>
          <w:sz w:val="24"/>
        </w:rPr>
        <w:t>dwelling</w:t>
      </w:r>
      <w:r>
        <w:rPr>
          <w:spacing w:val="-16"/>
          <w:sz w:val="24"/>
        </w:rPr>
        <w:t> </w:t>
      </w:r>
      <w:r>
        <w:rPr>
          <w:sz w:val="24"/>
        </w:rPr>
        <w:t>unit.”</w:t>
      </w:r>
      <w:r>
        <w:rPr>
          <w:spacing w:val="-11"/>
          <w:sz w:val="24"/>
        </w:rPr>
        <w:t> </w:t>
      </w:r>
      <w:r>
        <w:rPr>
          <w:sz w:val="24"/>
        </w:rPr>
        <w:t>Finally,</w:t>
      </w:r>
      <w:r>
        <w:rPr>
          <w:spacing w:val="-12"/>
          <w:sz w:val="24"/>
        </w:rPr>
        <w:t> </w:t>
      </w:r>
      <w:r>
        <w:rPr>
          <w:sz w:val="24"/>
        </w:rPr>
        <w:t>all</w:t>
      </w:r>
      <w:r>
        <w:rPr>
          <w:spacing w:val="-13"/>
          <w:sz w:val="24"/>
        </w:rPr>
        <w:t> </w:t>
      </w:r>
      <w:r>
        <w:rPr>
          <w:sz w:val="24"/>
        </w:rPr>
        <w:t>occurrences</w:t>
      </w:r>
      <w:r>
        <w:rPr>
          <w:spacing w:val="-11"/>
          <w:sz w:val="24"/>
        </w:rPr>
        <w:t> </w:t>
      </w:r>
      <w:r>
        <w:rPr>
          <w:sz w:val="24"/>
        </w:rPr>
        <w:t>of</w:t>
      </w:r>
      <w:r>
        <w:rPr>
          <w:spacing w:val="-12"/>
          <w:sz w:val="24"/>
        </w:rPr>
        <w:t> </w:t>
      </w:r>
      <w:r>
        <w:rPr>
          <w:sz w:val="24"/>
        </w:rPr>
        <w:t>the</w:t>
      </w:r>
      <w:r>
        <w:rPr>
          <w:spacing w:val="-12"/>
          <w:sz w:val="24"/>
        </w:rPr>
        <w:t> </w:t>
      </w:r>
      <w:r>
        <w:rPr>
          <w:sz w:val="24"/>
        </w:rPr>
        <w:t>term</w:t>
      </w:r>
      <w:r>
        <w:rPr>
          <w:spacing w:val="-11"/>
          <w:sz w:val="24"/>
        </w:rPr>
        <w:t> </w:t>
      </w:r>
      <w:r>
        <w:rPr>
          <w:sz w:val="24"/>
        </w:rPr>
        <w:t>“second unit”</w:t>
      </w:r>
      <w:r>
        <w:rPr>
          <w:spacing w:val="-13"/>
          <w:sz w:val="24"/>
        </w:rPr>
        <w:t> </w:t>
      </w:r>
      <w:r>
        <w:rPr>
          <w:sz w:val="24"/>
        </w:rPr>
        <w:t>in</w:t>
      </w:r>
      <w:r>
        <w:rPr>
          <w:spacing w:val="-13"/>
          <w:sz w:val="24"/>
        </w:rPr>
        <w:t> </w:t>
      </w:r>
      <w:r>
        <w:rPr>
          <w:sz w:val="24"/>
        </w:rPr>
        <w:t>the</w:t>
      </w:r>
      <w:r>
        <w:rPr>
          <w:spacing w:val="-12"/>
          <w:sz w:val="24"/>
        </w:rPr>
        <w:t> </w:t>
      </w:r>
      <w:r>
        <w:rPr>
          <w:sz w:val="24"/>
        </w:rPr>
        <w:t>Municipal</w:t>
      </w:r>
      <w:r>
        <w:rPr>
          <w:spacing w:val="-11"/>
          <w:sz w:val="24"/>
        </w:rPr>
        <w:t> </w:t>
      </w:r>
      <w:r>
        <w:rPr>
          <w:sz w:val="24"/>
        </w:rPr>
        <w:t>Code,</w:t>
      </w:r>
      <w:r>
        <w:rPr>
          <w:spacing w:val="-12"/>
          <w:sz w:val="24"/>
        </w:rPr>
        <w:t> </w:t>
      </w:r>
      <w:r>
        <w:rPr>
          <w:sz w:val="24"/>
        </w:rPr>
        <w:t>when</w:t>
      </w:r>
      <w:r>
        <w:rPr>
          <w:spacing w:val="-14"/>
          <w:sz w:val="24"/>
        </w:rPr>
        <w:t> </w:t>
      </w:r>
      <w:r>
        <w:rPr>
          <w:sz w:val="24"/>
        </w:rPr>
        <w:t>used</w:t>
      </w:r>
      <w:r>
        <w:rPr>
          <w:spacing w:val="-12"/>
          <w:sz w:val="24"/>
        </w:rPr>
        <w:t> </w:t>
      </w:r>
      <w:r>
        <w:rPr>
          <w:sz w:val="24"/>
        </w:rPr>
        <w:t>in</w:t>
      </w:r>
      <w:r>
        <w:rPr>
          <w:spacing w:val="-13"/>
          <w:sz w:val="24"/>
        </w:rPr>
        <w:t> </w:t>
      </w:r>
      <w:r>
        <w:rPr>
          <w:sz w:val="24"/>
        </w:rPr>
        <w:t>the</w:t>
      </w:r>
      <w:r>
        <w:rPr>
          <w:spacing w:val="-12"/>
          <w:sz w:val="24"/>
        </w:rPr>
        <w:t> </w:t>
      </w:r>
      <w:r>
        <w:rPr>
          <w:sz w:val="24"/>
        </w:rPr>
        <w:t>context</w:t>
      </w:r>
      <w:r>
        <w:rPr>
          <w:spacing w:val="-11"/>
          <w:sz w:val="24"/>
        </w:rPr>
        <w:t> </w:t>
      </w:r>
      <w:r>
        <w:rPr>
          <w:sz w:val="24"/>
        </w:rPr>
        <w:t>of</w:t>
      </w:r>
      <w:r>
        <w:rPr>
          <w:spacing w:val="-12"/>
          <w:sz w:val="24"/>
        </w:rPr>
        <w:t> </w:t>
      </w:r>
      <w:r>
        <w:rPr>
          <w:sz w:val="24"/>
        </w:rPr>
        <w:t>an</w:t>
      </w:r>
      <w:r>
        <w:rPr>
          <w:spacing w:val="-13"/>
          <w:sz w:val="24"/>
        </w:rPr>
        <w:t> </w:t>
      </w:r>
      <w:r>
        <w:rPr>
          <w:sz w:val="24"/>
        </w:rPr>
        <w:t>“accessory</w:t>
      </w:r>
      <w:r>
        <w:rPr>
          <w:spacing w:val="-13"/>
          <w:sz w:val="24"/>
        </w:rPr>
        <w:t> </w:t>
      </w:r>
      <w:r>
        <w:rPr>
          <w:sz w:val="24"/>
        </w:rPr>
        <w:t>dwelling</w:t>
      </w:r>
      <w:r>
        <w:rPr>
          <w:spacing w:val="-16"/>
          <w:sz w:val="24"/>
        </w:rPr>
        <w:t> </w:t>
      </w:r>
      <w:r>
        <w:rPr>
          <w:sz w:val="24"/>
        </w:rPr>
        <w:t>unit” have been</w:t>
      </w:r>
      <w:r>
        <w:rPr>
          <w:spacing w:val="-1"/>
          <w:sz w:val="24"/>
        </w:rPr>
        <w:t> </w:t>
      </w:r>
      <w:r>
        <w:rPr>
          <w:sz w:val="24"/>
        </w:rPr>
        <w:t>replaced.</w:t>
      </w:r>
    </w:p>
    <w:p>
      <w:pPr>
        <w:pStyle w:val="ListParagraph"/>
        <w:numPr>
          <w:ilvl w:val="0"/>
          <w:numId w:val="3"/>
        </w:numPr>
        <w:tabs>
          <w:tab w:pos="500" w:val="left" w:leader="none"/>
        </w:tabs>
        <w:spacing w:line="276" w:lineRule="auto" w:before="119" w:after="0"/>
        <w:ind w:left="500" w:right="137" w:hanging="360"/>
        <w:jc w:val="both"/>
        <w:rPr>
          <w:sz w:val="24"/>
        </w:rPr>
      </w:pPr>
      <w:r>
        <w:rPr>
          <w:sz w:val="24"/>
        </w:rPr>
        <w:t>Processing: While the City’s current practice of processing of an accessory dwelling unit is a ministerial process through a building permit; SB 1069 requires that the City incorporate language in the ordinance memorializing</w:t>
      </w:r>
      <w:r>
        <w:rPr>
          <w:spacing w:val="-3"/>
          <w:sz w:val="24"/>
        </w:rPr>
        <w:t> </w:t>
      </w:r>
      <w:r>
        <w:rPr>
          <w:sz w:val="24"/>
        </w:rPr>
        <w:t>this.</w:t>
      </w:r>
    </w:p>
    <w:p>
      <w:pPr>
        <w:pStyle w:val="BodyText"/>
        <w:spacing w:before="10"/>
        <w:rPr>
          <w:sz w:val="17"/>
        </w:rPr>
      </w:pPr>
    </w:p>
    <w:p>
      <w:pPr>
        <w:pStyle w:val="ListParagraph"/>
        <w:numPr>
          <w:ilvl w:val="0"/>
          <w:numId w:val="3"/>
        </w:numPr>
        <w:tabs>
          <w:tab w:pos="500" w:val="left" w:leader="none"/>
        </w:tabs>
        <w:spacing w:line="240" w:lineRule="auto" w:before="0" w:after="0"/>
        <w:ind w:left="500" w:right="138" w:hanging="360"/>
        <w:jc w:val="both"/>
        <w:rPr>
          <w:sz w:val="24"/>
        </w:rPr>
      </w:pPr>
      <w:r>
        <w:rPr>
          <w:sz w:val="24"/>
        </w:rPr>
        <w:t>Allowable accessory dwelling unit sizes are being increased from 650 to 800 s.f. for lots up to 10,000 s.f. and from 800 to 1200 s.f. for lots over 10,000</w:t>
      </w:r>
      <w:r>
        <w:rPr>
          <w:spacing w:val="-4"/>
          <w:sz w:val="24"/>
        </w:rPr>
        <w:t> </w:t>
      </w:r>
      <w:r>
        <w:rPr>
          <w:sz w:val="24"/>
        </w:rPr>
        <w:t>s.f..</w:t>
      </w:r>
    </w:p>
    <w:p>
      <w:pPr>
        <w:spacing w:after="0" w:line="240" w:lineRule="auto"/>
        <w:jc w:val="both"/>
        <w:rPr>
          <w:sz w:val="24"/>
        </w:rPr>
        <w:sectPr>
          <w:headerReference w:type="default" r:id="rId7"/>
          <w:pgSz w:w="12240" w:h="15840"/>
          <w:pgMar w:header="752" w:footer="0" w:top="1220" w:bottom="280" w:left="1300" w:right="1300"/>
          <w:pgNumType w:start="2"/>
        </w:sectPr>
      </w:pPr>
    </w:p>
    <w:p>
      <w:pPr>
        <w:pStyle w:val="BodyText"/>
        <w:spacing w:before="3"/>
        <w:rPr>
          <w:sz w:val="13"/>
        </w:rPr>
      </w:pPr>
    </w:p>
    <w:p>
      <w:pPr>
        <w:pStyle w:val="ListParagraph"/>
        <w:numPr>
          <w:ilvl w:val="0"/>
          <w:numId w:val="3"/>
        </w:numPr>
        <w:tabs>
          <w:tab w:pos="500" w:val="left" w:leader="none"/>
        </w:tabs>
        <w:spacing w:line="240" w:lineRule="auto" w:before="35" w:after="0"/>
        <w:ind w:left="500" w:right="0" w:hanging="360"/>
        <w:jc w:val="left"/>
        <w:rPr>
          <w:sz w:val="24"/>
        </w:rPr>
      </w:pPr>
      <w:r>
        <w:rPr>
          <w:sz w:val="24"/>
        </w:rPr>
        <w:t>Parking:</w:t>
      </w:r>
    </w:p>
    <w:p>
      <w:pPr>
        <w:pStyle w:val="ListParagraph"/>
        <w:numPr>
          <w:ilvl w:val="1"/>
          <w:numId w:val="3"/>
        </w:numPr>
        <w:tabs>
          <w:tab w:pos="860" w:val="left" w:leader="none"/>
        </w:tabs>
        <w:spacing w:line="240" w:lineRule="auto" w:before="120" w:after="0"/>
        <w:ind w:left="860" w:right="137" w:hanging="360"/>
        <w:jc w:val="both"/>
        <w:rPr>
          <w:sz w:val="24"/>
        </w:rPr>
      </w:pPr>
      <w:r>
        <w:rPr>
          <w:sz w:val="24"/>
        </w:rPr>
        <w:t>For principal unit: If an existing garage, whether attached or detached, is converted or demolished to be an accessory dwelling unit, state law allows those replacement off-street parking spaces for the principal unit to be provided in any configuration on the lot in any combination of uncovered, covered, carport, tandem or mechanical automobile</w:t>
      </w:r>
      <w:r>
        <w:rPr>
          <w:spacing w:val="-2"/>
          <w:sz w:val="24"/>
        </w:rPr>
        <w:t> </w:t>
      </w:r>
      <w:r>
        <w:rPr>
          <w:sz w:val="24"/>
        </w:rPr>
        <w:t>lifts.</w:t>
      </w:r>
    </w:p>
    <w:p>
      <w:pPr>
        <w:pStyle w:val="ListParagraph"/>
        <w:numPr>
          <w:ilvl w:val="1"/>
          <w:numId w:val="3"/>
        </w:numPr>
        <w:tabs>
          <w:tab w:pos="860" w:val="left" w:leader="none"/>
        </w:tabs>
        <w:spacing w:line="240" w:lineRule="auto" w:before="118" w:after="0"/>
        <w:ind w:left="860" w:right="133" w:hanging="360"/>
        <w:jc w:val="both"/>
        <w:rPr>
          <w:sz w:val="24"/>
        </w:rPr>
      </w:pPr>
      <w:r>
        <w:rPr>
          <w:sz w:val="24"/>
        </w:rPr>
        <w:t>For accessory dwelling unit: </w:t>
      </w:r>
      <w:r>
        <w:rPr>
          <w:spacing w:val="2"/>
          <w:sz w:val="24"/>
        </w:rPr>
        <w:t>If </w:t>
      </w:r>
      <w:r>
        <w:rPr>
          <w:sz w:val="24"/>
        </w:rPr>
        <w:t>the lot meets certain criteria, such as, being within one-half</w:t>
      </w:r>
      <w:r>
        <w:rPr>
          <w:spacing w:val="-10"/>
          <w:sz w:val="24"/>
        </w:rPr>
        <w:t> </w:t>
      </w:r>
      <w:r>
        <w:rPr>
          <w:sz w:val="24"/>
        </w:rPr>
        <w:t>mile</w:t>
      </w:r>
      <w:r>
        <w:rPr>
          <w:spacing w:val="-10"/>
          <w:sz w:val="24"/>
        </w:rPr>
        <w:t> </w:t>
      </w:r>
      <w:r>
        <w:rPr>
          <w:sz w:val="24"/>
        </w:rPr>
        <w:t>of</w:t>
      </w:r>
      <w:r>
        <w:rPr>
          <w:spacing w:val="-8"/>
          <w:sz w:val="24"/>
        </w:rPr>
        <w:t> </w:t>
      </w:r>
      <w:r>
        <w:rPr>
          <w:sz w:val="24"/>
        </w:rPr>
        <w:t>public</w:t>
      </w:r>
      <w:r>
        <w:rPr>
          <w:spacing w:val="-9"/>
          <w:sz w:val="24"/>
        </w:rPr>
        <w:t> </w:t>
      </w:r>
      <w:r>
        <w:rPr>
          <w:sz w:val="24"/>
        </w:rPr>
        <w:t>transit</w:t>
      </w:r>
      <w:r>
        <w:rPr>
          <w:spacing w:val="-9"/>
          <w:sz w:val="24"/>
        </w:rPr>
        <w:t> </w:t>
      </w:r>
      <w:r>
        <w:rPr>
          <w:sz w:val="24"/>
        </w:rPr>
        <w:t>or</w:t>
      </w:r>
      <w:r>
        <w:rPr>
          <w:spacing w:val="-1"/>
          <w:sz w:val="24"/>
        </w:rPr>
        <w:t> </w:t>
      </w:r>
      <w:r>
        <w:rPr>
          <w:spacing w:val="-4"/>
          <w:sz w:val="24"/>
        </w:rPr>
        <w:t>in</w:t>
      </w:r>
      <w:r>
        <w:rPr>
          <w:spacing w:val="-9"/>
          <w:sz w:val="24"/>
        </w:rPr>
        <w:t> </w:t>
      </w:r>
      <w:r>
        <w:rPr>
          <w:sz w:val="24"/>
        </w:rPr>
        <w:t>an</w:t>
      </w:r>
      <w:r>
        <w:rPr>
          <w:spacing w:val="-9"/>
          <w:sz w:val="24"/>
        </w:rPr>
        <w:t> </w:t>
      </w:r>
      <w:r>
        <w:rPr>
          <w:sz w:val="24"/>
        </w:rPr>
        <w:t>architecturally</w:t>
      </w:r>
      <w:r>
        <w:rPr>
          <w:spacing w:val="-7"/>
          <w:sz w:val="24"/>
        </w:rPr>
        <w:t> </w:t>
      </w:r>
      <w:r>
        <w:rPr>
          <w:sz w:val="24"/>
        </w:rPr>
        <w:t>significant</w:t>
      </w:r>
      <w:r>
        <w:rPr>
          <w:spacing w:val="-8"/>
          <w:sz w:val="24"/>
        </w:rPr>
        <w:t> </w:t>
      </w:r>
      <w:r>
        <w:rPr>
          <w:sz w:val="24"/>
        </w:rPr>
        <w:t>historic</w:t>
      </w:r>
      <w:r>
        <w:rPr>
          <w:spacing w:val="-8"/>
          <w:sz w:val="24"/>
        </w:rPr>
        <w:t> </w:t>
      </w:r>
      <w:r>
        <w:rPr>
          <w:sz w:val="24"/>
        </w:rPr>
        <w:t>district</w:t>
      </w:r>
      <w:r>
        <w:rPr>
          <w:spacing w:val="-8"/>
          <w:sz w:val="24"/>
        </w:rPr>
        <w:t> </w:t>
      </w:r>
      <w:r>
        <w:rPr>
          <w:sz w:val="24"/>
        </w:rPr>
        <w:t>or part</w:t>
      </w:r>
      <w:r>
        <w:rPr>
          <w:spacing w:val="-11"/>
          <w:sz w:val="24"/>
        </w:rPr>
        <w:t> </w:t>
      </w:r>
      <w:r>
        <w:rPr>
          <w:sz w:val="24"/>
        </w:rPr>
        <w:t>of</w:t>
      </w:r>
      <w:r>
        <w:rPr>
          <w:spacing w:val="-13"/>
          <w:sz w:val="24"/>
        </w:rPr>
        <w:t> </w:t>
      </w:r>
      <w:r>
        <w:rPr>
          <w:sz w:val="24"/>
        </w:rPr>
        <w:t>an</w:t>
      </w:r>
      <w:r>
        <w:rPr>
          <w:spacing w:val="-14"/>
          <w:sz w:val="24"/>
        </w:rPr>
        <w:t> </w:t>
      </w:r>
      <w:r>
        <w:rPr>
          <w:sz w:val="24"/>
        </w:rPr>
        <w:t>existing</w:t>
      </w:r>
      <w:r>
        <w:rPr>
          <w:spacing w:val="-17"/>
          <w:sz w:val="24"/>
        </w:rPr>
        <w:t> </w:t>
      </w:r>
      <w:r>
        <w:rPr>
          <w:sz w:val="24"/>
        </w:rPr>
        <w:t>primary</w:t>
      </w:r>
      <w:r>
        <w:rPr>
          <w:spacing w:val="-9"/>
          <w:sz w:val="24"/>
        </w:rPr>
        <w:t> </w:t>
      </w:r>
      <w:r>
        <w:rPr>
          <w:sz w:val="24"/>
        </w:rPr>
        <w:t>residence</w:t>
      </w:r>
      <w:r>
        <w:rPr>
          <w:spacing w:val="-16"/>
          <w:sz w:val="24"/>
        </w:rPr>
        <w:t> </w:t>
      </w:r>
      <w:r>
        <w:rPr>
          <w:sz w:val="24"/>
        </w:rPr>
        <w:t>or</w:t>
      </w:r>
      <w:r>
        <w:rPr>
          <w:spacing w:val="-11"/>
          <w:sz w:val="24"/>
        </w:rPr>
        <w:t> </w:t>
      </w:r>
      <w:r>
        <w:rPr>
          <w:sz w:val="24"/>
        </w:rPr>
        <w:t>an</w:t>
      </w:r>
      <w:r>
        <w:rPr>
          <w:spacing w:val="-14"/>
          <w:sz w:val="24"/>
        </w:rPr>
        <w:t> </w:t>
      </w:r>
      <w:r>
        <w:rPr>
          <w:sz w:val="24"/>
        </w:rPr>
        <w:t>existing</w:t>
      </w:r>
      <w:r>
        <w:rPr>
          <w:spacing w:val="-15"/>
          <w:sz w:val="24"/>
        </w:rPr>
        <w:t> </w:t>
      </w:r>
      <w:r>
        <w:rPr>
          <w:sz w:val="24"/>
        </w:rPr>
        <w:t>accessory</w:t>
      </w:r>
      <w:r>
        <w:rPr>
          <w:spacing w:val="-11"/>
          <w:sz w:val="24"/>
        </w:rPr>
        <w:t> </w:t>
      </w:r>
      <w:r>
        <w:rPr>
          <w:sz w:val="24"/>
        </w:rPr>
        <w:t>structure,</w:t>
      </w:r>
      <w:r>
        <w:rPr>
          <w:spacing w:val="-15"/>
          <w:sz w:val="24"/>
        </w:rPr>
        <w:t> </w:t>
      </w:r>
      <w:r>
        <w:rPr>
          <w:sz w:val="24"/>
        </w:rPr>
        <w:t>no</w:t>
      </w:r>
      <w:r>
        <w:rPr>
          <w:spacing w:val="-13"/>
          <w:sz w:val="24"/>
        </w:rPr>
        <w:t> </w:t>
      </w:r>
      <w:r>
        <w:rPr>
          <w:sz w:val="24"/>
        </w:rPr>
        <w:t>parking spaces need to be provided for the accessory dwelling</w:t>
      </w:r>
      <w:r>
        <w:rPr>
          <w:spacing w:val="-3"/>
          <w:sz w:val="24"/>
        </w:rPr>
        <w:t> </w:t>
      </w:r>
      <w:r>
        <w:rPr>
          <w:sz w:val="24"/>
        </w:rPr>
        <w:t>unit.</w:t>
      </w:r>
    </w:p>
    <w:p>
      <w:pPr>
        <w:pStyle w:val="BodyText"/>
        <w:spacing w:before="10"/>
        <w:rPr>
          <w:sz w:val="17"/>
        </w:rPr>
      </w:pPr>
    </w:p>
    <w:p>
      <w:pPr>
        <w:spacing w:before="1"/>
        <w:ind w:left="500" w:right="0" w:firstLine="0"/>
        <w:jc w:val="both"/>
        <w:rPr>
          <w:i/>
          <w:sz w:val="24"/>
        </w:rPr>
      </w:pPr>
      <w:r>
        <w:rPr>
          <w:i/>
          <w:sz w:val="24"/>
        </w:rPr>
        <w:t>Other Requirements of SB 1069</w:t>
      </w:r>
    </w:p>
    <w:p>
      <w:pPr>
        <w:pStyle w:val="BodyText"/>
        <w:spacing w:before="10"/>
        <w:rPr>
          <w:i/>
          <w:sz w:val="17"/>
        </w:rPr>
      </w:pPr>
    </w:p>
    <w:p>
      <w:pPr>
        <w:pStyle w:val="BodyText"/>
        <w:spacing w:before="1"/>
        <w:ind w:left="500" w:right="136"/>
        <w:jc w:val="both"/>
      </w:pPr>
      <w:r>
        <w:rPr/>
        <w:t>Other elements of the Bill, such as eliminating utility hookup fees for accessory dwelling units built within an existing house or an existing detached structure on</w:t>
      </w:r>
      <w:r>
        <w:rPr>
          <w:spacing w:val="-27"/>
        </w:rPr>
        <w:t> </w:t>
      </w:r>
      <w:r>
        <w:rPr/>
        <w:t>the same lot, will be addressed by the respective water and sewer agencies. The</w:t>
      </w:r>
      <w:r>
        <w:rPr>
          <w:spacing w:val="-16"/>
        </w:rPr>
        <w:t> </w:t>
      </w:r>
      <w:r>
        <w:rPr/>
        <w:t>Building Division is currently in the process of amending the City’s Building Code to reflect State Building Code requirements. Fire sprinklers requirements for accessory dwelling units will be incorporated into these revisions when they are presented to the City Council later this</w:t>
      </w:r>
      <w:r>
        <w:rPr>
          <w:spacing w:val="-1"/>
        </w:rPr>
        <w:t> </w:t>
      </w:r>
      <w:r>
        <w:rPr/>
        <w:t>year.</w:t>
      </w:r>
    </w:p>
    <w:p>
      <w:pPr>
        <w:pStyle w:val="BodyText"/>
        <w:spacing w:before="8"/>
        <w:rPr>
          <w:sz w:val="17"/>
        </w:rPr>
      </w:pPr>
    </w:p>
    <w:p>
      <w:pPr>
        <w:spacing w:before="0"/>
        <w:ind w:left="500" w:right="0" w:firstLine="0"/>
        <w:jc w:val="both"/>
        <w:rPr>
          <w:i/>
          <w:sz w:val="24"/>
        </w:rPr>
      </w:pPr>
      <w:r>
        <w:rPr>
          <w:i/>
          <w:sz w:val="24"/>
        </w:rPr>
        <w:t>Internal Consistency and Clarifications</w:t>
      </w:r>
    </w:p>
    <w:p>
      <w:pPr>
        <w:pStyle w:val="BodyText"/>
        <w:spacing w:before="10"/>
        <w:rPr>
          <w:i/>
          <w:sz w:val="17"/>
        </w:rPr>
      </w:pPr>
    </w:p>
    <w:p>
      <w:pPr>
        <w:pStyle w:val="BodyText"/>
        <w:spacing w:before="1"/>
        <w:ind w:left="500" w:right="135"/>
        <w:jc w:val="both"/>
      </w:pPr>
      <w:r>
        <w:rPr/>
        <w:t>Certain</w:t>
      </w:r>
      <w:r>
        <w:rPr>
          <w:spacing w:val="-14"/>
        </w:rPr>
        <w:t> </w:t>
      </w:r>
      <w:r>
        <w:rPr/>
        <w:t>definitions</w:t>
      </w:r>
      <w:r>
        <w:rPr>
          <w:spacing w:val="-15"/>
        </w:rPr>
        <w:t> </w:t>
      </w:r>
      <w:r>
        <w:rPr/>
        <w:t>in</w:t>
      </w:r>
      <w:r>
        <w:rPr>
          <w:spacing w:val="-16"/>
        </w:rPr>
        <w:t> </w:t>
      </w:r>
      <w:r>
        <w:rPr/>
        <w:t>Chapter</w:t>
      </w:r>
      <w:r>
        <w:rPr>
          <w:spacing w:val="-9"/>
        </w:rPr>
        <w:t> </w:t>
      </w:r>
      <w:r>
        <w:rPr/>
        <w:t>19.08,</w:t>
      </w:r>
      <w:r>
        <w:rPr>
          <w:spacing w:val="-17"/>
        </w:rPr>
        <w:t> </w:t>
      </w:r>
      <w:r>
        <w:rPr>
          <w:i/>
        </w:rPr>
        <w:t>Definitions</w:t>
      </w:r>
      <w:r>
        <w:rPr/>
        <w:t>,</w:t>
      </w:r>
      <w:r>
        <w:rPr>
          <w:spacing w:val="-13"/>
        </w:rPr>
        <w:t> </w:t>
      </w:r>
      <w:r>
        <w:rPr/>
        <w:t>have</w:t>
      </w:r>
      <w:r>
        <w:rPr>
          <w:spacing w:val="-13"/>
        </w:rPr>
        <w:t> </w:t>
      </w:r>
      <w:r>
        <w:rPr/>
        <w:t>been</w:t>
      </w:r>
      <w:r>
        <w:rPr>
          <w:spacing w:val="-16"/>
        </w:rPr>
        <w:t> </w:t>
      </w:r>
      <w:r>
        <w:rPr/>
        <w:t>edited</w:t>
      </w:r>
      <w:r>
        <w:rPr>
          <w:spacing w:val="-15"/>
        </w:rPr>
        <w:t> </w:t>
      </w:r>
      <w:r>
        <w:rPr/>
        <w:t>to</w:t>
      </w:r>
      <w:r>
        <w:rPr>
          <w:spacing w:val="-14"/>
        </w:rPr>
        <w:t> </w:t>
      </w:r>
      <w:r>
        <w:rPr/>
        <w:t>ensure</w:t>
      </w:r>
      <w:r>
        <w:rPr>
          <w:spacing w:val="-16"/>
        </w:rPr>
        <w:t> </w:t>
      </w:r>
      <w:r>
        <w:rPr/>
        <w:t>clarity</w:t>
      </w:r>
      <w:r>
        <w:rPr>
          <w:spacing w:val="-14"/>
        </w:rPr>
        <w:t> </w:t>
      </w:r>
      <w:r>
        <w:rPr/>
        <w:t>and intent.</w:t>
      </w:r>
      <w:r>
        <w:rPr>
          <w:spacing w:val="-12"/>
        </w:rPr>
        <w:t> </w:t>
      </w:r>
      <w:r>
        <w:rPr/>
        <w:t>This</w:t>
      </w:r>
      <w:r>
        <w:rPr>
          <w:spacing w:val="-8"/>
        </w:rPr>
        <w:t> </w:t>
      </w:r>
      <w:r>
        <w:rPr/>
        <w:t>includes</w:t>
      </w:r>
      <w:r>
        <w:rPr>
          <w:spacing w:val="-13"/>
        </w:rPr>
        <w:t> </w:t>
      </w:r>
      <w:r>
        <w:rPr/>
        <w:t>refining</w:t>
      </w:r>
      <w:r>
        <w:rPr>
          <w:spacing w:val="-7"/>
        </w:rPr>
        <w:t> </w:t>
      </w:r>
      <w:r>
        <w:rPr/>
        <w:t>the</w:t>
      </w:r>
      <w:r>
        <w:rPr>
          <w:spacing w:val="-9"/>
        </w:rPr>
        <w:t> </w:t>
      </w:r>
      <w:r>
        <w:rPr/>
        <w:t>definition</w:t>
      </w:r>
      <w:r>
        <w:rPr>
          <w:spacing w:val="-11"/>
        </w:rPr>
        <w:t> </w:t>
      </w:r>
      <w:r>
        <w:rPr/>
        <w:t>of</w:t>
      </w:r>
      <w:r>
        <w:rPr>
          <w:spacing w:val="-7"/>
        </w:rPr>
        <w:t> </w:t>
      </w:r>
      <w:r>
        <w:rPr/>
        <w:t>duplex</w:t>
      </w:r>
      <w:r>
        <w:rPr>
          <w:spacing w:val="-11"/>
        </w:rPr>
        <w:t> </w:t>
      </w:r>
      <w:r>
        <w:rPr/>
        <w:t>to</w:t>
      </w:r>
      <w:r>
        <w:rPr>
          <w:spacing w:val="-8"/>
        </w:rPr>
        <w:t> </w:t>
      </w:r>
      <w:r>
        <w:rPr/>
        <w:t>differentiate</w:t>
      </w:r>
      <w:r>
        <w:rPr>
          <w:spacing w:val="-12"/>
        </w:rPr>
        <w:t> </w:t>
      </w:r>
      <w:r>
        <w:rPr/>
        <w:t>it</w:t>
      </w:r>
      <w:r>
        <w:rPr>
          <w:spacing w:val="-12"/>
        </w:rPr>
        <w:t> </w:t>
      </w:r>
      <w:r>
        <w:rPr/>
        <w:t>from</w:t>
      </w:r>
      <w:r>
        <w:rPr>
          <w:spacing w:val="-9"/>
        </w:rPr>
        <w:t> </w:t>
      </w:r>
      <w:r>
        <w:rPr/>
        <w:t>the</w:t>
      </w:r>
      <w:r>
        <w:rPr>
          <w:spacing w:val="-9"/>
        </w:rPr>
        <w:t> </w:t>
      </w:r>
      <w:r>
        <w:rPr/>
        <w:t>single family and accessory dwelling unit combination. All references for families as an indicator for occupancy in unit types have been removed to comply with case law. Further, the term ‘transient’ has been added to the definitions of “Lodging “and “Lodging Unit” to ensure internal consistency with the definition of “Transient” in the Municipal</w:t>
      </w:r>
      <w:r>
        <w:rPr>
          <w:spacing w:val="-2"/>
        </w:rPr>
        <w:t> </w:t>
      </w:r>
      <w:r>
        <w:rPr/>
        <w:t>Code.</w:t>
      </w:r>
    </w:p>
    <w:p>
      <w:pPr>
        <w:pStyle w:val="BodyText"/>
        <w:spacing w:before="13"/>
        <w:rPr>
          <w:sz w:val="17"/>
        </w:rPr>
      </w:pPr>
    </w:p>
    <w:p>
      <w:pPr>
        <w:pStyle w:val="Heading2"/>
        <w:ind w:right="128"/>
        <w:jc w:val="left"/>
        <w:rPr>
          <w:i/>
        </w:rPr>
      </w:pPr>
      <w:r>
        <w:rPr>
          <w:i/>
        </w:rPr>
        <w:t>Noticing</w:t>
      </w:r>
    </w:p>
    <w:p>
      <w:pPr>
        <w:pStyle w:val="BodyText"/>
        <w:spacing w:before="118"/>
        <w:ind w:left="140" w:right="128"/>
      </w:pPr>
      <w:r>
        <w:rPr/>
        <w:t>The following noticing has been conducted for this project:</w:t>
      </w:r>
    </w:p>
    <w:p>
      <w:pPr>
        <w:pStyle w:val="BodyText"/>
        <w:spacing w:before="12"/>
        <w:rPr>
          <w:sz w:val="23"/>
        </w:rPr>
      </w:pPr>
    </w:p>
    <w:tbl>
      <w:tblPr>
        <w:tblW w:w="0" w:type="auto"/>
        <w:jc w:val="left"/>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027"/>
        <w:gridCol w:w="5215"/>
      </w:tblGrid>
      <w:tr>
        <w:trPr>
          <w:trHeight w:val="656" w:hRule="exact"/>
        </w:trPr>
        <w:tc>
          <w:tcPr>
            <w:tcW w:w="4027" w:type="dxa"/>
            <w:shd w:val="clear" w:color="auto" w:fill="CCCCCC"/>
          </w:tcPr>
          <w:p>
            <w:pPr>
              <w:pStyle w:val="TableParagraph"/>
              <w:rPr>
                <w:b/>
                <w:sz w:val="24"/>
              </w:rPr>
            </w:pPr>
            <w:r>
              <w:rPr>
                <w:b/>
                <w:sz w:val="24"/>
              </w:rPr>
              <w:t>Notice of Public Hearing, Site Notice &amp; Legal Ad</w:t>
            </w:r>
          </w:p>
        </w:tc>
        <w:tc>
          <w:tcPr>
            <w:tcW w:w="5215" w:type="dxa"/>
            <w:shd w:val="clear" w:color="auto" w:fill="CCCCCC"/>
          </w:tcPr>
          <w:p>
            <w:pPr>
              <w:pStyle w:val="TableParagraph"/>
              <w:spacing w:line="323" w:lineRule="exact"/>
              <w:rPr>
                <w:b/>
                <w:sz w:val="24"/>
              </w:rPr>
            </w:pPr>
            <w:r>
              <w:rPr>
                <w:b/>
                <w:sz w:val="24"/>
              </w:rPr>
              <w:t>Agenda</w:t>
            </w:r>
          </w:p>
        </w:tc>
      </w:tr>
      <w:tr>
        <w:trPr>
          <w:trHeight w:val="1306" w:hRule="exact"/>
        </w:trPr>
        <w:tc>
          <w:tcPr>
            <w:tcW w:w="4027" w:type="dxa"/>
          </w:tcPr>
          <w:p>
            <w:pPr>
              <w:pStyle w:val="TableParagraph"/>
              <w:numPr>
                <w:ilvl w:val="0"/>
                <w:numId w:val="4"/>
              </w:numPr>
              <w:tabs>
                <w:tab w:pos="284" w:val="left" w:leader="none"/>
              </w:tabs>
              <w:spacing w:line="240" w:lineRule="auto" w:before="2" w:after="0"/>
              <w:ind w:left="283" w:right="0" w:hanging="180"/>
              <w:jc w:val="left"/>
              <w:rPr>
                <w:sz w:val="24"/>
              </w:rPr>
            </w:pPr>
            <w:r>
              <w:rPr>
                <w:sz w:val="24"/>
              </w:rPr>
              <w:t>Legal ad placed in</w:t>
            </w:r>
            <w:r>
              <w:rPr>
                <w:spacing w:val="-1"/>
                <w:sz w:val="24"/>
              </w:rPr>
              <w:t> </w:t>
            </w:r>
            <w:r>
              <w:rPr>
                <w:sz w:val="24"/>
              </w:rPr>
              <w:t>newspaper</w:t>
            </w:r>
          </w:p>
          <w:p>
            <w:pPr>
              <w:pStyle w:val="TableParagraph"/>
              <w:spacing w:line="323" w:lineRule="exact"/>
              <w:ind w:left="264" w:right="487"/>
              <w:jc w:val="center"/>
              <w:rPr>
                <w:i/>
                <w:sz w:val="24"/>
              </w:rPr>
            </w:pPr>
            <w:r>
              <w:rPr>
                <w:i/>
                <w:sz w:val="24"/>
              </w:rPr>
              <w:t>(at least 10 days prior to hearing)</w:t>
            </w:r>
          </w:p>
          <w:p>
            <w:pPr>
              <w:pStyle w:val="TableParagraph"/>
              <w:numPr>
                <w:ilvl w:val="0"/>
                <w:numId w:val="4"/>
              </w:numPr>
              <w:tabs>
                <w:tab w:pos="284" w:val="left" w:leader="none"/>
              </w:tabs>
              <w:spacing w:line="323" w:lineRule="exact" w:before="0" w:after="0"/>
              <w:ind w:left="283" w:right="211" w:hanging="180"/>
              <w:jc w:val="center"/>
              <w:rPr>
                <w:sz w:val="24"/>
              </w:rPr>
            </w:pPr>
            <w:r>
              <w:rPr>
                <w:sz w:val="24"/>
              </w:rPr>
              <w:t>Display ad placed in</w:t>
            </w:r>
            <w:r>
              <w:rPr>
                <w:spacing w:val="-1"/>
                <w:sz w:val="24"/>
              </w:rPr>
              <w:t> </w:t>
            </w:r>
            <w:r>
              <w:rPr>
                <w:sz w:val="24"/>
              </w:rPr>
              <w:t>newspaper</w:t>
            </w:r>
          </w:p>
          <w:p>
            <w:pPr>
              <w:pStyle w:val="TableParagraph"/>
              <w:ind w:left="264" w:right="487"/>
              <w:jc w:val="center"/>
              <w:rPr>
                <w:i/>
                <w:sz w:val="24"/>
              </w:rPr>
            </w:pPr>
            <w:r>
              <w:rPr>
                <w:i/>
                <w:sz w:val="24"/>
              </w:rPr>
              <w:t>(at least 10 days prior to hearing)</w:t>
            </w:r>
          </w:p>
        </w:tc>
        <w:tc>
          <w:tcPr>
            <w:tcW w:w="5215" w:type="dxa"/>
          </w:tcPr>
          <w:p>
            <w:pPr>
              <w:pStyle w:val="TableParagraph"/>
              <w:numPr>
                <w:ilvl w:val="0"/>
                <w:numId w:val="5"/>
              </w:numPr>
              <w:tabs>
                <w:tab w:pos="356" w:val="left" w:leader="none"/>
              </w:tabs>
              <w:spacing w:line="240" w:lineRule="auto" w:before="2" w:after="0"/>
              <w:ind w:left="355" w:right="266" w:hanging="252"/>
              <w:jc w:val="left"/>
              <w:rPr>
                <w:sz w:val="24"/>
              </w:rPr>
            </w:pPr>
            <w:r>
              <w:rPr>
                <w:sz w:val="24"/>
              </w:rPr>
              <w:t>Posted on the City's official notice bulletin board (</w:t>
            </w:r>
            <w:r>
              <w:rPr>
                <w:i/>
                <w:sz w:val="24"/>
              </w:rPr>
              <w:t>five days prior to</w:t>
            </w:r>
            <w:r>
              <w:rPr>
                <w:i/>
                <w:spacing w:val="-3"/>
                <w:sz w:val="24"/>
              </w:rPr>
              <w:t> </w:t>
            </w:r>
            <w:r>
              <w:rPr>
                <w:i/>
                <w:sz w:val="24"/>
              </w:rPr>
              <w:t>hearing</w:t>
            </w:r>
            <w:r>
              <w:rPr>
                <w:sz w:val="24"/>
              </w:rPr>
              <w:t>)</w:t>
            </w:r>
          </w:p>
          <w:p>
            <w:pPr>
              <w:pStyle w:val="TableParagraph"/>
              <w:numPr>
                <w:ilvl w:val="0"/>
                <w:numId w:val="5"/>
              </w:numPr>
              <w:tabs>
                <w:tab w:pos="356" w:val="left" w:leader="none"/>
              </w:tabs>
              <w:spacing w:line="240" w:lineRule="auto" w:before="0" w:after="0"/>
              <w:ind w:left="355" w:right="266" w:hanging="252"/>
              <w:jc w:val="left"/>
              <w:rPr>
                <w:sz w:val="24"/>
              </w:rPr>
            </w:pPr>
            <w:r>
              <w:rPr>
                <w:sz w:val="24"/>
              </w:rPr>
              <w:t>Posted on the City of Cupertino’s Web site (</w:t>
            </w:r>
            <w:r>
              <w:rPr>
                <w:i/>
                <w:sz w:val="24"/>
              </w:rPr>
              <w:t>five days prior to</w:t>
            </w:r>
            <w:r>
              <w:rPr>
                <w:i/>
                <w:spacing w:val="-4"/>
                <w:sz w:val="24"/>
              </w:rPr>
              <w:t> </w:t>
            </w:r>
            <w:r>
              <w:rPr>
                <w:i/>
                <w:sz w:val="24"/>
              </w:rPr>
              <w:t>hearing</w:t>
            </w:r>
            <w:r>
              <w:rPr>
                <w:sz w:val="24"/>
              </w:rPr>
              <w:t>)</w:t>
            </w:r>
          </w:p>
        </w:tc>
      </w:tr>
    </w:tbl>
    <w:p>
      <w:pPr>
        <w:spacing w:after="0" w:line="240" w:lineRule="auto"/>
        <w:jc w:val="left"/>
        <w:rPr>
          <w:sz w:val="24"/>
        </w:rPr>
        <w:sectPr>
          <w:pgSz w:w="12240" w:h="15840"/>
          <w:pgMar w:header="752" w:footer="0" w:top="1220" w:bottom="280" w:left="1300" w:right="1300"/>
        </w:sectPr>
      </w:pPr>
    </w:p>
    <w:p>
      <w:pPr>
        <w:pStyle w:val="BodyText"/>
        <w:spacing w:before="1"/>
        <w:rPr>
          <w:sz w:val="13"/>
        </w:rPr>
      </w:pPr>
    </w:p>
    <w:p>
      <w:pPr>
        <w:pStyle w:val="Heading1"/>
        <w:spacing w:before="35"/>
      </w:pPr>
      <w:r>
        <w:rPr/>
        <w:t>ENVIRONMENTAL IMPACT</w:t>
      </w:r>
    </w:p>
    <w:p>
      <w:pPr>
        <w:pStyle w:val="BodyText"/>
        <w:spacing w:before="13"/>
        <w:rPr>
          <w:b/>
          <w:sz w:val="17"/>
        </w:rPr>
      </w:pPr>
    </w:p>
    <w:p>
      <w:pPr>
        <w:pStyle w:val="BodyText"/>
        <w:ind w:left="140" w:right="137"/>
        <w:jc w:val="both"/>
      </w:pPr>
      <w:r>
        <w:rPr/>
        <w:t>The project is categorically exempt as there is no potential for this action to cause a significant</w:t>
      </w:r>
      <w:r>
        <w:rPr>
          <w:spacing w:val="-11"/>
        </w:rPr>
        <w:t> </w:t>
      </w:r>
      <w:r>
        <w:rPr/>
        <w:t>effect</w:t>
      </w:r>
      <w:r>
        <w:rPr>
          <w:spacing w:val="-7"/>
        </w:rPr>
        <w:t> </w:t>
      </w:r>
      <w:r>
        <w:rPr/>
        <w:t>on</w:t>
      </w:r>
      <w:r>
        <w:rPr>
          <w:spacing w:val="-7"/>
        </w:rPr>
        <w:t> </w:t>
      </w:r>
      <w:r>
        <w:rPr/>
        <w:t>the</w:t>
      </w:r>
      <w:r>
        <w:rPr>
          <w:spacing w:val="-7"/>
        </w:rPr>
        <w:t> </w:t>
      </w:r>
      <w:r>
        <w:rPr/>
        <w:t>environment</w:t>
      </w:r>
      <w:r>
        <w:rPr>
          <w:spacing w:val="-8"/>
        </w:rPr>
        <w:t> </w:t>
      </w:r>
      <w:r>
        <w:rPr/>
        <w:t>and/or</w:t>
      </w:r>
      <w:r>
        <w:rPr>
          <w:spacing w:val="-7"/>
        </w:rPr>
        <w:t> </w:t>
      </w:r>
      <w:r>
        <w:rPr/>
        <w:t>any</w:t>
      </w:r>
      <w:r>
        <w:rPr>
          <w:spacing w:val="-7"/>
        </w:rPr>
        <w:t> </w:t>
      </w:r>
      <w:r>
        <w:rPr/>
        <w:t>project</w:t>
      </w:r>
      <w:r>
        <w:rPr>
          <w:spacing w:val="-7"/>
        </w:rPr>
        <w:t> </w:t>
      </w:r>
      <w:r>
        <w:rPr/>
        <w:t>would</w:t>
      </w:r>
      <w:r>
        <w:rPr>
          <w:spacing w:val="-9"/>
        </w:rPr>
        <w:t> </w:t>
      </w:r>
      <w:r>
        <w:rPr/>
        <w:t>be</w:t>
      </w:r>
      <w:r>
        <w:rPr>
          <w:spacing w:val="-8"/>
        </w:rPr>
        <w:t> </w:t>
      </w:r>
      <w:r>
        <w:rPr/>
        <w:t>exempt</w:t>
      </w:r>
      <w:r>
        <w:rPr>
          <w:spacing w:val="-7"/>
        </w:rPr>
        <w:t> </w:t>
      </w:r>
      <w:r>
        <w:rPr/>
        <w:t>under</w:t>
      </w:r>
      <w:r>
        <w:rPr>
          <w:spacing w:val="-8"/>
        </w:rPr>
        <w:t> </w:t>
      </w:r>
      <w:r>
        <w:rPr/>
        <w:t>relevant provisions of CEQA guidelines, including, but not limited to Existing Facilities (Sec. 15301), Replacement or Reconstruction (Sec. 15302), or Construction or Conversion of Small Structures (Sec.</w:t>
      </w:r>
      <w:r>
        <w:rPr>
          <w:spacing w:val="-2"/>
        </w:rPr>
        <w:t> </w:t>
      </w:r>
      <w:r>
        <w:rPr/>
        <w:t>15303).</w:t>
      </w:r>
    </w:p>
    <w:p>
      <w:pPr>
        <w:pStyle w:val="BodyText"/>
        <w:spacing w:before="6"/>
        <w:rPr>
          <w:sz w:val="17"/>
        </w:rPr>
      </w:pPr>
    </w:p>
    <w:p>
      <w:pPr>
        <w:pStyle w:val="Heading1"/>
      </w:pPr>
      <w:r>
        <w:rPr/>
        <w:t>NEXT STEPS</w:t>
      </w:r>
    </w:p>
    <w:p>
      <w:pPr>
        <w:pStyle w:val="BodyText"/>
        <w:spacing w:before="122"/>
        <w:ind w:left="140" w:right="140"/>
        <w:jc w:val="both"/>
      </w:pPr>
      <w:r>
        <w:rPr/>
        <w:t>The recommendations made by the Planning Commission will be forwarded to the City Council for consideration.</w:t>
      </w:r>
    </w:p>
    <w:p>
      <w:pPr>
        <w:pStyle w:val="BodyText"/>
      </w:pPr>
    </w:p>
    <w:p>
      <w:pPr>
        <w:pStyle w:val="BodyText"/>
        <w:ind w:left="1580" w:right="4014" w:hanging="1440"/>
      </w:pPr>
      <w:r>
        <w:rPr/>
        <w:t>Prepared by: Gian Paolo Martire, Associate Planner Piu Ghosh, Principal Planner</w:t>
      </w:r>
    </w:p>
    <w:p>
      <w:pPr>
        <w:pStyle w:val="BodyText"/>
      </w:pPr>
    </w:p>
    <w:p>
      <w:pPr>
        <w:pStyle w:val="BodyText"/>
      </w:pPr>
    </w:p>
    <w:p>
      <w:pPr>
        <w:pStyle w:val="BodyText"/>
        <w:tabs>
          <w:tab w:pos="5899" w:val="left" w:leader="none"/>
        </w:tabs>
        <w:ind w:left="140"/>
        <w:jc w:val="both"/>
      </w:pPr>
      <w:r>
        <w:rPr/>
        <w:t>Reviewed</w:t>
      </w:r>
      <w:r>
        <w:rPr>
          <w:spacing w:val="-1"/>
        </w:rPr>
        <w:t> </w:t>
      </w:r>
      <w:r>
        <w:rPr/>
        <w:t>by:</w:t>
        <w:tab/>
        <w:t>Approved</w:t>
      </w:r>
      <w:r>
        <w:rPr>
          <w:spacing w:val="-2"/>
        </w:rPr>
        <w:t> </w:t>
      </w:r>
      <w:r>
        <w:rPr/>
        <w:t>by:</w:t>
      </w:r>
    </w:p>
    <w:p>
      <w:pPr>
        <w:pStyle w:val="BodyText"/>
        <w:rPr>
          <w:sz w:val="20"/>
        </w:rPr>
      </w:pPr>
    </w:p>
    <w:p>
      <w:pPr>
        <w:pStyle w:val="BodyText"/>
        <w:rPr>
          <w:sz w:val="20"/>
        </w:rPr>
      </w:pPr>
    </w:p>
    <w:p>
      <w:pPr>
        <w:pStyle w:val="BodyText"/>
        <w:spacing w:before="8"/>
        <w:rPr>
          <w:sz w:val="25"/>
        </w:rPr>
      </w:pPr>
      <w:r>
        <w:rPr/>
        <w:pict>
          <v:line style="position:absolute;mso-position-horizontal-relative:page;mso-position-vertical-relative:paragraph;z-index:1096;mso-wrap-distance-left:0;mso-wrap-distance-right:0" from="72pt,19.5961pt" to="252.000009pt,19.5961pt" stroked="true" strokeweight=".703125pt" strokecolor="#000000">
            <w10:wrap type="topAndBottom"/>
          </v:line>
        </w:pict>
      </w:r>
      <w:r>
        <w:rPr/>
        <w:pict>
          <v:line style="position:absolute;mso-position-horizontal-relative:page;mso-position-vertical-relative:paragraph;z-index:1120;mso-wrap-distance-left:0;mso-wrap-distance-right:0" from="360pt,19.5961pt" to="522.000008pt,19.5961pt" stroked="true" strokeweight=".703125pt" strokecolor="#000000">
            <w10:wrap type="topAndBottom"/>
          </v:line>
        </w:pict>
      </w:r>
    </w:p>
    <w:p>
      <w:pPr>
        <w:pStyle w:val="BodyText"/>
        <w:tabs>
          <w:tab w:pos="5899" w:val="left" w:leader="none"/>
        </w:tabs>
        <w:spacing w:before="1"/>
        <w:ind w:left="140" w:right="128"/>
      </w:pPr>
      <w:r>
        <w:rPr/>
        <w:t>Benjamin</w:t>
      </w:r>
      <w:r>
        <w:rPr>
          <w:spacing w:val="-1"/>
        </w:rPr>
        <w:t> </w:t>
      </w:r>
      <w:r>
        <w:rPr/>
        <w:t>Fu</w:t>
        <w:tab/>
        <w:t>Aarti</w:t>
      </w:r>
      <w:r>
        <w:rPr>
          <w:spacing w:val="-1"/>
        </w:rPr>
        <w:t> </w:t>
      </w:r>
      <w:r>
        <w:rPr/>
        <w:t>Shrivastava</w:t>
      </w:r>
    </w:p>
    <w:p>
      <w:pPr>
        <w:pStyle w:val="BodyText"/>
        <w:tabs>
          <w:tab w:pos="5899" w:val="left" w:leader="none"/>
        </w:tabs>
        <w:ind w:left="140" w:right="128"/>
      </w:pPr>
      <w:r>
        <w:rPr/>
        <w:t>Assistant Director of</w:t>
      </w:r>
      <w:r>
        <w:rPr>
          <w:spacing w:val="-3"/>
        </w:rPr>
        <w:t> </w:t>
      </w:r>
      <w:r>
        <w:rPr/>
        <w:t>Community</w:t>
      </w:r>
      <w:r>
        <w:rPr>
          <w:spacing w:val="-1"/>
        </w:rPr>
        <w:t> </w:t>
      </w:r>
      <w:r>
        <w:rPr/>
        <w:t>Development</w:t>
        <w:tab/>
        <w:t>Assistant City</w:t>
      </w:r>
      <w:r>
        <w:rPr>
          <w:spacing w:val="-2"/>
        </w:rPr>
        <w:t> </w:t>
      </w:r>
      <w:r>
        <w:rPr/>
        <w:t>Manager</w:t>
      </w:r>
    </w:p>
    <w:p>
      <w:pPr>
        <w:pStyle w:val="BodyText"/>
        <w:spacing w:before="11"/>
        <w:rPr>
          <w:sz w:val="23"/>
        </w:rPr>
      </w:pPr>
    </w:p>
    <w:p>
      <w:pPr>
        <w:pStyle w:val="Heading1"/>
        <w:ind w:right="128"/>
        <w:jc w:val="left"/>
      </w:pPr>
      <w:r>
        <w:rPr/>
        <w:t>ATTACHMENTS</w:t>
      </w:r>
    </w:p>
    <w:p>
      <w:pPr>
        <w:pStyle w:val="ListParagraph"/>
        <w:numPr>
          <w:ilvl w:val="2"/>
          <w:numId w:val="3"/>
        </w:numPr>
        <w:tabs>
          <w:tab w:pos="860" w:val="left" w:leader="none"/>
        </w:tabs>
        <w:spacing w:line="240" w:lineRule="auto" w:before="2" w:after="0"/>
        <w:ind w:left="860" w:right="139" w:hanging="360"/>
        <w:jc w:val="left"/>
        <w:rPr>
          <w:sz w:val="24"/>
        </w:rPr>
      </w:pPr>
      <w:r>
        <w:rPr>
          <w:sz w:val="24"/>
        </w:rPr>
        <w:t>Draft Resolution of the Planning Commission recommending adoption of the Draft</w:t>
      </w:r>
      <w:r>
        <w:rPr>
          <w:spacing w:val="-2"/>
          <w:sz w:val="24"/>
        </w:rPr>
        <w:t> </w:t>
      </w:r>
      <w:r>
        <w:rPr>
          <w:sz w:val="24"/>
        </w:rPr>
        <w:t>Ordinance</w:t>
      </w:r>
    </w:p>
    <w:p>
      <w:pPr>
        <w:pStyle w:val="ListParagraph"/>
        <w:numPr>
          <w:ilvl w:val="2"/>
          <w:numId w:val="3"/>
        </w:numPr>
        <w:tabs>
          <w:tab w:pos="860" w:val="left" w:leader="none"/>
        </w:tabs>
        <w:spacing w:line="240" w:lineRule="auto" w:before="0" w:after="0"/>
        <w:ind w:left="860" w:right="138" w:hanging="360"/>
        <w:jc w:val="left"/>
        <w:rPr>
          <w:sz w:val="24"/>
        </w:rPr>
      </w:pPr>
      <w:r>
        <w:rPr>
          <w:sz w:val="24"/>
        </w:rPr>
        <w:t>Redline document indicating changes in Chapters 19.08, 19.20, 19.24, 19.32, 19.52, and 19.112</w:t>
      </w:r>
    </w:p>
    <w:sectPr>
      <w:pgSz w:w="12240" w:h="15840"/>
      <w:pgMar w:header="752" w:footer="0" w:top="1220" w:bottom="2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5032" from="70.559998pt,61.080002pt" to="541.439998pt,61.080002pt" stroked="true" strokeweight=".48pt" strokecolor="#000000">
          <w10:wrap type="none"/>
        </v:line>
      </w:pict>
    </w:r>
    <w:r>
      <w:rPr/>
      <w:pict>
        <v:shapetype id="_x0000_t202" o:spt="202" coordsize="21600,21600" path="m,l,21600r21600,l21600,xe">
          <v:stroke joinstyle="miter"/>
          <v:path gradientshapeok="t" o:connecttype="rect"/>
        </v:shapetype>
        <v:shape style="position:absolute;margin-left:71.283089pt;margin-top:36.584724pt;width:62.7pt;height:12pt;mso-position-horizontal-relative:page;mso-position-vertical-relative:page;z-index:-5008" type="#_x0000_t202" filled="false" stroked="false">
          <v:textbox inset="0,0,0,0">
            <w:txbxContent>
              <w:p>
                <w:pPr>
                  <w:spacing w:line="224" w:lineRule="exact" w:before="0"/>
                  <w:ind w:left="20" w:right="0" w:firstLine="0"/>
                  <w:jc w:val="left"/>
                  <w:rPr>
                    <w:rFonts w:ascii="Times New Roman"/>
                    <w:sz w:val="20"/>
                  </w:rPr>
                </w:pPr>
                <w:r>
                  <w:rPr>
                    <w:rFonts w:ascii="Times New Roman"/>
                    <w:sz w:val="20"/>
                  </w:rPr>
                  <w:t>MCA-2016-05</w:t>
                </w:r>
              </w:p>
            </w:txbxContent>
          </v:textbox>
          <w10:wrap type="none"/>
        </v:shape>
      </w:pict>
    </w:r>
    <w:r>
      <w:rPr/>
      <w:pict>
        <v:shape style="position:absolute;margin-left:466.476776pt;margin-top:36.584724pt;width:75.4pt;height:24.45pt;mso-position-horizontal-relative:page;mso-position-vertical-relative:page;z-index:-4984" type="#_x0000_t202" filled="false" stroked="false">
          <v:textbox inset="0,0,0,0">
            <w:txbxContent>
              <w:p>
                <w:pPr>
                  <w:spacing w:line="224" w:lineRule="exact" w:before="0"/>
                  <w:ind w:left="20" w:right="0" w:firstLine="0"/>
                  <w:jc w:val="left"/>
                  <w:rPr>
                    <w:rFonts w:ascii="Times New Roman"/>
                    <w:sz w:val="20"/>
                  </w:rPr>
                </w:pPr>
                <w:r>
                  <w:rPr>
                    <w:rFonts w:ascii="Times New Roman"/>
                    <w:sz w:val="20"/>
                  </w:rPr>
                  <w:t>October 25, 2016</w:t>
                </w:r>
              </w:p>
              <w:p>
                <w:pPr>
                  <w:spacing w:before="19"/>
                  <w:ind w:left="896" w:right="0" w:firstLine="0"/>
                  <w:jc w:val="left"/>
                  <w:rPr>
                    <w:rFonts w:ascii="Times New Roman"/>
                    <w:sz w:val="20"/>
                  </w:rPr>
                </w:pPr>
                <w:r>
                  <w:rPr>
                    <w:rFonts w:ascii="Times New Roman"/>
                    <w:sz w:val="20"/>
                  </w:rPr>
                  <w:t>Page </w:t>
                </w:r>
                <w:r>
                  <w:rPr/>
                  <w:fldChar w:fldCharType="begin"/>
                </w:r>
                <w:r>
                  <w:rPr>
                    <w:rFonts w:ascii="Times New Roman"/>
                    <w:sz w:val="20"/>
                  </w:rPr>
                  <w:instrText> PAGE </w:instrText>
                </w:r>
                <w:r>
                  <w:rPr/>
                  <w:fldChar w:fldCharType="separate"/>
                </w:r>
                <w:r>
                  <w:rPr/>
                  <w:t>2</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1"/>
      <w:numFmt w:val="bullet"/>
      <w:lvlText w:val=""/>
      <w:lvlJc w:val="left"/>
      <w:pPr>
        <w:ind w:left="355" w:hanging="252"/>
      </w:pPr>
      <w:rPr>
        <w:rFonts w:hint="default" w:ascii="Wingdings" w:hAnsi="Wingdings" w:eastAsia="Wingdings" w:cs="Wingdings"/>
        <w:w w:val="100"/>
        <w:sz w:val="24"/>
        <w:szCs w:val="24"/>
      </w:rPr>
    </w:lvl>
    <w:lvl w:ilvl="1">
      <w:start w:val="1"/>
      <w:numFmt w:val="bullet"/>
      <w:lvlText w:val="•"/>
      <w:lvlJc w:val="left"/>
      <w:pPr>
        <w:ind w:left="844" w:hanging="252"/>
      </w:pPr>
      <w:rPr>
        <w:rFonts w:hint="default"/>
      </w:rPr>
    </w:lvl>
    <w:lvl w:ilvl="2">
      <w:start w:val="1"/>
      <w:numFmt w:val="bullet"/>
      <w:lvlText w:val="•"/>
      <w:lvlJc w:val="left"/>
      <w:pPr>
        <w:ind w:left="1329" w:hanging="252"/>
      </w:pPr>
      <w:rPr>
        <w:rFonts w:hint="default"/>
      </w:rPr>
    </w:lvl>
    <w:lvl w:ilvl="3">
      <w:start w:val="1"/>
      <w:numFmt w:val="bullet"/>
      <w:lvlText w:val="•"/>
      <w:lvlJc w:val="left"/>
      <w:pPr>
        <w:ind w:left="1813" w:hanging="252"/>
      </w:pPr>
      <w:rPr>
        <w:rFonts w:hint="default"/>
      </w:rPr>
    </w:lvl>
    <w:lvl w:ilvl="4">
      <w:start w:val="1"/>
      <w:numFmt w:val="bullet"/>
      <w:lvlText w:val="•"/>
      <w:lvlJc w:val="left"/>
      <w:pPr>
        <w:ind w:left="2298" w:hanging="252"/>
      </w:pPr>
      <w:rPr>
        <w:rFonts w:hint="default"/>
      </w:rPr>
    </w:lvl>
    <w:lvl w:ilvl="5">
      <w:start w:val="1"/>
      <w:numFmt w:val="bullet"/>
      <w:lvlText w:val="•"/>
      <w:lvlJc w:val="left"/>
      <w:pPr>
        <w:ind w:left="2782" w:hanging="252"/>
      </w:pPr>
      <w:rPr>
        <w:rFonts w:hint="default"/>
      </w:rPr>
    </w:lvl>
    <w:lvl w:ilvl="6">
      <w:start w:val="1"/>
      <w:numFmt w:val="bullet"/>
      <w:lvlText w:val="•"/>
      <w:lvlJc w:val="left"/>
      <w:pPr>
        <w:ind w:left="3267" w:hanging="252"/>
      </w:pPr>
      <w:rPr>
        <w:rFonts w:hint="default"/>
      </w:rPr>
    </w:lvl>
    <w:lvl w:ilvl="7">
      <w:start w:val="1"/>
      <w:numFmt w:val="bullet"/>
      <w:lvlText w:val="•"/>
      <w:lvlJc w:val="left"/>
      <w:pPr>
        <w:ind w:left="3751" w:hanging="252"/>
      </w:pPr>
      <w:rPr>
        <w:rFonts w:hint="default"/>
      </w:rPr>
    </w:lvl>
    <w:lvl w:ilvl="8">
      <w:start w:val="1"/>
      <w:numFmt w:val="bullet"/>
      <w:lvlText w:val="•"/>
      <w:lvlJc w:val="left"/>
      <w:pPr>
        <w:ind w:left="4236" w:hanging="252"/>
      </w:pPr>
      <w:rPr>
        <w:rFonts w:hint="default"/>
      </w:rPr>
    </w:lvl>
  </w:abstractNum>
  <w:abstractNum w:abstractNumId="3">
    <w:multiLevelType w:val="hybridMultilevel"/>
    <w:lvl w:ilvl="0">
      <w:start w:val="1"/>
      <w:numFmt w:val="bullet"/>
      <w:lvlText w:val=""/>
      <w:lvlJc w:val="left"/>
      <w:pPr>
        <w:ind w:left="283" w:hanging="180"/>
      </w:pPr>
      <w:rPr>
        <w:rFonts w:hint="default" w:ascii="Wingdings" w:hAnsi="Wingdings" w:eastAsia="Wingdings" w:cs="Wingdings"/>
        <w:w w:val="100"/>
        <w:sz w:val="24"/>
        <w:szCs w:val="24"/>
      </w:rPr>
    </w:lvl>
    <w:lvl w:ilvl="1">
      <w:start w:val="1"/>
      <w:numFmt w:val="bullet"/>
      <w:lvlText w:val="•"/>
      <w:lvlJc w:val="left"/>
      <w:pPr>
        <w:ind w:left="653" w:hanging="180"/>
      </w:pPr>
      <w:rPr>
        <w:rFonts w:hint="default"/>
      </w:rPr>
    </w:lvl>
    <w:lvl w:ilvl="2">
      <w:start w:val="1"/>
      <w:numFmt w:val="bullet"/>
      <w:lvlText w:val="•"/>
      <w:lvlJc w:val="left"/>
      <w:pPr>
        <w:ind w:left="1027" w:hanging="180"/>
      </w:pPr>
      <w:rPr>
        <w:rFonts w:hint="default"/>
      </w:rPr>
    </w:lvl>
    <w:lvl w:ilvl="3">
      <w:start w:val="1"/>
      <w:numFmt w:val="bullet"/>
      <w:lvlText w:val="•"/>
      <w:lvlJc w:val="left"/>
      <w:pPr>
        <w:ind w:left="1401" w:hanging="180"/>
      </w:pPr>
      <w:rPr>
        <w:rFonts w:hint="default"/>
      </w:rPr>
    </w:lvl>
    <w:lvl w:ilvl="4">
      <w:start w:val="1"/>
      <w:numFmt w:val="bullet"/>
      <w:lvlText w:val="•"/>
      <w:lvlJc w:val="left"/>
      <w:pPr>
        <w:ind w:left="1775" w:hanging="180"/>
      </w:pPr>
      <w:rPr>
        <w:rFonts w:hint="default"/>
      </w:rPr>
    </w:lvl>
    <w:lvl w:ilvl="5">
      <w:start w:val="1"/>
      <w:numFmt w:val="bullet"/>
      <w:lvlText w:val="•"/>
      <w:lvlJc w:val="left"/>
      <w:pPr>
        <w:ind w:left="2148" w:hanging="180"/>
      </w:pPr>
      <w:rPr>
        <w:rFonts w:hint="default"/>
      </w:rPr>
    </w:lvl>
    <w:lvl w:ilvl="6">
      <w:start w:val="1"/>
      <w:numFmt w:val="bullet"/>
      <w:lvlText w:val="•"/>
      <w:lvlJc w:val="left"/>
      <w:pPr>
        <w:ind w:left="2522" w:hanging="180"/>
      </w:pPr>
      <w:rPr>
        <w:rFonts w:hint="default"/>
      </w:rPr>
    </w:lvl>
    <w:lvl w:ilvl="7">
      <w:start w:val="1"/>
      <w:numFmt w:val="bullet"/>
      <w:lvlText w:val="•"/>
      <w:lvlJc w:val="left"/>
      <w:pPr>
        <w:ind w:left="2896" w:hanging="180"/>
      </w:pPr>
      <w:rPr>
        <w:rFonts w:hint="default"/>
      </w:rPr>
    </w:lvl>
    <w:lvl w:ilvl="8">
      <w:start w:val="1"/>
      <w:numFmt w:val="bullet"/>
      <w:lvlText w:val="•"/>
      <w:lvlJc w:val="left"/>
      <w:pPr>
        <w:ind w:left="3270" w:hanging="180"/>
      </w:pPr>
      <w:rPr>
        <w:rFonts w:hint="default"/>
      </w:rPr>
    </w:lvl>
  </w:abstractNum>
  <w:abstractNum w:abstractNumId="2">
    <w:multiLevelType w:val="hybridMultilevel"/>
    <w:lvl w:ilvl="0">
      <w:start w:val="1"/>
      <w:numFmt w:val="decimal"/>
      <w:lvlText w:val="%1."/>
      <w:lvlJc w:val="left"/>
      <w:pPr>
        <w:ind w:left="500" w:hanging="360"/>
        <w:jc w:val="left"/>
      </w:pPr>
      <w:rPr>
        <w:rFonts w:hint="default" w:ascii="Palatino Linotype" w:hAnsi="Palatino Linotype" w:eastAsia="Palatino Linotype" w:cs="Palatino Linotype"/>
        <w:b/>
        <w:bCs/>
        <w:spacing w:val="-21"/>
        <w:w w:val="99"/>
        <w:sz w:val="24"/>
        <w:szCs w:val="24"/>
      </w:rPr>
    </w:lvl>
    <w:lvl w:ilvl="1">
      <w:start w:val="1"/>
      <w:numFmt w:val="lowerLetter"/>
      <w:lvlText w:val="%2."/>
      <w:lvlJc w:val="left"/>
      <w:pPr>
        <w:ind w:left="860" w:hanging="360"/>
        <w:jc w:val="left"/>
      </w:pPr>
      <w:rPr>
        <w:rFonts w:hint="default" w:ascii="Palatino Linotype" w:hAnsi="Palatino Linotype" w:eastAsia="Palatino Linotype" w:cs="Palatino Linotype"/>
        <w:spacing w:val="-6"/>
        <w:w w:val="99"/>
        <w:sz w:val="24"/>
        <w:szCs w:val="24"/>
      </w:rPr>
    </w:lvl>
    <w:lvl w:ilvl="2">
      <w:start w:val="1"/>
      <w:numFmt w:val="decimal"/>
      <w:lvlText w:val="%3."/>
      <w:lvlJc w:val="left"/>
      <w:pPr>
        <w:ind w:left="860" w:hanging="360"/>
        <w:jc w:val="left"/>
      </w:pPr>
      <w:rPr>
        <w:rFonts w:hint="default" w:ascii="Palatino Linotype" w:hAnsi="Palatino Linotype" w:eastAsia="Palatino Linotype" w:cs="Palatino Linotype"/>
        <w:spacing w:val="-14"/>
        <w:w w:val="99"/>
        <w:sz w:val="24"/>
        <w:szCs w:val="24"/>
      </w:rPr>
    </w:lvl>
    <w:lvl w:ilvl="3">
      <w:start w:val="1"/>
      <w:numFmt w:val="bullet"/>
      <w:lvlText w:val="•"/>
      <w:lvlJc w:val="left"/>
      <w:pPr>
        <w:ind w:left="2811" w:hanging="360"/>
      </w:pPr>
      <w:rPr>
        <w:rFonts w:hint="default"/>
      </w:rPr>
    </w:lvl>
    <w:lvl w:ilvl="4">
      <w:start w:val="1"/>
      <w:numFmt w:val="bullet"/>
      <w:lvlText w:val="•"/>
      <w:lvlJc w:val="left"/>
      <w:pPr>
        <w:ind w:left="3786" w:hanging="360"/>
      </w:pPr>
      <w:rPr>
        <w:rFonts w:hint="default"/>
      </w:rPr>
    </w:lvl>
    <w:lvl w:ilvl="5">
      <w:start w:val="1"/>
      <w:numFmt w:val="bullet"/>
      <w:lvlText w:val="•"/>
      <w:lvlJc w:val="left"/>
      <w:pPr>
        <w:ind w:left="4762" w:hanging="360"/>
      </w:pPr>
      <w:rPr>
        <w:rFonts w:hint="default"/>
      </w:rPr>
    </w:lvl>
    <w:lvl w:ilvl="6">
      <w:start w:val="1"/>
      <w:numFmt w:val="bullet"/>
      <w:lvlText w:val="•"/>
      <w:lvlJc w:val="left"/>
      <w:pPr>
        <w:ind w:left="5737" w:hanging="360"/>
      </w:pPr>
      <w:rPr>
        <w:rFonts w:hint="default"/>
      </w:rPr>
    </w:lvl>
    <w:lvl w:ilvl="7">
      <w:start w:val="1"/>
      <w:numFmt w:val="bullet"/>
      <w:lvlText w:val="•"/>
      <w:lvlJc w:val="left"/>
      <w:pPr>
        <w:ind w:left="6713" w:hanging="360"/>
      </w:pPr>
      <w:rPr>
        <w:rFonts w:hint="default"/>
      </w:rPr>
    </w:lvl>
    <w:lvl w:ilvl="8">
      <w:start w:val="1"/>
      <w:numFmt w:val="bullet"/>
      <w:lvlText w:val="•"/>
      <w:lvlJc w:val="left"/>
      <w:pPr>
        <w:ind w:left="7688" w:hanging="360"/>
      </w:pPr>
      <w:rPr>
        <w:rFonts w:hint="default"/>
      </w:rPr>
    </w:lvl>
  </w:abstractNum>
  <w:abstractNum w:abstractNumId="1">
    <w:multiLevelType w:val="hybridMultilevel"/>
    <w:lvl w:ilvl="0">
      <w:start w:val="2"/>
      <w:numFmt w:val="decimal"/>
      <w:lvlText w:val="%0.%1"/>
      <w:lvlJc w:val="left"/>
      <w:pPr>
        <w:ind w:left="140" w:hanging="881"/>
        <w:jc w:val="left"/>
      </w:pPr>
      <w:rPr>
        <w:rFonts w:hint="default" w:ascii="Palatino Linotype" w:hAnsi="Palatino Linotype" w:eastAsia="Palatino Linotype" w:cs="Palatino Linotype"/>
        <w:spacing w:val="-21"/>
        <w:w w:val="99"/>
        <w:sz w:val="24"/>
        <w:szCs w:val="24"/>
      </w:rPr>
    </w:lvl>
    <w:lvl w:ilvl="1">
      <w:start w:val="1"/>
      <w:numFmt w:val="decimal"/>
      <w:lvlText w:val="%2."/>
      <w:lvlJc w:val="left"/>
      <w:pPr>
        <w:ind w:left="860" w:hanging="360"/>
        <w:jc w:val="left"/>
      </w:pPr>
      <w:rPr>
        <w:rFonts w:hint="default" w:ascii="Palatino Linotype" w:hAnsi="Palatino Linotype" w:eastAsia="Palatino Linotype" w:cs="Palatino Linotype"/>
        <w:spacing w:val="-1"/>
        <w:w w:val="99"/>
        <w:sz w:val="24"/>
        <w:szCs w:val="24"/>
      </w:rPr>
    </w:lvl>
    <w:lvl w:ilvl="2">
      <w:start w:val="1"/>
      <w:numFmt w:val="bullet"/>
      <w:lvlText w:val="•"/>
      <w:lvlJc w:val="left"/>
      <w:pPr>
        <w:ind w:left="1835" w:hanging="360"/>
      </w:pPr>
      <w:rPr>
        <w:rFonts w:hint="default"/>
      </w:rPr>
    </w:lvl>
    <w:lvl w:ilvl="3">
      <w:start w:val="1"/>
      <w:numFmt w:val="bullet"/>
      <w:lvlText w:val="•"/>
      <w:lvlJc w:val="left"/>
      <w:pPr>
        <w:ind w:left="2811" w:hanging="360"/>
      </w:pPr>
      <w:rPr>
        <w:rFonts w:hint="default"/>
      </w:rPr>
    </w:lvl>
    <w:lvl w:ilvl="4">
      <w:start w:val="1"/>
      <w:numFmt w:val="bullet"/>
      <w:lvlText w:val="•"/>
      <w:lvlJc w:val="left"/>
      <w:pPr>
        <w:ind w:left="3786" w:hanging="360"/>
      </w:pPr>
      <w:rPr>
        <w:rFonts w:hint="default"/>
      </w:rPr>
    </w:lvl>
    <w:lvl w:ilvl="5">
      <w:start w:val="1"/>
      <w:numFmt w:val="bullet"/>
      <w:lvlText w:val="•"/>
      <w:lvlJc w:val="left"/>
      <w:pPr>
        <w:ind w:left="4762" w:hanging="360"/>
      </w:pPr>
      <w:rPr>
        <w:rFonts w:hint="default"/>
      </w:rPr>
    </w:lvl>
    <w:lvl w:ilvl="6">
      <w:start w:val="1"/>
      <w:numFmt w:val="bullet"/>
      <w:lvlText w:val="•"/>
      <w:lvlJc w:val="left"/>
      <w:pPr>
        <w:ind w:left="5737" w:hanging="360"/>
      </w:pPr>
      <w:rPr>
        <w:rFonts w:hint="default"/>
      </w:rPr>
    </w:lvl>
    <w:lvl w:ilvl="7">
      <w:start w:val="1"/>
      <w:numFmt w:val="bullet"/>
      <w:lvlText w:val="•"/>
      <w:lvlJc w:val="left"/>
      <w:pPr>
        <w:ind w:left="6713" w:hanging="360"/>
      </w:pPr>
      <w:rPr>
        <w:rFonts w:hint="default"/>
      </w:rPr>
    </w:lvl>
    <w:lvl w:ilvl="8">
      <w:start w:val="1"/>
      <w:numFmt w:val="bullet"/>
      <w:lvlText w:val="•"/>
      <w:lvlJc w:val="left"/>
      <w:pPr>
        <w:ind w:left="7688" w:hanging="360"/>
      </w:pPr>
      <w:rPr>
        <w:rFonts w:hint="default"/>
      </w:rPr>
    </w:lvl>
  </w:abstractNum>
  <w:abstractNum w:abstractNumId="0">
    <w:multiLevelType w:val="hybridMultilevel"/>
    <w:lvl w:ilvl="0">
      <w:start w:val="1"/>
      <w:numFmt w:val="decimal"/>
      <w:lvlText w:val="%1."/>
      <w:lvlJc w:val="left"/>
      <w:pPr>
        <w:ind w:left="460" w:hanging="360"/>
        <w:jc w:val="left"/>
      </w:pPr>
      <w:rPr>
        <w:rFonts w:hint="default" w:ascii="Palatino Linotype" w:hAnsi="Palatino Linotype" w:eastAsia="Palatino Linotype" w:cs="Palatino Linotype"/>
        <w:w w:val="99"/>
        <w:sz w:val="24"/>
        <w:szCs w:val="24"/>
      </w:rPr>
    </w:lvl>
    <w:lvl w:ilvl="1">
      <w:start w:val="1"/>
      <w:numFmt w:val="bullet"/>
      <w:lvlText w:val="•"/>
      <w:lvlJc w:val="left"/>
      <w:pPr>
        <w:ind w:left="1372" w:hanging="360"/>
      </w:pPr>
      <w:rPr>
        <w:rFonts w:hint="default"/>
      </w:rPr>
    </w:lvl>
    <w:lvl w:ilvl="2">
      <w:start w:val="1"/>
      <w:numFmt w:val="bullet"/>
      <w:lvlText w:val="•"/>
      <w:lvlJc w:val="left"/>
      <w:pPr>
        <w:ind w:left="2284" w:hanging="360"/>
      </w:pPr>
      <w:rPr>
        <w:rFonts w:hint="default"/>
      </w:rPr>
    </w:lvl>
    <w:lvl w:ilvl="3">
      <w:start w:val="1"/>
      <w:numFmt w:val="bullet"/>
      <w:lvlText w:val="•"/>
      <w:lvlJc w:val="left"/>
      <w:pPr>
        <w:ind w:left="3196" w:hanging="360"/>
      </w:pPr>
      <w:rPr>
        <w:rFonts w:hint="default"/>
      </w:rPr>
    </w:lvl>
    <w:lvl w:ilvl="4">
      <w:start w:val="1"/>
      <w:numFmt w:val="bullet"/>
      <w:lvlText w:val="•"/>
      <w:lvlJc w:val="left"/>
      <w:pPr>
        <w:ind w:left="4108" w:hanging="360"/>
      </w:pPr>
      <w:rPr>
        <w:rFonts w:hint="default"/>
      </w:rPr>
    </w:lvl>
    <w:lvl w:ilvl="5">
      <w:start w:val="1"/>
      <w:numFmt w:val="bullet"/>
      <w:lvlText w:val="•"/>
      <w:lvlJc w:val="left"/>
      <w:pPr>
        <w:ind w:left="5020" w:hanging="360"/>
      </w:pPr>
      <w:rPr>
        <w:rFonts w:hint="default"/>
      </w:rPr>
    </w:lvl>
    <w:lvl w:ilvl="6">
      <w:start w:val="1"/>
      <w:numFmt w:val="bullet"/>
      <w:lvlText w:val="•"/>
      <w:lvlJc w:val="left"/>
      <w:pPr>
        <w:ind w:left="5932" w:hanging="360"/>
      </w:pPr>
      <w:rPr>
        <w:rFonts w:hint="default"/>
      </w:rPr>
    </w:lvl>
    <w:lvl w:ilvl="7">
      <w:start w:val="1"/>
      <w:numFmt w:val="bullet"/>
      <w:lvlText w:val="•"/>
      <w:lvlJc w:val="left"/>
      <w:pPr>
        <w:ind w:left="6844" w:hanging="360"/>
      </w:pPr>
      <w:rPr>
        <w:rFonts w:hint="default"/>
      </w:rPr>
    </w:lvl>
    <w:lvl w:ilvl="8">
      <w:start w:val="1"/>
      <w:numFmt w:val="bullet"/>
      <w:lvlText w:val="•"/>
      <w:lvlJc w:val="left"/>
      <w:pPr>
        <w:ind w:left="7756" w:hanging="360"/>
      </w:pPr>
      <w:rPr>
        <w:rFonts w:hint="default"/>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Palatino Linotype" w:hAnsi="Palatino Linotype" w:eastAsia="Palatino Linotype" w:cs="Palatino Linotype"/>
    </w:rPr>
  </w:style>
  <w:style w:styleId="BodyText" w:type="paragraph">
    <w:name w:val="Body Text"/>
    <w:basedOn w:val="Normal"/>
    <w:uiPriority w:val="1"/>
    <w:qFormat/>
    <w:pPr/>
    <w:rPr>
      <w:rFonts w:ascii="Palatino Linotype" w:hAnsi="Palatino Linotype" w:eastAsia="Palatino Linotype" w:cs="Palatino Linotype"/>
      <w:sz w:val="24"/>
      <w:szCs w:val="24"/>
    </w:rPr>
  </w:style>
  <w:style w:styleId="Heading1" w:type="paragraph">
    <w:name w:val="Heading 1"/>
    <w:basedOn w:val="Normal"/>
    <w:uiPriority w:val="1"/>
    <w:qFormat/>
    <w:pPr>
      <w:ind w:left="140"/>
      <w:jc w:val="both"/>
      <w:outlineLvl w:val="1"/>
    </w:pPr>
    <w:rPr>
      <w:rFonts w:ascii="Palatino Linotype" w:hAnsi="Palatino Linotype" w:eastAsia="Palatino Linotype" w:cs="Palatino Linotype"/>
      <w:b/>
      <w:bCs/>
      <w:sz w:val="24"/>
      <w:szCs w:val="24"/>
    </w:rPr>
  </w:style>
  <w:style w:styleId="Heading2" w:type="paragraph">
    <w:name w:val="Heading 2"/>
    <w:basedOn w:val="Normal"/>
    <w:uiPriority w:val="1"/>
    <w:qFormat/>
    <w:pPr>
      <w:ind w:left="140"/>
      <w:jc w:val="both"/>
      <w:outlineLvl w:val="2"/>
    </w:pPr>
    <w:rPr>
      <w:rFonts w:ascii="Palatino Linotype" w:hAnsi="Palatino Linotype" w:eastAsia="Palatino Linotype" w:cs="Palatino Linotype"/>
      <w:b/>
      <w:bCs/>
      <w:i/>
      <w:sz w:val="24"/>
      <w:szCs w:val="24"/>
    </w:rPr>
  </w:style>
  <w:style w:styleId="ListParagraph" w:type="paragraph">
    <w:name w:val="List Paragraph"/>
    <w:basedOn w:val="Normal"/>
    <w:uiPriority w:val="1"/>
    <w:qFormat/>
    <w:pPr>
      <w:ind w:left="860" w:hanging="360"/>
    </w:pPr>
    <w:rPr>
      <w:rFonts w:ascii="Palatino Linotype" w:hAnsi="Palatino Linotype" w:eastAsia="Palatino Linotype" w:cs="Palatino Linotype"/>
    </w:rPr>
  </w:style>
  <w:style w:styleId="TableParagraph" w:type="paragraph">
    <w:name w:val="Table Paragraph"/>
    <w:basedOn w:val="Normal"/>
    <w:uiPriority w:val="1"/>
    <w:qFormat/>
    <w:pPr>
      <w:ind w:left="103"/>
    </w:pPr>
    <w:rPr>
      <w:rFonts w:ascii="Palatino Linotype" w:hAnsi="Palatino Linotype" w:eastAsia="Palatino Linotype" w:cs="Palatino Linotype"/>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mailto:planning@cupertino.org" TargetMode="External"/><Relationship Id="rId7" Type="http://schemas.openxmlformats.org/officeDocument/2006/relationships/header" Target="header1.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16-2073 - MCA-2016-05 PC Report Draft(1)</dc:title>
  <dcterms:created xsi:type="dcterms:W3CDTF">2016-12-19T18:02:19Z</dcterms:created>
  <dcterms:modified xsi:type="dcterms:W3CDTF">2016-12-19T18:02:19Z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2016-10-20T00:00:00Z</vt:filetime>
  </property>
  <property fmtid="{D5CDD505-2E9C-101B-9397-08002B2CF9AE}" pid="3" name="Creator">
    <vt:lpwstr>Legistar</vt:lpwstr>
  </property>
  <property fmtid="{D5CDD505-2E9C-101B-9397-08002B2CF9AE}" pid="4" name="LastSaved">
    <vt:filetime>2016-12-19T00:00:00Z</vt:filetime>
  </property>
</Properties>
</file>