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3974" w14:textId="77777777" w:rsidR="00D34F35" w:rsidRDefault="00D34F35" w:rsidP="00D34F35">
      <w:pPr>
        <w:rPr>
          <w:rFonts w:ascii="Century Gothic" w:hAnsi="Century Gothic" w:cs="Times New Roman"/>
          <w:sz w:val="10"/>
          <w:szCs w:val="10"/>
        </w:rPr>
      </w:pPr>
    </w:p>
    <w:p w14:paraId="4BD505F6" w14:textId="77777777" w:rsidR="0038661C" w:rsidRPr="00055595" w:rsidRDefault="0038661C" w:rsidP="00D34F35">
      <w:pPr>
        <w:rPr>
          <w:rFonts w:ascii="Century Gothic" w:hAnsi="Century Gothic" w:cs="Times New Roman"/>
          <w:sz w:val="10"/>
          <w:szCs w:val="10"/>
        </w:rPr>
      </w:pPr>
    </w:p>
    <w:p w14:paraId="46527AB8" w14:textId="77777777" w:rsidR="00D34F35" w:rsidRDefault="00D34F35" w:rsidP="00DD7D2D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 xml:space="preserve">2018 Housing Bills </w:t>
      </w:r>
    </w:p>
    <w:p w14:paraId="653AC234" w14:textId="3B15A06A" w:rsidR="00D34F35" w:rsidRPr="00D34F35" w:rsidRDefault="00D34F35" w:rsidP="00D34F35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jc w:val="center"/>
        <w:rPr>
          <w:rFonts w:ascii="Century Gothic" w:hAnsi="Century Gothic"/>
          <w:bCs/>
          <w:sz w:val="28"/>
          <w:szCs w:val="28"/>
        </w:rPr>
      </w:pPr>
      <w:r w:rsidRPr="00D34F35">
        <w:rPr>
          <w:rFonts w:ascii="Century Gothic" w:hAnsi="Century Gothic"/>
          <w:bCs/>
          <w:sz w:val="28"/>
          <w:szCs w:val="28"/>
        </w:rPr>
        <w:t xml:space="preserve">Updated </w:t>
      </w:r>
      <w:r w:rsidR="00EE4927">
        <w:rPr>
          <w:rFonts w:ascii="Century Gothic" w:hAnsi="Century Gothic"/>
          <w:bCs/>
          <w:sz w:val="28"/>
          <w:szCs w:val="28"/>
        </w:rPr>
        <w:t>October 2,</w:t>
      </w:r>
      <w:bookmarkStart w:id="0" w:name="_GoBack"/>
      <w:bookmarkEnd w:id="0"/>
      <w:r w:rsidRPr="00D34F35">
        <w:rPr>
          <w:rFonts w:ascii="Century Gothic" w:hAnsi="Century Gothic"/>
          <w:bCs/>
          <w:sz w:val="28"/>
          <w:szCs w:val="28"/>
        </w:rPr>
        <w:t xml:space="preserve"> 2018</w:t>
      </w:r>
    </w:p>
    <w:p w14:paraId="1A392B2C" w14:textId="77777777" w:rsidR="00D34F35" w:rsidRPr="00055595" w:rsidRDefault="00D34F35" w:rsidP="00D34F35">
      <w:pPr>
        <w:rPr>
          <w:rFonts w:ascii="Century Gothic" w:hAnsi="Century Gothic"/>
          <w:b/>
          <w:bCs/>
          <w:sz w:val="28"/>
          <w:szCs w:val="40"/>
        </w:rPr>
      </w:pPr>
    </w:p>
    <w:p w14:paraId="1E39E824" w14:textId="77777777" w:rsidR="006E3EF1" w:rsidRPr="00DD7D2D" w:rsidRDefault="006E3EF1">
      <w:pPr>
        <w:rPr>
          <w:b/>
          <w:sz w:val="32"/>
          <w:szCs w:val="32"/>
        </w:rPr>
      </w:pPr>
      <w:r w:rsidRPr="00DD7D2D">
        <w:rPr>
          <w:b/>
          <w:sz w:val="32"/>
          <w:szCs w:val="32"/>
        </w:rPr>
        <w:t>Overall</w:t>
      </w:r>
    </w:p>
    <w:p w14:paraId="2E8B668D" w14:textId="77777777" w:rsidR="004A7C68" w:rsidRDefault="004A7C68" w:rsidP="004A7C68">
      <w:r>
        <w:t xml:space="preserve">The 2018 legislative cycle does not appear to be as significant for housing issues as the previous year. A number of the more controversial or significant bills have not advanced. Bills </w:t>
      </w:r>
      <w:r w:rsidR="00F667A7">
        <w:t xml:space="preserve">that have been signed or are </w:t>
      </w:r>
      <w:r>
        <w:t xml:space="preserve">under active consideration </w:t>
      </w:r>
      <w:r w:rsidR="00F667A7">
        <w:t xml:space="preserve">by the Governor </w:t>
      </w:r>
      <w:r>
        <w:t xml:space="preserve">propose the following: </w:t>
      </w:r>
    </w:p>
    <w:p w14:paraId="34E9EEEA" w14:textId="77777777" w:rsidR="004A7C68" w:rsidRDefault="004A7C68" w:rsidP="004A7C68">
      <w:pPr>
        <w:pStyle w:val="ListParagraph"/>
        <w:numPr>
          <w:ilvl w:val="0"/>
          <w:numId w:val="1"/>
        </w:numPr>
      </w:pPr>
      <w:r w:rsidRPr="006E6CF1">
        <w:rPr>
          <w:b/>
        </w:rPr>
        <w:t>RHNA</w:t>
      </w:r>
      <w:r>
        <w:t xml:space="preserve"> – Changes to make the RHNA distribution process more rigorous and more tied to jobs,</w:t>
      </w:r>
    </w:p>
    <w:p w14:paraId="0D7F499F" w14:textId="77777777" w:rsidR="004A7C68" w:rsidRDefault="004A7C68" w:rsidP="004A7C68">
      <w:pPr>
        <w:pStyle w:val="ListParagraph"/>
        <w:numPr>
          <w:ilvl w:val="0"/>
          <w:numId w:val="1"/>
        </w:numPr>
      </w:pPr>
      <w:r w:rsidRPr="006E6CF1">
        <w:rPr>
          <w:b/>
        </w:rPr>
        <w:t>Streamlined Review and HAA</w:t>
      </w:r>
      <w:r>
        <w:t xml:space="preserve"> – Clarifications to and small expansion of Streamlined Review/Housing Accountability Act,</w:t>
      </w:r>
    </w:p>
    <w:p w14:paraId="67381E98" w14:textId="77777777" w:rsidR="004A7C68" w:rsidRDefault="004A7C68" w:rsidP="004A7C68">
      <w:pPr>
        <w:pStyle w:val="ListParagraph"/>
        <w:numPr>
          <w:ilvl w:val="0"/>
          <w:numId w:val="1"/>
        </w:numPr>
      </w:pPr>
      <w:r w:rsidRPr="006E6CF1">
        <w:rPr>
          <w:b/>
        </w:rPr>
        <w:t>Density bonus</w:t>
      </w:r>
      <w:r>
        <w:t xml:space="preserve"> – Expansion, additional reporting requirements and clarification regarding density bonus and coastal zone,</w:t>
      </w:r>
    </w:p>
    <w:p w14:paraId="6EFA9225" w14:textId="77777777" w:rsidR="004A7C68" w:rsidRDefault="004A7C68" w:rsidP="004A7C68">
      <w:pPr>
        <w:pStyle w:val="ListParagraph"/>
        <w:numPr>
          <w:ilvl w:val="0"/>
          <w:numId w:val="1"/>
        </w:numPr>
      </w:pPr>
      <w:r>
        <w:rPr>
          <w:b/>
        </w:rPr>
        <w:t xml:space="preserve">Fair Housing </w:t>
      </w:r>
      <w:r w:rsidRPr="003D08AA">
        <w:t>–</w:t>
      </w:r>
      <w:r>
        <w:rPr>
          <w:b/>
        </w:rPr>
        <w:t xml:space="preserve"> </w:t>
      </w:r>
      <w:r>
        <w:t>Requirements that housing programs to Affirmatively Further Fair Housing,</w:t>
      </w:r>
    </w:p>
    <w:p w14:paraId="1DC588FC" w14:textId="77777777" w:rsidR="004A7C68" w:rsidRDefault="004A7C68" w:rsidP="004A7C68">
      <w:pPr>
        <w:pStyle w:val="ListParagraph"/>
        <w:numPr>
          <w:ilvl w:val="0"/>
          <w:numId w:val="1"/>
        </w:numPr>
      </w:pPr>
      <w:r>
        <w:rPr>
          <w:b/>
        </w:rPr>
        <w:t xml:space="preserve">Planning </w:t>
      </w:r>
      <w:r w:rsidRPr="003D08AA">
        <w:t>–</w:t>
      </w:r>
      <w:r>
        <w:rPr>
          <w:b/>
        </w:rPr>
        <w:t xml:space="preserve"> </w:t>
      </w:r>
      <w:r>
        <w:t>Application of General Plan rules to charter cities, which were previously exempt,</w:t>
      </w:r>
    </w:p>
    <w:p w14:paraId="3E24E29F" w14:textId="77777777" w:rsidR="004A7C68" w:rsidRDefault="004A7C68" w:rsidP="004A7C68">
      <w:pPr>
        <w:pStyle w:val="ListParagraph"/>
        <w:numPr>
          <w:ilvl w:val="0"/>
          <w:numId w:val="1"/>
        </w:numPr>
      </w:pPr>
      <w:r>
        <w:rPr>
          <w:b/>
        </w:rPr>
        <w:t xml:space="preserve">Supportive Housing </w:t>
      </w:r>
      <w:r w:rsidRPr="003B170B">
        <w:t>–</w:t>
      </w:r>
      <w:r>
        <w:t xml:space="preserve"> Supportive housing allowed by right in multifamily zones, and</w:t>
      </w:r>
    </w:p>
    <w:p w14:paraId="2816B4A5" w14:textId="77777777" w:rsidR="00C71EC8" w:rsidRPr="002F48A9" w:rsidRDefault="004A7C68" w:rsidP="002F48A9">
      <w:pPr>
        <w:pStyle w:val="ListParagraph"/>
        <w:numPr>
          <w:ilvl w:val="0"/>
          <w:numId w:val="1"/>
        </w:numPr>
      </w:pPr>
      <w:r>
        <w:rPr>
          <w:b/>
        </w:rPr>
        <w:t xml:space="preserve">Mitigation Fee Act </w:t>
      </w:r>
      <w:r>
        <w:t>– Minor additional consequences for cities that do not do annual reports.</w:t>
      </w:r>
    </w:p>
    <w:p w14:paraId="0A1CF157" w14:textId="77777777" w:rsidR="006E6CF1" w:rsidRDefault="006E6CF1">
      <w:pPr>
        <w:rPr>
          <w:b/>
          <w:sz w:val="32"/>
          <w:szCs w:val="32"/>
        </w:rPr>
      </w:pPr>
      <w:r w:rsidRPr="00995961">
        <w:rPr>
          <w:b/>
          <w:sz w:val="32"/>
          <w:szCs w:val="32"/>
        </w:rPr>
        <w:t>Key Bills</w:t>
      </w:r>
    </w:p>
    <w:p w14:paraId="13635074" w14:textId="77777777" w:rsidR="00D25F1E" w:rsidRDefault="00D25F1E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Density Bonus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6CA3B73E" w14:textId="77777777" w:rsidTr="00DD7D2D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E4E" w14:textId="77777777" w:rsidR="007A7227" w:rsidRPr="00557F79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557F79">
              <w:rPr>
                <w:rFonts w:eastAsia="Times New Roman" w:cstheme="minorHAnsi"/>
                <w:b/>
                <w:color w:val="000000"/>
              </w:rPr>
              <w:t>AB 2372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6112" w14:textId="501B6251" w:rsidR="007A7227" w:rsidRPr="006E3EF1" w:rsidRDefault="00557F79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557F79"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7A7227" w:rsidRPr="006E3EF1">
              <w:rPr>
                <w:rFonts w:eastAsia="Times New Roman" w:cstheme="minorHAnsi"/>
              </w:rPr>
              <w:t xml:space="preserve">Allows cities to offer FAR in addition to number of units as part of density bonus. </w:t>
            </w:r>
            <w:hyperlink r:id="rId8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6E3EF1" w14:paraId="5383216D" w14:textId="77777777" w:rsidTr="00DD7D2D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F35" w14:textId="77777777" w:rsidR="007A7227" w:rsidRPr="00EA2B5A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A2B5A">
              <w:rPr>
                <w:rFonts w:eastAsia="Times New Roman" w:cstheme="minorHAnsi"/>
                <w:b/>
                <w:color w:val="000000"/>
              </w:rPr>
              <w:t>AB 2753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D7E" w14:textId="19E0A981" w:rsidR="007A7227" w:rsidRPr="006E3EF1" w:rsidRDefault="00EA2B5A" w:rsidP="00D86297">
            <w:pPr>
              <w:spacing w:after="0" w:line="240" w:lineRule="auto"/>
              <w:rPr>
                <w:rFonts w:eastAsia="Times New Roman" w:cstheme="minorHAnsi"/>
              </w:rPr>
            </w:pPr>
            <w:r w:rsidRPr="00EA2B5A"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7A7227" w:rsidRPr="006E3EF1">
              <w:rPr>
                <w:rFonts w:eastAsia="Times New Roman" w:cstheme="minorHAnsi"/>
              </w:rPr>
              <w:t xml:space="preserve">Requires cities to notify developers about the density bonus they are eligible for when applications are deemed complete. </w:t>
            </w:r>
            <w:hyperlink r:id="rId9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6E3EF1" w14:paraId="49C4B11F" w14:textId="77777777" w:rsidTr="00DD7D2D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26BD" w14:textId="77777777" w:rsidR="007A7227" w:rsidRPr="00EA2B5A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A2B5A">
              <w:rPr>
                <w:rFonts w:eastAsia="Times New Roman" w:cstheme="minorHAnsi"/>
                <w:b/>
                <w:color w:val="000000"/>
              </w:rPr>
              <w:t>AB 2797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030" w14:textId="700D4BFE" w:rsidR="007A7227" w:rsidRPr="006E3EF1" w:rsidRDefault="00EA2B5A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7A7227" w:rsidRPr="006E3EF1">
              <w:rPr>
                <w:rFonts w:eastAsia="Times New Roman" w:cstheme="minorHAnsi"/>
              </w:rPr>
              <w:t>Projects cannot be found to be inconsistent with Coastal Act merely because</w:t>
            </w:r>
            <w:r w:rsidR="0029320E">
              <w:rPr>
                <w:rFonts w:eastAsia="Times New Roman" w:cstheme="minorHAnsi"/>
              </w:rPr>
              <w:t xml:space="preserve"> they receive a density bonus.</w:t>
            </w:r>
            <w:r w:rsidR="007A7227" w:rsidRPr="006E3EF1">
              <w:rPr>
                <w:rFonts w:eastAsia="Times New Roman" w:cstheme="minorHAnsi"/>
              </w:rPr>
              <w:t xml:space="preserve">  </w:t>
            </w:r>
            <w:hyperlink r:id="rId10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19CBCA61" w14:textId="77777777" w:rsidR="003B170B" w:rsidRDefault="003B170B" w:rsidP="003B170B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Fair Housing</w:t>
      </w:r>
    </w:p>
    <w:tbl>
      <w:tblPr>
        <w:tblW w:w="86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555"/>
      </w:tblGrid>
      <w:tr w:rsidR="003B170B" w:rsidRPr="006E3EF1" w14:paraId="342F5372" w14:textId="77777777" w:rsidTr="00DD7D2D">
        <w:trPr>
          <w:trHeight w:val="20"/>
        </w:trPr>
        <w:tc>
          <w:tcPr>
            <w:tcW w:w="1080" w:type="dxa"/>
            <w:shd w:val="clear" w:color="auto" w:fill="auto"/>
            <w:vAlign w:val="center"/>
          </w:tcPr>
          <w:p w14:paraId="3A1FB618" w14:textId="77777777" w:rsidR="003B170B" w:rsidRPr="00EA2B5A" w:rsidRDefault="003B170B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A2B5A">
              <w:rPr>
                <w:rFonts w:eastAsia="Times New Roman" w:cstheme="minorHAnsi"/>
                <w:b/>
                <w:color w:val="000000"/>
              </w:rPr>
              <w:t>AB 686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14:paraId="6D997BCD" w14:textId="36AF8C80" w:rsidR="003B170B" w:rsidRPr="006E3EF1" w:rsidRDefault="00EA2B5A" w:rsidP="004A7C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3B170B" w:rsidRPr="006E3EF1">
              <w:rPr>
                <w:rFonts w:eastAsia="Times New Roman" w:cstheme="minorHAnsi"/>
              </w:rPr>
              <w:t xml:space="preserve">Requires </w:t>
            </w:r>
            <w:r w:rsidR="004A7C68">
              <w:rPr>
                <w:rFonts w:eastAsia="Times New Roman" w:cstheme="minorHAnsi"/>
              </w:rPr>
              <w:t>that</w:t>
            </w:r>
            <w:r w:rsidR="003B170B" w:rsidRPr="006E3EF1">
              <w:rPr>
                <w:rFonts w:eastAsia="Times New Roman" w:cstheme="minorHAnsi"/>
              </w:rPr>
              <w:t xml:space="preserve"> housing programs Affirmatively Further Fair Housing. </w:t>
            </w:r>
            <w:hyperlink r:id="rId11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16A10C84" w14:textId="77777777" w:rsidR="00D25F1E" w:rsidRPr="00D25F1E" w:rsidRDefault="00D25F1E" w:rsidP="007A7227">
      <w:pPr>
        <w:spacing w:before="160" w:after="120"/>
        <w:rPr>
          <w:b/>
          <w:sz w:val="24"/>
          <w:szCs w:val="24"/>
        </w:rPr>
      </w:pPr>
      <w:r w:rsidRPr="00D25F1E">
        <w:rPr>
          <w:b/>
          <w:sz w:val="24"/>
          <w:szCs w:val="24"/>
        </w:rPr>
        <w:t>General Plans</w:t>
      </w:r>
    </w:p>
    <w:tbl>
      <w:tblPr>
        <w:tblW w:w="87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462E69" w14:paraId="5787B882" w14:textId="77777777" w:rsidTr="00DD7D2D">
        <w:trPr>
          <w:trHeight w:val="20"/>
        </w:trPr>
        <w:tc>
          <w:tcPr>
            <w:tcW w:w="1080" w:type="dxa"/>
            <w:shd w:val="clear" w:color="auto" w:fill="auto"/>
            <w:vAlign w:val="center"/>
          </w:tcPr>
          <w:p w14:paraId="3B69DE19" w14:textId="77777777" w:rsidR="007A7227" w:rsidRPr="0011453C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1453C">
              <w:rPr>
                <w:rFonts w:eastAsia="Times New Roman" w:cstheme="minorHAnsi"/>
                <w:b/>
                <w:color w:val="000000"/>
              </w:rPr>
              <w:t>SB 1333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677A3D1F" w14:textId="4CC75093" w:rsidR="007A7227" w:rsidRPr="00462E69" w:rsidRDefault="00EA2B5A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 </w:t>
            </w:r>
            <w:r w:rsidR="004A7C68">
              <w:rPr>
                <w:rFonts w:eastAsia="Times New Roman" w:cstheme="minorHAnsi"/>
              </w:rPr>
              <w:t>Applies many General P</w:t>
            </w:r>
            <w:r w:rsidR="007A7227" w:rsidRPr="00462E69">
              <w:rPr>
                <w:rFonts w:eastAsia="Times New Roman" w:cstheme="minorHAnsi"/>
              </w:rPr>
              <w:t>lan and zoning rules to charter cities</w:t>
            </w:r>
            <w:r w:rsidR="0029320E">
              <w:rPr>
                <w:rFonts w:eastAsia="Times New Roman" w:cstheme="minorHAnsi"/>
              </w:rPr>
              <w:t xml:space="preserve">. </w:t>
            </w:r>
            <w:hyperlink r:id="rId12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0CBE42CC" w14:textId="77777777" w:rsidR="002F48A9" w:rsidRDefault="002F48A9" w:rsidP="007A7227">
      <w:pPr>
        <w:spacing w:before="160" w:after="120"/>
        <w:rPr>
          <w:b/>
          <w:sz w:val="24"/>
          <w:szCs w:val="24"/>
        </w:rPr>
      </w:pPr>
    </w:p>
    <w:p w14:paraId="7A155157" w14:textId="77777777" w:rsidR="002F48A9" w:rsidRDefault="002F48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DE7084" w14:textId="77777777" w:rsidR="00D25F1E" w:rsidRPr="00D25F1E" w:rsidRDefault="00D25F1E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Housing </w:t>
      </w:r>
      <w:r w:rsidR="003B170B">
        <w:rPr>
          <w:b/>
          <w:sz w:val="24"/>
          <w:szCs w:val="24"/>
        </w:rPr>
        <w:t>Accountability</w:t>
      </w:r>
      <w:r>
        <w:rPr>
          <w:b/>
          <w:sz w:val="24"/>
          <w:szCs w:val="24"/>
        </w:rPr>
        <w:t xml:space="preserve"> Act/ SB 35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37305E81" w14:textId="77777777" w:rsidTr="00DD7D2D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FCF" w14:textId="77777777" w:rsidR="007A7227" w:rsidRPr="0011453C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1453C">
              <w:rPr>
                <w:rFonts w:eastAsia="Times New Roman" w:cstheme="minorHAnsi"/>
                <w:b/>
                <w:color w:val="000000"/>
              </w:rPr>
              <w:t>AB 3194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975" w14:textId="77777777" w:rsidR="007A7227" w:rsidRPr="006E3EF1" w:rsidRDefault="00C7027F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Signed. </w:t>
            </w:r>
            <w:r w:rsidR="007A7227" w:rsidRPr="006E3EF1">
              <w:rPr>
                <w:rFonts w:eastAsia="Times New Roman" w:cstheme="minorHAnsi"/>
              </w:rPr>
              <w:t xml:space="preserve">HAA applies if zoning is out of date, but developments follow general plan. </w:t>
            </w:r>
            <w:hyperlink r:id="rId13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462E69" w14:paraId="03370866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3BE6" w14:textId="77777777" w:rsidR="007A7227" w:rsidRPr="0011453C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1453C">
              <w:rPr>
                <w:rFonts w:eastAsia="Times New Roman" w:cstheme="minorHAnsi"/>
                <w:b/>
                <w:color w:val="000000"/>
              </w:rPr>
              <w:t>SB 850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9DE" w14:textId="77777777" w:rsidR="007A7227" w:rsidRPr="00462E69" w:rsidRDefault="00C7027F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Signed. </w:t>
            </w:r>
            <w:r w:rsidR="007A7227" w:rsidRPr="00462E69">
              <w:rPr>
                <w:rFonts w:eastAsia="Times New Roman" w:cstheme="minorHAnsi"/>
              </w:rPr>
              <w:t>Clarifies some aspects of SB 35.</w:t>
            </w:r>
            <w:r w:rsidR="000277B1">
              <w:rPr>
                <w:rFonts w:eastAsia="Times New Roman" w:cstheme="minorHAnsi"/>
              </w:rPr>
              <w:t xml:space="preserve"> (Passed and signed)</w:t>
            </w:r>
            <w:r w:rsidR="007A7227" w:rsidRPr="00462E69">
              <w:rPr>
                <w:rFonts w:eastAsia="Times New Roman" w:cstheme="minorHAnsi"/>
              </w:rPr>
              <w:t xml:space="preserve"> </w:t>
            </w:r>
            <w:hyperlink r:id="rId14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7149CFFF" w14:textId="77777777" w:rsidR="00D25F1E" w:rsidRDefault="007A7227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Mitigation Fee Act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462E69" w14:paraId="7F0872DD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A84" w14:textId="77777777" w:rsidR="007A7227" w:rsidRPr="0011453C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1453C">
              <w:rPr>
                <w:rFonts w:eastAsia="Times New Roman" w:cstheme="minorHAnsi"/>
                <w:b/>
                <w:color w:val="000000"/>
              </w:rPr>
              <w:t>SB 1202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4B0" w14:textId="127CF424" w:rsidR="007A7227" w:rsidRPr="00462E69" w:rsidRDefault="005756E8" w:rsidP="003B170B">
            <w:pPr>
              <w:spacing w:after="0" w:line="240" w:lineRule="auto"/>
              <w:rPr>
                <w:rFonts w:eastAsia="Times New Roman" w:cstheme="minorHAnsi"/>
              </w:rPr>
            </w:pPr>
            <w:r w:rsidRPr="005756E8"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7A7227" w:rsidRPr="00462E69">
              <w:rPr>
                <w:rFonts w:eastAsia="Times New Roman" w:cstheme="minorHAnsi"/>
              </w:rPr>
              <w:t>If a city doe</w:t>
            </w:r>
            <w:r w:rsidR="003B170B">
              <w:rPr>
                <w:rFonts w:eastAsia="Times New Roman" w:cstheme="minorHAnsi"/>
              </w:rPr>
              <w:t>s not do its annual report for three</w:t>
            </w:r>
            <w:r w:rsidR="007A7227" w:rsidRPr="00462E69">
              <w:rPr>
                <w:rFonts w:eastAsia="Times New Roman" w:cstheme="minorHAnsi"/>
              </w:rPr>
              <w:t xml:space="preserve"> consecutive years, and </w:t>
            </w:r>
            <w:r w:rsidR="003B170B">
              <w:rPr>
                <w:rFonts w:eastAsia="Times New Roman" w:cstheme="minorHAnsi"/>
              </w:rPr>
              <w:t>a</w:t>
            </w:r>
            <w:r w:rsidR="0029320E">
              <w:rPr>
                <w:rFonts w:eastAsia="Times New Roman" w:cstheme="minorHAnsi"/>
              </w:rPr>
              <w:t>n</w:t>
            </w:r>
            <w:r w:rsidR="003B170B">
              <w:rPr>
                <w:rFonts w:eastAsia="Times New Roman" w:cstheme="minorHAnsi"/>
              </w:rPr>
              <w:t xml:space="preserve"> applicant</w:t>
            </w:r>
            <w:r w:rsidR="007A7227" w:rsidRPr="00462E69">
              <w:rPr>
                <w:rFonts w:eastAsia="Times New Roman" w:cstheme="minorHAnsi"/>
              </w:rPr>
              <w:t xml:space="preserve"> requests an audit, city must pay for audit.</w:t>
            </w:r>
            <w:r w:rsidR="0029320E">
              <w:rPr>
                <w:rFonts w:eastAsia="Times New Roman" w:cstheme="minorHAnsi"/>
              </w:rPr>
              <w:t xml:space="preserve"> </w:t>
            </w:r>
            <w:hyperlink r:id="rId15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022B7D1A" w14:textId="77777777" w:rsidR="007A7227" w:rsidRPr="007A7227" w:rsidRDefault="007A7227" w:rsidP="007A7227">
      <w:pPr>
        <w:spacing w:before="160" w:after="120"/>
        <w:rPr>
          <w:b/>
          <w:sz w:val="24"/>
          <w:szCs w:val="24"/>
        </w:rPr>
      </w:pPr>
      <w:r w:rsidRPr="007A7227">
        <w:rPr>
          <w:b/>
          <w:sz w:val="24"/>
          <w:szCs w:val="24"/>
        </w:rPr>
        <w:t>RHNA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37A6701E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8D0" w14:textId="77777777" w:rsidR="007A7227" w:rsidRPr="005756E8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5756E8">
              <w:rPr>
                <w:rFonts w:eastAsia="Times New Roman" w:cstheme="minorHAnsi"/>
                <w:b/>
                <w:color w:val="000000"/>
              </w:rPr>
              <w:t>AB 1771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082" w14:textId="22230D50" w:rsidR="007A7227" w:rsidRPr="006E3EF1" w:rsidRDefault="005756E8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4A7C68">
              <w:rPr>
                <w:rFonts w:eastAsia="Times New Roman" w:cstheme="minorHAnsi"/>
              </w:rPr>
              <w:t>R</w:t>
            </w:r>
            <w:r w:rsidR="007A7227" w:rsidRPr="006E3EF1">
              <w:rPr>
                <w:rFonts w:eastAsia="Times New Roman" w:cstheme="minorHAnsi"/>
              </w:rPr>
              <w:t xml:space="preserve">equires Regional Housing Needs Assessment (RHNA) methodology to be more data based and more transparent. </w:t>
            </w:r>
            <w:hyperlink r:id="rId16" w:history="1">
              <w:r w:rsidR="007A7227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7A7227" w:rsidRPr="006E3EF1" w14:paraId="6E824621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F02A" w14:textId="77777777" w:rsidR="007A7227" w:rsidRPr="005756E8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5756E8">
              <w:rPr>
                <w:rFonts w:eastAsia="Times New Roman" w:cstheme="minorHAnsi"/>
                <w:b/>
                <w:color w:val="000000"/>
              </w:rPr>
              <w:t>SB 828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36C1" w14:textId="4F8515CD" w:rsidR="007A7227" w:rsidRPr="006E3EF1" w:rsidRDefault="005756E8" w:rsidP="004A7C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7A7227" w:rsidRPr="00D22634">
              <w:rPr>
                <w:rFonts w:eastAsia="Times New Roman" w:cstheme="minorHAnsi"/>
              </w:rPr>
              <w:t>In</w:t>
            </w:r>
            <w:r w:rsidR="004A7C68">
              <w:rPr>
                <w:rFonts w:eastAsia="Times New Roman" w:cstheme="minorHAnsi"/>
              </w:rPr>
              <w:t xml:space="preserve">creases the weight given to jobs when calculating RHNA </w:t>
            </w:r>
            <w:r w:rsidR="007A7227" w:rsidRPr="00D22634">
              <w:rPr>
                <w:rFonts w:eastAsia="Times New Roman" w:cstheme="minorHAnsi"/>
              </w:rPr>
              <w:t xml:space="preserve">and increases the low income allocation in wealthier communities. </w:t>
            </w:r>
            <w:hyperlink r:id="rId17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16C94CC9" w14:textId="77777777" w:rsidR="007A7227" w:rsidRDefault="007A7227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Supportive Housing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6E3EF1" w14:paraId="5970400A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AF8" w14:textId="77777777" w:rsidR="007A7227" w:rsidRPr="0011453C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1453C">
              <w:rPr>
                <w:rFonts w:eastAsia="Times New Roman" w:cstheme="minorHAnsi"/>
                <w:b/>
                <w:color w:val="000000"/>
              </w:rPr>
              <w:t>AB 2162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EAB" w14:textId="6EBFB877" w:rsidR="007A7227" w:rsidRPr="006E3EF1" w:rsidRDefault="005756E8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C7027F">
              <w:rPr>
                <w:rFonts w:eastAsia="Times New Roman" w:cstheme="minorHAnsi"/>
              </w:rPr>
              <w:t xml:space="preserve">. </w:t>
            </w:r>
            <w:r w:rsidR="007A7227" w:rsidRPr="006E3EF1">
              <w:rPr>
                <w:rFonts w:eastAsia="Times New Roman" w:cstheme="minorHAnsi"/>
              </w:rPr>
              <w:t>Supportive housing permitted by right in multifamily zones and eliminat</w:t>
            </w:r>
            <w:r w:rsidR="007A7227" w:rsidRPr="00D22634">
              <w:rPr>
                <w:rFonts w:eastAsia="Times New Roman" w:cstheme="minorHAnsi"/>
              </w:rPr>
              <w:t>e</w:t>
            </w:r>
            <w:r w:rsidR="007A7227" w:rsidRPr="006E3EF1">
              <w:rPr>
                <w:rFonts w:eastAsia="Times New Roman" w:cstheme="minorHAnsi"/>
              </w:rPr>
              <w:t>s parking requirements</w:t>
            </w:r>
            <w:r w:rsidR="0029320E">
              <w:rPr>
                <w:rFonts w:eastAsia="Times New Roman" w:cstheme="minorHAnsi"/>
              </w:rPr>
              <w:t xml:space="preserve">. </w:t>
            </w:r>
            <w:hyperlink r:id="rId18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4255A922" w14:textId="77777777" w:rsidR="007A7227" w:rsidRDefault="007A7227" w:rsidP="007A7227">
      <w:pPr>
        <w:spacing w:before="1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Zoning / Permitting</w:t>
      </w:r>
    </w:p>
    <w:tbl>
      <w:tblPr>
        <w:tblW w:w="8725" w:type="dxa"/>
        <w:tblLayout w:type="fixed"/>
        <w:tblLook w:val="04A0" w:firstRow="1" w:lastRow="0" w:firstColumn="1" w:lastColumn="0" w:noHBand="0" w:noVBand="1"/>
      </w:tblPr>
      <w:tblGrid>
        <w:gridCol w:w="1080"/>
        <w:gridCol w:w="7645"/>
      </w:tblGrid>
      <w:tr w:rsidR="007A7227" w:rsidRPr="00D22634" w14:paraId="5DC83D7D" w14:textId="77777777" w:rsidTr="0070639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D99" w14:textId="77777777" w:rsidR="007A7227" w:rsidRPr="0011453C" w:rsidRDefault="007A7227" w:rsidP="00D8629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1453C">
              <w:rPr>
                <w:rFonts w:eastAsia="Times New Roman" w:cstheme="minorHAnsi"/>
                <w:b/>
                <w:color w:val="000000"/>
              </w:rPr>
              <w:t>AB 565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D508" w14:textId="4FE6E791" w:rsidR="007A7227" w:rsidRPr="006E3EF1" w:rsidRDefault="005756E8" w:rsidP="00D862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9F42C1">
              <w:rPr>
                <w:rFonts w:eastAsia="Times New Roman" w:cstheme="minorHAnsi"/>
              </w:rPr>
              <w:t xml:space="preserve">. </w:t>
            </w:r>
            <w:r w:rsidR="007A7227" w:rsidRPr="006E3EF1">
              <w:rPr>
                <w:rFonts w:eastAsia="Times New Roman" w:cstheme="minorHAnsi"/>
              </w:rPr>
              <w:t>Clarifies building code around Live/Work units</w:t>
            </w:r>
            <w:r w:rsidR="0029320E">
              <w:rPr>
                <w:rFonts w:eastAsia="Times New Roman" w:cstheme="minorHAnsi"/>
              </w:rPr>
              <w:t xml:space="preserve">. </w:t>
            </w:r>
            <w:hyperlink r:id="rId19" w:history="1">
              <w:r w:rsidR="0029320E" w:rsidRPr="0029320E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</w:tbl>
    <w:p w14:paraId="65EBDD58" w14:textId="77777777" w:rsidR="002F48A9" w:rsidRDefault="002F48A9">
      <w:pPr>
        <w:rPr>
          <w:rFonts w:cstheme="minorHAnsi"/>
          <w:b/>
          <w:sz w:val="32"/>
          <w:szCs w:val="32"/>
        </w:rPr>
      </w:pPr>
    </w:p>
    <w:p w14:paraId="24977042" w14:textId="77777777" w:rsidR="002F48A9" w:rsidRDefault="002F48A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60BA4E0B" w14:textId="77777777" w:rsidR="00646D70" w:rsidRPr="00D22634" w:rsidRDefault="00995961">
      <w:pPr>
        <w:rPr>
          <w:rFonts w:cstheme="minorHAnsi"/>
          <w:sz w:val="32"/>
          <w:szCs w:val="32"/>
        </w:rPr>
      </w:pPr>
      <w:r w:rsidRPr="00D22634">
        <w:rPr>
          <w:rFonts w:cstheme="minorHAnsi"/>
          <w:b/>
          <w:sz w:val="32"/>
          <w:szCs w:val="32"/>
        </w:rPr>
        <w:lastRenderedPageBreak/>
        <w:t>Less Significant Bills</w:t>
      </w:r>
    </w:p>
    <w:p w14:paraId="6650F36E" w14:textId="77777777" w:rsidR="00B162D9" w:rsidRDefault="00B162D9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164"/>
        <w:gridCol w:w="6729"/>
      </w:tblGrid>
      <w:tr w:rsidR="00430053" w14:paraId="1E484B2A" w14:textId="77777777" w:rsidTr="0096601B">
        <w:tc>
          <w:tcPr>
            <w:tcW w:w="1457" w:type="dxa"/>
          </w:tcPr>
          <w:p w14:paraId="4A97B154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 xml:space="preserve">Affordable Housing Authorities </w:t>
            </w:r>
          </w:p>
        </w:tc>
        <w:tc>
          <w:tcPr>
            <w:tcW w:w="1164" w:type="dxa"/>
          </w:tcPr>
          <w:p w14:paraId="387AD2B6" w14:textId="77777777" w:rsidR="00430053" w:rsidRPr="008D390F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8D390F">
              <w:rPr>
                <w:rFonts w:eastAsia="Times New Roman" w:cstheme="minorHAnsi"/>
                <w:b/>
                <w:color w:val="000000"/>
              </w:rPr>
              <w:t>AB 2035</w:t>
            </w:r>
          </w:p>
        </w:tc>
        <w:tc>
          <w:tcPr>
            <w:tcW w:w="6729" w:type="dxa"/>
          </w:tcPr>
          <w:p w14:paraId="5AF258DF" w14:textId="6AA9ED92" w:rsidR="00430053" w:rsidRPr="006E3EF1" w:rsidRDefault="008D390F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9F42C1">
              <w:rPr>
                <w:rFonts w:eastAsia="Times New Roman" w:cstheme="minorHAnsi"/>
              </w:rPr>
              <w:t xml:space="preserve">. </w:t>
            </w:r>
            <w:r w:rsidR="00430053" w:rsidRPr="006E3EF1">
              <w:rPr>
                <w:rFonts w:eastAsia="Times New Roman" w:cstheme="minorHAnsi"/>
              </w:rPr>
              <w:t xml:space="preserve">This bill makes a number of administrative and technical changes to Affordable Housing Authority (AHA) law. </w:t>
            </w:r>
            <w:hyperlink r:id="rId20" w:history="1">
              <w:r w:rsidR="009F42C1" w:rsidRPr="009F42C1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14:paraId="540A6227" w14:textId="77777777" w:rsidTr="003B170B">
        <w:tc>
          <w:tcPr>
            <w:tcW w:w="1457" w:type="dxa"/>
          </w:tcPr>
          <w:p w14:paraId="5678502A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Code</w:t>
            </w:r>
          </w:p>
        </w:tc>
        <w:tc>
          <w:tcPr>
            <w:tcW w:w="1164" w:type="dxa"/>
            <w:vAlign w:val="center"/>
          </w:tcPr>
          <w:p w14:paraId="60A84727" w14:textId="77777777" w:rsidR="00430053" w:rsidRPr="00B22D76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B22D76">
              <w:rPr>
                <w:rFonts w:eastAsia="Times New Roman" w:cstheme="minorHAnsi"/>
                <w:b/>
                <w:color w:val="000000"/>
              </w:rPr>
              <w:t>AB 2132</w:t>
            </w:r>
          </w:p>
        </w:tc>
        <w:tc>
          <w:tcPr>
            <w:tcW w:w="6729" w:type="dxa"/>
            <w:vAlign w:val="center"/>
          </w:tcPr>
          <w:p w14:paraId="32BE9296" w14:textId="51F85876" w:rsidR="00430053" w:rsidRPr="006E3EF1" w:rsidRDefault="00B22D76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DC6554">
              <w:rPr>
                <w:rFonts w:eastAsia="Times New Roman" w:cstheme="minorHAnsi"/>
              </w:rPr>
              <w:t xml:space="preserve">. </w:t>
            </w:r>
            <w:r w:rsidR="00430053" w:rsidRPr="006E3EF1">
              <w:rPr>
                <w:rFonts w:eastAsia="Times New Roman" w:cstheme="minorHAnsi"/>
              </w:rPr>
              <w:t xml:space="preserve">Cities can waive building fees for ADA </w:t>
            </w:r>
            <w:r w:rsidR="00430053" w:rsidRPr="00D22634">
              <w:rPr>
                <w:rFonts w:eastAsia="Times New Roman" w:cstheme="minorHAnsi"/>
              </w:rPr>
              <w:t>accommodations</w:t>
            </w:r>
            <w:r w:rsidR="00430053" w:rsidRPr="006E3EF1">
              <w:rPr>
                <w:rFonts w:eastAsia="Times New Roman" w:cstheme="minorHAnsi"/>
              </w:rPr>
              <w:t xml:space="preserve"> for seniors</w:t>
            </w:r>
            <w:r w:rsidR="004A7C68">
              <w:rPr>
                <w:rFonts w:eastAsia="Times New Roman" w:cstheme="minorHAnsi"/>
              </w:rPr>
              <w:t>.</w:t>
            </w:r>
            <w:r w:rsidR="009F42C1">
              <w:rPr>
                <w:rFonts w:eastAsia="Times New Roman" w:cstheme="minorHAnsi"/>
              </w:rPr>
              <w:t xml:space="preserve"> </w:t>
            </w:r>
            <w:hyperlink r:id="rId21" w:history="1">
              <w:r w:rsidR="009F42C1" w:rsidRPr="009F42C1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14:paraId="27EA6CFD" w14:textId="77777777" w:rsidTr="003B170B">
        <w:tc>
          <w:tcPr>
            <w:tcW w:w="1457" w:type="dxa"/>
          </w:tcPr>
          <w:p w14:paraId="2D644DF5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Code</w:t>
            </w:r>
          </w:p>
        </w:tc>
        <w:tc>
          <w:tcPr>
            <w:tcW w:w="1164" w:type="dxa"/>
            <w:vAlign w:val="center"/>
          </w:tcPr>
          <w:p w14:paraId="7C0F7708" w14:textId="77777777" w:rsidR="00430053" w:rsidRPr="005A0ACF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5A0ACF">
              <w:rPr>
                <w:rFonts w:eastAsia="Times New Roman" w:cstheme="minorHAnsi"/>
                <w:b/>
                <w:color w:val="000000"/>
              </w:rPr>
              <w:t>AB 2263</w:t>
            </w:r>
          </w:p>
        </w:tc>
        <w:tc>
          <w:tcPr>
            <w:tcW w:w="6729" w:type="dxa"/>
            <w:vAlign w:val="center"/>
          </w:tcPr>
          <w:p w14:paraId="78567599" w14:textId="77777777" w:rsidR="00430053" w:rsidRPr="006E3EF1" w:rsidRDefault="00DC6554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Signed. </w:t>
            </w:r>
            <w:r w:rsidR="00430053" w:rsidRPr="006E3EF1">
              <w:rPr>
                <w:rFonts w:eastAsia="Times New Roman" w:cstheme="minorHAnsi"/>
              </w:rPr>
              <w:t>Reduces parking on some historic renovations</w:t>
            </w:r>
            <w:r w:rsidR="004A7C68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hyperlink r:id="rId22" w:history="1">
              <w:r w:rsidRPr="00DC6554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14:paraId="0323BF39" w14:textId="77777777" w:rsidTr="003B170B">
        <w:tc>
          <w:tcPr>
            <w:tcW w:w="1457" w:type="dxa"/>
          </w:tcPr>
          <w:p w14:paraId="6763E9DE" w14:textId="77777777" w:rsidR="00430053" w:rsidRPr="00D22634" w:rsidRDefault="00430053" w:rsidP="00430053">
            <w:pPr>
              <w:rPr>
                <w:rFonts w:cstheme="minorHAnsi"/>
              </w:rPr>
            </w:pPr>
            <w:r>
              <w:rPr>
                <w:rFonts w:cstheme="minorHAnsi"/>
              </w:rPr>
              <w:t>Density Bonus</w:t>
            </w:r>
          </w:p>
        </w:tc>
        <w:tc>
          <w:tcPr>
            <w:tcW w:w="1164" w:type="dxa"/>
            <w:vAlign w:val="center"/>
          </w:tcPr>
          <w:p w14:paraId="7F0FE02E" w14:textId="77777777" w:rsidR="00430053" w:rsidRPr="005A0ACF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5A0ACF">
              <w:rPr>
                <w:rFonts w:eastAsia="Times New Roman" w:cstheme="minorHAnsi"/>
                <w:b/>
                <w:color w:val="000000"/>
              </w:rPr>
              <w:t>SB 1227</w:t>
            </w:r>
          </w:p>
        </w:tc>
        <w:tc>
          <w:tcPr>
            <w:tcW w:w="6729" w:type="dxa"/>
            <w:vAlign w:val="center"/>
          </w:tcPr>
          <w:p w14:paraId="1F18528D" w14:textId="5855347A" w:rsidR="00430053" w:rsidRPr="00462E69" w:rsidRDefault="005A0ACF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DC6554">
              <w:rPr>
                <w:rFonts w:eastAsia="Times New Roman" w:cstheme="minorHAnsi"/>
              </w:rPr>
              <w:t xml:space="preserve">. </w:t>
            </w:r>
            <w:r w:rsidR="00430053" w:rsidRPr="00462E69">
              <w:rPr>
                <w:rFonts w:eastAsia="Times New Roman" w:cstheme="minorHAnsi"/>
              </w:rPr>
              <w:t>Creates a 35% density bonus category for college student housing</w:t>
            </w:r>
            <w:r w:rsidR="004A7C68">
              <w:rPr>
                <w:rFonts w:eastAsia="Times New Roman" w:cstheme="minorHAnsi"/>
              </w:rPr>
              <w:t>.</w:t>
            </w:r>
            <w:r w:rsidR="00DC6554">
              <w:rPr>
                <w:rFonts w:eastAsia="Times New Roman" w:cstheme="minorHAnsi"/>
              </w:rPr>
              <w:t xml:space="preserve"> </w:t>
            </w:r>
            <w:hyperlink r:id="rId23" w:history="1">
              <w:r w:rsidR="00DC6554" w:rsidRPr="00DC6554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:rsidRPr="006E3EF1" w14:paraId="3D427A5A" w14:textId="77777777" w:rsidTr="004A7C68">
        <w:trPr>
          <w:trHeight w:val="341"/>
        </w:trPr>
        <w:tc>
          <w:tcPr>
            <w:tcW w:w="1457" w:type="dxa"/>
            <w:hideMark/>
          </w:tcPr>
          <w:p w14:paraId="0D6B9293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6E3EF1">
              <w:rPr>
                <w:rFonts w:eastAsia="Times New Roman" w:cstheme="minorHAnsi"/>
                <w:color w:val="000000"/>
              </w:rPr>
              <w:t xml:space="preserve">CEQA </w:t>
            </w:r>
          </w:p>
        </w:tc>
        <w:tc>
          <w:tcPr>
            <w:tcW w:w="1164" w:type="dxa"/>
            <w:hideMark/>
          </w:tcPr>
          <w:p w14:paraId="72E2D2F7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B31000">
              <w:rPr>
                <w:rFonts w:eastAsia="Times New Roman" w:cstheme="minorHAnsi"/>
                <w:b/>
                <w:color w:val="000000"/>
              </w:rPr>
              <w:t>AB</w:t>
            </w:r>
            <w:r w:rsidRPr="006E3EF1">
              <w:rPr>
                <w:rFonts w:eastAsia="Times New Roman" w:cstheme="minorHAnsi"/>
                <w:color w:val="000000"/>
              </w:rPr>
              <w:t xml:space="preserve"> </w:t>
            </w:r>
            <w:r w:rsidRPr="00B31000">
              <w:rPr>
                <w:rFonts w:eastAsia="Times New Roman" w:cstheme="minorHAnsi"/>
                <w:b/>
                <w:color w:val="000000"/>
              </w:rPr>
              <w:t>1804</w:t>
            </w:r>
          </w:p>
        </w:tc>
        <w:tc>
          <w:tcPr>
            <w:tcW w:w="6729" w:type="dxa"/>
            <w:hideMark/>
          </w:tcPr>
          <w:p w14:paraId="02C43C1B" w14:textId="05A1233B" w:rsidR="00430053" w:rsidRPr="006E3EF1" w:rsidRDefault="00B31000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DC6554">
              <w:rPr>
                <w:rFonts w:eastAsia="Times New Roman" w:cstheme="minorHAnsi"/>
              </w:rPr>
              <w:t xml:space="preserve">. </w:t>
            </w:r>
            <w:r w:rsidR="00430053" w:rsidRPr="006E3EF1">
              <w:rPr>
                <w:rFonts w:eastAsia="Times New Roman" w:cstheme="minorHAnsi"/>
              </w:rPr>
              <w:t>Expands infill exemption to unincorporated counties</w:t>
            </w:r>
            <w:r w:rsidR="004A7C68">
              <w:rPr>
                <w:rFonts w:eastAsia="Times New Roman" w:cstheme="minorHAnsi"/>
              </w:rPr>
              <w:t>.</w:t>
            </w:r>
            <w:r w:rsidR="00DC6554">
              <w:rPr>
                <w:rFonts w:eastAsia="Times New Roman" w:cstheme="minorHAnsi"/>
              </w:rPr>
              <w:t xml:space="preserve"> </w:t>
            </w:r>
            <w:hyperlink r:id="rId24" w:history="1">
              <w:r w:rsidR="00DC6554" w:rsidRPr="00DC6554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:rsidRPr="00462E69" w14:paraId="33C53F56" w14:textId="77777777" w:rsidTr="004A7C68">
        <w:trPr>
          <w:trHeight w:val="440"/>
        </w:trPr>
        <w:tc>
          <w:tcPr>
            <w:tcW w:w="1457" w:type="dxa"/>
            <w:hideMark/>
          </w:tcPr>
          <w:p w14:paraId="3A5C9E6C" w14:textId="77777777" w:rsidR="00430053" w:rsidRPr="00462E69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462E69">
              <w:rPr>
                <w:rFonts w:eastAsia="Times New Roman" w:cstheme="minorHAnsi"/>
                <w:color w:val="000000"/>
              </w:rPr>
              <w:t xml:space="preserve">Taxes </w:t>
            </w:r>
          </w:p>
        </w:tc>
        <w:tc>
          <w:tcPr>
            <w:tcW w:w="1164" w:type="dxa"/>
            <w:hideMark/>
          </w:tcPr>
          <w:p w14:paraId="0E3669E8" w14:textId="77777777" w:rsidR="00430053" w:rsidRPr="00105DD2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105DD2">
              <w:rPr>
                <w:rFonts w:eastAsia="Times New Roman" w:cstheme="minorHAnsi"/>
                <w:b/>
                <w:color w:val="000000"/>
              </w:rPr>
              <w:t>SB 1115</w:t>
            </w:r>
          </w:p>
        </w:tc>
        <w:tc>
          <w:tcPr>
            <w:tcW w:w="6729" w:type="dxa"/>
            <w:hideMark/>
          </w:tcPr>
          <w:p w14:paraId="5889A67F" w14:textId="7B8C1D4E" w:rsidR="00430053" w:rsidRPr="00462E69" w:rsidRDefault="00105DD2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DC6554">
              <w:rPr>
                <w:rFonts w:eastAsia="Times New Roman" w:cstheme="minorHAnsi"/>
              </w:rPr>
              <w:t xml:space="preserve">. </w:t>
            </w:r>
            <w:r w:rsidR="00430053" w:rsidRPr="00462E69">
              <w:rPr>
                <w:rFonts w:eastAsia="Times New Roman" w:cstheme="minorHAnsi"/>
              </w:rPr>
              <w:t>Eliminates the dollar cap on affordable housing welfare exemptions</w:t>
            </w:r>
            <w:r w:rsidR="004A7C68">
              <w:rPr>
                <w:rFonts w:eastAsia="Times New Roman" w:cstheme="minorHAnsi"/>
              </w:rPr>
              <w:t>.</w:t>
            </w:r>
            <w:r w:rsidR="00DC6554">
              <w:rPr>
                <w:rFonts w:eastAsia="Times New Roman" w:cstheme="minorHAnsi"/>
              </w:rPr>
              <w:t xml:space="preserve"> </w:t>
            </w:r>
            <w:hyperlink r:id="rId25" w:history="1">
              <w:r w:rsidR="00DC6554" w:rsidRPr="00DC6554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:rsidRPr="00D22634" w14:paraId="75AA8671" w14:textId="77777777" w:rsidTr="003B170B">
        <w:trPr>
          <w:trHeight w:val="576"/>
        </w:trPr>
        <w:tc>
          <w:tcPr>
            <w:tcW w:w="1457" w:type="dxa"/>
          </w:tcPr>
          <w:p w14:paraId="311BA0FB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0BFB95C1" w14:textId="77777777" w:rsidR="00430053" w:rsidRPr="00105DD2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105DD2">
              <w:rPr>
                <w:rFonts w:eastAsia="Times New Roman" w:cstheme="minorHAnsi"/>
                <w:b/>
                <w:color w:val="000000"/>
              </w:rPr>
              <w:t>AB 1943</w:t>
            </w:r>
          </w:p>
        </w:tc>
        <w:tc>
          <w:tcPr>
            <w:tcW w:w="6729" w:type="dxa"/>
            <w:hideMark/>
          </w:tcPr>
          <w:p w14:paraId="4DACB50D" w14:textId="207283B0" w:rsidR="00430053" w:rsidRPr="006E3EF1" w:rsidRDefault="00403716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DC6554">
              <w:rPr>
                <w:rFonts w:eastAsia="Times New Roman" w:cstheme="minorHAnsi"/>
              </w:rPr>
              <w:t xml:space="preserve">. </w:t>
            </w:r>
            <w:r w:rsidR="00430053" w:rsidRPr="006E3EF1">
              <w:rPr>
                <w:rFonts w:eastAsia="Times New Roman" w:cstheme="minorHAnsi"/>
              </w:rPr>
              <w:t>Minor correction regarding establishing title in condo-converted mobile homes</w:t>
            </w:r>
            <w:r w:rsidR="00DC6554">
              <w:rPr>
                <w:rFonts w:eastAsia="Times New Roman" w:cstheme="minorHAnsi"/>
              </w:rPr>
              <w:t xml:space="preserve">. </w:t>
            </w:r>
            <w:hyperlink r:id="rId26" w:history="1">
              <w:r w:rsidR="00DC6554" w:rsidRPr="00DC6554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:rsidRPr="00D22634" w14:paraId="421D4F19" w14:textId="77777777" w:rsidTr="003B170B">
        <w:trPr>
          <w:trHeight w:val="576"/>
        </w:trPr>
        <w:tc>
          <w:tcPr>
            <w:tcW w:w="1457" w:type="dxa"/>
          </w:tcPr>
          <w:p w14:paraId="29F48B46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258FB766" w14:textId="77777777" w:rsidR="00430053" w:rsidRPr="00403716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403716">
              <w:rPr>
                <w:rFonts w:eastAsia="Times New Roman" w:cstheme="minorHAnsi"/>
                <w:b/>
                <w:color w:val="000000"/>
              </w:rPr>
              <w:t>AB 2056</w:t>
            </w:r>
          </w:p>
        </w:tc>
        <w:tc>
          <w:tcPr>
            <w:tcW w:w="6729" w:type="dxa"/>
            <w:hideMark/>
          </w:tcPr>
          <w:p w14:paraId="157B9C06" w14:textId="41EF263F" w:rsidR="00430053" w:rsidRPr="006E3EF1" w:rsidRDefault="00403716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B93126">
              <w:rPr>
                <w:rFonts w:eastAsia="Times New Roman" w:cstheme="minorHAnsi"/>
              </w:rPr>
              <w:t xml:space="preserve">. </w:t>
            </w:r>
            <w:r w:rsidR="00430053" w:rsidRPr="006E3EF1">
              <w:rPr>
                <w:rFonts w:eastAsia="Times New Roman" w:cstheme="minorHAnsi"/>
              </w:rPr>
              <w:t>Allows access to funding for rehab for nonprofit owned mobile home parks</w:t>
            </w:r>
            <w:r w:rsidR="00B93126">
              <w:rPr>
                <w:rFonts w:eastAsia="Times New Roman" w:cstheme="minorHAnsi"/>
              </w:rPr>
              <w:t xml:space="preserve">. </w:t>
            </w:r>
            <w:hyperlink r:id="rId27" w:history="1">
              <w:r w:rsidR="00B93126" w:rsidRPr="00B93126">
                <w:rPr>
                  <w:rStyle w:val="Hyperlink"/>
                  <w:rFonts w:eastAsia="Times New Roman" w:cstheme="minorHAnsi"/>
                </w:rPr>
                <w:t>link</w:t>
              </w:r>
            </w:hyperlink>
            <w:r w:rsidR="00430053" w:rsidRPr="006E3EF1">
              <w:rPr>
                <w:rFonts w:eastAsia="Times New Roman" w:cstheme="minorHAnsi"/>
              </w:rPr>
              <w:t xml:space="preserve"> </w:t>
            </w:r>
          </w:p>
        </w:tc>
      </w:tr>
      <w:tr w:rsidR="00430053" w:rsidRPr="00D22634" w14:paraId="6D6DA537" w14:textId="77777777" w:rsidTr="004A7C68">
        <w:trPr>
          <w:trHeight w:val="620"/>
        </w:trPr>
        <w:tc>
          <w:tcPr>
            <w:tcW w:w="1457" w:type="dxa"/>
          </w:tcPr>
          <w:p w14:paraId="79703F68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623D6400" w14:textId="77777777" w:rsidR="00430053" w:rsidRPr="00C71EC8" w:rsidRDefault="00430053" w:rsidP="00430053">
            <w:pPr>
              <w:rPr>
                <w:rFonts w:eastAsia="Times New Roman" w:cstheme="minorHAnsi"/>
                <w:color w:val="000000"/>
              </w:rPr>
            </w:pPr>
            <w:r w:rsidRPr="005D08D3">
              <w:rPr>
                <w:rFonts w:eastAsia="Times New Roman" w:cstheme="minorHAnsi"/>
                <w:color w:val="FF0000"/>
              </w:rPr>
              <w:t>AB 2588</w:t>
            </w:r>
          </w:p>
        </w:tc>
        <w:tc>
          <w:tcPr>
            <w:tcW w:w="6729" w:type="dxa"/>
            <w:hideMark/>
          </w:tcPr>
          <w:p w14:paraId="68325181" w14:textId="02D358B1" w:rsidR="00430053" w:rsidRPr="006E3EF1" w:rsidRDefault="00DD3F03" w:rsidP="00430053">
            <w:pPr>
              <w:rPr>
                <w:rFonts w:eastAsia="Times New Roman" w:cstheme="minorHAnsi"/>
              </w:rPr>
            </w:pPr>
            <w:r w:rsidRPr="005D08D3">
              <w:rPr>
                <w:rFonts w:eastAsia="Times New Roman" w:cstheme="minorHAnsi"/>
                <w:color w:val="FF0000"/>
              </w:rPr>
              <w:t>Vetoed</w:t>
            </w:r>
            <w:r w:rsidR="00B93126">
              <w:rPr>
                <w:rFonts w:eastAsia="Times New Roman" w:cstheme="minorHAnsi"/>
              </w:rPr>
              <w:t xml:space="preserve">. </w:t>
            </w:r>
            <w:r w:rsidR="00430053" w:rsidRPr="006E3EF1">
              <w:rPr>
                <w:rFonts w:eastAsia="Times New Roman" w:cstheme="minorHAnsi"/>
              </w:rPr>
              <w:t xml:space="preserve">Requires mobile park owners to have emergency plan. Requires used mobile homes to have smoke detectors at time of sale. </w:t>
            </w:r>
            <w:hyperlink r:id="rId28" w:history="1">
              <w:r w:rsidR="00B93126" w:rsidRPr="00B93126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:rsidRPr="00D22634" w14:paraId="79071A67" w14:textId="77777777" w:rsidTr="004A7C68">
        <w:trPr>
          <w:trHeight w:val="521"/>
        </w:trPr>
        <w:tc>
          <w:tcPr>
            <w:tcW w:w="1457" w:type="dxa"/>
          </w:tcPr>
          <w:p w14:paraId="226829A4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11123965" w14:textId="77777777" w:rsidR="00430053" w:rsidRPr="005D08D3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5D08D3">
              <w:rPr>
                <w:rFonts w:eastAsia="Times New Roman" w:cstheme="minorHAnsi"/>
                <w:b/>
                <w:color w:val="000000"/>
              </w:rPr>
              <w:t>SB 46</w:t>
            </w:r>
          </w:p>
        </w:tc>
        <w:tc>
          <w:tcPr>
            <w:tcW w:w="6729" w:type="dxa"/>
            <w:hideMark/>
          </w:tcPr>
          <w:p w14:paraId="03308FBE" w14:textId="0A897604" w:rsidR="00430053" w:rsidRPr="00462E69" w:rsidRDefault="005D08D3" w:rsidP="0043005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B93126">
              <w:rPr>
                <w:rFonts w:eastAsia="Times New Roman" w:cstheme="minorHAnsi"/>
              </w:rPr>
              <w:t xml:space="preserve">. </w:t>
            </w:r>
            <w:r w:rsidR="00430053" w:rsidRPr="00462E69">
              <w:rPr>
                <w:rFonts w:eastAsia="Times New Roman" w:cstheme="minorHAnsi"/>
              </w:rPr>
              <w:t>Extends mobile home inspection program to 2024</w:t>
            </w:r>
            <w:r w:rsidR="00B93126">
              <w:rPr>
                <w:rFonts w:eastAsia="Times New Roman" w:cstheme="minorHAnsi"/>
              </w:rPr>
              <w:t xml:space="preserve">. </w:t>
            </w:r>
            <w:hyperlink r:id="rId29" w:history="1">
              <w:r w:rsidR="00B93126" w:rsidRPr="00B93126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:rsidRPr="00D22634" w14:paraId="66CFB76E" w14:textId="77777777" w:rsidTr="004A7C68">
        <w:trPr>
          <w:trHeight w:val="701"/>
        </w:trPr>
        <w:tc>
          <w:tcPr>
            <w:tcW w:w="1457" w:type="dxa"/>
          </w:tcPr>
          <w:p w14:paraId="208CCBF8" w14:textId="77777777" w:rsidR="00430053" w:rsidRDefault="00430053" w:rsidP="00430053">
            <w:r w:rsidRPr="002F16D8">
              <w:rPr>
                <w:rFonts w:eastAsia="Times New Roman" w:cstheme="minorHAnsi"/>
                <w:color w:val="000000"/>
              </w:rPr>
              <w:t>Mobile Homes</w:t>
            </w:r>
          </w:p>
        </w:tc>
        <w:tc>
          <w:tcPr>
            <w:tcW w:w="1164" w:type="dxa"/>
            <w:hideMark/>
          </w:tcPr>
          <w:p w14:paraId="5479BEE3" w14:textId="77777777" w:rsidR="00430053" w:rsidRPr="005D08D3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5D08D3">
              <w:rPr>
                <w:rFonts w:eastAsia="Times New Roman" w:cstheme="minorHAnsi"/>
                <w:b/>
                <w:color w:val="000000"/>
              </w:rPr>
              <w:t>SB 1130</w:t>
            </w:r>
          </w:p>
        </w:tc>
        <w:tc>
          <w:tcPr>
            <w:tcW w:w="6729" w:type="dxa"/>
            <w:hideMark/>
          </w:tcPr>
          <w:p w14:paraId="5D9CE37A" w14:textId="5B8E7B14" w:rsidR="00430053" w:rsidRPr="00462E69" w:rsidRDefault="005D08D3" w:rsidP="00430053">
            <w:pPr>
              <w:rPr>
                <w:rFonts w:eastAsia="Times New Roman" w:cstheme="minorHAnsi"/>
              </w:rPr>
            </w:pPr>
            <w:r w:rsidRPr="005D08D3">
              <w:rPr>
                <w:rFonts w:eastAsia="Times New Roman" w:cstheme="minorHAnsi"/>
                <w:b/>
              </w:rPr>
              <w:t>Signed</w:t>
            </w:r>
            <w:r w:rsidR="00B93126">
              <w:rPr>
                <w:rFonts w:eastAsia="Times New Roman" w:cstheme="minorHAnsi"/>
              </w:rPr>
              <w:t xml:space="preserve">. </w:t>
            </w:r>
            <w:r w:rsidR="00430053" w:rsidRPr="00462E69">
              <w:rPr>
                <w:rFonts w:eastAsia="Times New Roman" w:cstheme="minorHAnsi"/>
              </w:rPr>
              <w:t xml:space="preserve">Allows mobile home parks to participate in state Property Tax </w:t>
            </w:r>
            <w:r w:rsidR="00430053">
              <w:rPr>
                <w:rFonts w:eastAsia="Times New Roman" w:cstheme="minorHAnsi"/>
              </w:rPr>
              <w:t>Postponement</w:t>
            </w:r>
            <w:r w:rsidR="00430053" w:rsidRPr="00462E69">
              <w:rPr>
                <w:rFonts w:eastAsia="Times New Roman" w:cstheme="minorHAnsi"/>
              </w:rPr>
              <w:t xml:space="preserve"> fund</w:t>
            </w:r>
            <w:r w:rsidR="00B93126">
              <w:rPr>
                <w:rFonts w:eastAsia="Times New Roman" w:cstheme="minorHAnsi"/>
              </w:rPr>
              <w:t xml:space="preserve">. </w:t>
            </w:r>
            <w:hyperlink r:id="rId30" w:history="1">
              <w:r w:rsidR="00B93126" w:rsidRPr="00B93126">
                <w:rPr>
                  <w:rStyle w:val="Hyperlink"/>
                  <w:rFonts w:eastAsia="Times New Roman" w:cstheme="minorHAnsi"/>
                </w:rPr>
                <w:t>link</w:t>
              </w:r>
            </w:hyperlink>
          </w:p>
        </w:tc>
      </w:tr>
      <w:tr w:rsidR="00430053" w:rsidRPr="00D22634" w14:paraId="1DE3B93F" w14:textId="77777777" w:rsidTr="004A7C68">
        <w:trPr>
          <w:trHeight w:val="719"/>
        </w:trPr>
        <w:tc>
          <w:tcPr>
            <w:tcW w:w="1457" w:type="dxa"/>
          </w:tcPr>
          <w:p w14:paraId="49BCD752" w14:textId="77777777" w:rsidR="00430053" w:rsidRPr="006E3EF1" w:rsidRDefault="00430053" w:rsidP="00430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Tenant Protections</w:t>
            </w:r>
          </w:p>
        </w:tc>
        <w:tc>
          <w:tcPr>
            <w:tcW w:w="1164" w:type="dxa"/>
            <w:hideMark/>
          </w:tcPr>
          <w:p w14:paraId="6C9D2EE4" w14:textId="77777777" w:rsidR="00430053" w:rsidRPr="005D08D3" w:rsidRDefault="00430053" w:rsidP="00430053">
            <w:pPr>
              <w:rPr>
                <w:rFonts w:eastAsia="Times New Roman" w:cstheme="minorHAnsi"/>
                <w:b/>
                <w:color w:val="000000"/>
              </w:rPr>
            </w:pPr>
            <w:r w:rsidRPr="005D08D3">
              <w:rPr>
                <w:rFonts w:eastAsia="Times New Roman" w:cstheme="minorHAnsi"/>
                <w:b/>
                <w:color w:val="000000"/>
              </w:rPr>
              <w:t>AB 2343</w:t>
            </w:r>
          </w:p>
        </w:tc>
        <w:tc>
          <w:tcPr>
            <w:tcW w:w="6729" w:type="dxa"/>
            <w:hideMark/>
          </w:tcPr>
          <w:p w14:paraId="651CD351" w14:textId="1DD7A5F2" w:rsidR="00430053" w:rsidRPr="006E3EF1" w:rsidRDefault="005D08D3" w:rsidP="004A7C6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Signed</w:t>
            </w:r>
            <w:r w:rsidR="00B93126">
              <w:rPr>
                <w:rFonts w:eastAsia="Times New Roman" w:cstheme="minorHAnsi"/>
              </w:rPr>
              <w:t xml:space="preserve">. </w:t>
            </w:r>
            <w:r w:rsidR="00430053" w:rsidRPr="006E3EF1">
              <w:rPr>
                <w:rFonts w:eastAsia="Times New Roman" w:cstheme="minorHAnsi"/>
              </w:rPr>
              <w:t>Slightly strengthens tenants</w:t>
            </w:r>
            <w:r w:rsidR="004A7C68">
              <w:rPr>
                <w:rFonts w:eastAsia="Times New Roman" w:cstheme="minorHAnsi"/>
              </w:rPr>
              <w:t>’</w:t>
            </w:r>
            <w:r w:rsidR="00430053" w:rsidRPr="006E3EF1">
              <w:rPr>
                <w:rFonts w:eastAsia="Times New Roman" w:cstheme="minorHAnsi"/>
              </w:rPr>
              <w:t xml:space="preserve"> right when facing an eviction by changing timeframes from calendar days to court days.</w:t>
            </w:r>
            <w:r w:rsidR="00B93126">
              <w:rPr>
                <w:rFonts w:eastAsia="Times New Roman" w:cstheme="minorHAnsi"/>
              </w:rPr>
              <w:t xml:space="preserve"> </w:t>
            </w:r>
            <w:hyperlink r:id="rId31" w:history="1">
              <w:r w:rsidR="00B93126" w:rsidRPr="00B93126">
                <w:rPr>
                  <w:rStyle w:val="Hyperlink"/>
                  <w:rFonts w:eastAsia="Times New Roman" w:cstheme="minorHAnsi"/>
                </w:rPr>
                <w:t>link</w:t>
              </w:r>
            </w:hyperlink>
            <w:r w:rsidR="00430053" w:rsidRPr="006E3EF1">
              <w:rPr>
                <w:rFonts w:eastAsia="Times New Roman" w:cstheme="minorHAnsi"/>
              </w:rPr>
              <w:t xml:space="preserve"> </w:t>
            </w:r>
          </w:p>
        </w:tc>
      </w:tr>
    </w:tbl>
    <w:p w14:paraId="4446722A" w14:textId="77777777" w:rsidR="006E6CF1" w:rsidRPr="00D22634" w:rsidRDefault="006E6CF1" w:rsidP="006E6CF1">
      <w:pPr>
        <w:rPr>
          <w:rFonts w:cstheme="minorHAnsi"/>
          <w:b/>
        </w:rPr>
      </w:pPr>
    </w:p>
    <w:p w14:paraId="5D968BA6" w14:textId="77777777" w:rsidR="006E6CF1" w:rsidRPr="00D22634" w:rsidRDefault="006E6CF1">
      <w:pPr>
        <w:rPr>
          <w:rFonts w:cstheme="minorHAnsi"/>
          <w:b/>
        </w:rPr>
      </w:pPr>
    </w:p>
    <w:sectPr w:rsidR="006E6CF1" w:rsidRPr="00D22634" w:rsidSect="002865A0">
      <w:headerReference w:type="default" r:id="rId32"/>
      <w:footerReference w:type="default" r:id="rId33"/>
      <w:headerReference w:type="first" r:id="rId3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0623" w14:textId="77777777" w:rsidR="00D102A0" w:rsidRDefault="00D102A0" w:rsidP="00732824">
      <w:pPr>
        <w:spacing w:after="0" w:line="240" w:lineRule="auto"/>
      </w:pPr>
      <w:r>
        <w:separator/>
      </w:r>
    </w:p>
  </w:endnote>
  <w:endnote w:type="continuationSeparator" w:id="0">
    <w:p w14:paraId="04638B75" w14:textId="77777777" w:rsidR="00D102A0" w:rsidRDefault="00D102A0" w:rsidP="0073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A1A2" w14:textId="77777777" w:rsidR="00995961" w:rsidRDefault="00995961" w:rsidP="00995961">
    <w:pPr>
      <w:pStyle w:val="Footer"/>
    </w:pPr>
    <w:r>
      <w:t>2018 Housing Bill Summary</w:t>
    </w:r>
    <w:r>
      <w:tab/>
    </w:r>
    <w:r>
      <w:tab/>
    </w:r>
    <w:sdt>
      <w:sdtPr>
        <w:id w:val="2112849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53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1A9080" w14:textId="77777777" w:rsidR="00995961" w:rsidRDefault="0099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19FD" w14:textId="77777777" w:rsidR="00D102A0" w:rsidRDefault="00D102A0" w:rsidP="00732824">
      <w:pPr>
        <w:spacing w:after="0" w:line="240" w:lineRule="auto"/>
      </w:pPr>
      <w:r>
        <w:separator/>
      </w:r>
    </w:p>
  </w:footnote>
  <w:footnote w:type="continuationSeparator" w:id="0">
    <w:p w14:paraId="09A8898F" w14:textId="77777777" w:rsidR="00D102A0" w:rsidRDefault="00D102A0" w:rsidP="0073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0E2B" w14:textId="77777777" w:rsidR="00732824" w:rsidRDefault="00732824" w:rsidP="007328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3D18" w14:textId="77777777" w:rsidR="0038661C" w:rsidRDefault="003866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CDEE57" wp14:editId="543D2358">
          <wp:simplePos x="0" y="0"/>
          <wp:positionH relativeFrom="column">
            <wp:posOffset>2343785</wp:posOffset>
          </wp:positionH>
          <wp:positionV relativeFrom="paragraph">
            <wp:posOffset>-137160</wp:posOffset>
          </wp:positionV>
          <wp:extent cx="1127760" cy="701040"/>
          <wp:effectExtent l="0" t="0" r="0" b="3810"/>
          <wp:wrapSquare wrapText="bothSides"/>
          <wp:docPr id="2" name="Picture 2" descr="C:\Users\Joshua\AppData\Local\Microsoft\Windows\INetCache\Content.Word\21 Elements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hua\AppData\Local\Microsoft\Windows\INetCache\Content.Word\21 Elements logo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7D65"/>
    <w:multiLevelType w:val="hybridMultilevel"/>
    <w:tmpl w:val="AE766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F1"/>
    <w:rsid w:val="000277B1"/>
    <w:rsid w:val="000C6A37"/>
    <w:rsid w:val="00103118"/>
    <w:rsid w:val="00105DD2"/>
    <w:rsid w:val="0011453C"/>
    <w:rsid w:val="00140B5F"/>
    <w:rsid w:val="002865A0"/>
    <w:rsid w:val="0029320E"/>
    <w:rsid w:val="002E64CC"/>
    <w:rsid w:val="002F48A9"/>
    <w:rsid w:val="0038661C"/>
    <w:rsid w:val="003B170B"/>
    <w:rsid w:val="003C75CA"/>
    <w:rsid w:val="00403716"/>
    <w:rsid w:val="00411C19"/>
    <w:rsid w:val="00430053"/>
    <w:rsid w:val="00462E69"/>
    <w:rsid w:val="004A7C68"/>
    <w:rsid w:val="00557F79"/>
    <w:rsid w:val="005756E8"/>
    <w:rsid w:val="005A0ACF"/>
    <w:rsid w:val="005D08D3"/>
    <w:rsid w:val="005F47E7"/>
    <w:rsid w:val="006378EE"/>
    <w:rsid w:val="00646D70"/>
    <w:rsid w:val="006671BF"/>
    <w:rsid w:val="006A41C4"/>
    <w:rsid w:val="006E3EF1"/>
    <w:rsid w:val="006E6CF1"/>
    <w:rsid w:val="006F38C0"/>
    <w:rsid w:val="006F51B4"/>
    <w:rsid w:val="0070639A"/>
    <w:rsid w:val="00720E67"/>
    <w:rsid w:val="00732824"/>
    <w:rsid w:val="007967F9"/>
    <w:rsid w:val="007971DB"/>
    <w:rsid w:val="007A40F7"/>
    <w:rsid w:val="007A7227"/>
    <w:rsid w:val="00893ECC"/>
    <w:rsid w:val="008D390F"/>
    <w:rsid w:val="008F327D"/>
    <w:rsid w:val="00995961"/>
    <w:rsid w:val="009D3652"/>
    <w:rsid w:val="009E73BC"/>
    <w:rsid w:val="009F42C1"/>
    <w:rsid w:val="00A90530"/>
    <w:rsid w:val="00B04193"/>
    <w:rsid w:val="00B162D9"/>
    <w:rsid w:val="00B22D76"/>
    <w:rsid w:val="00B31000"/>
    <w:rsid w:val="00B93126"/>
    <w:rsid w:val="00B94A31"/>
    <w:rsid w:val="00C7027F"/>
    <w:rsid w:val="00C71EC8"/>
    <w:rsid w:val="00D102A0"/>
    <w:rsid w:val="00D22634"/>
    <w:rsid w:val="00D25F1E"/>
    <w:rsid w:val="00D34F35"/>
    <w:rsid w:val="00D435EA"/>
    <w:rsid w:val="00D70B41"/>
    <w:rsid w:val="00DC6554"/>
    <w:rsid w:val="00DD3F03"/>
    <w:rsid w:val="00DD7D2D"/>
    <w:rsid w:val="00E52797"/>
    <w:rsid w:val="00E91F45"/>
    <w:rsid w:val="00EA2B5A"/>
    <w:rsid w:val="00ED2A31"/>
    <w:rsid w:val="00EE4927"/>
    <w:rsid w:val="00F218A8"/>
    <w:rsid w:val="00F416B9"/>
    <w:rsid w:val="00F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6354"/>
  <w15:chartTrackingRefBased/>
  <w15:docId w15:val="{741DBB06-CB59-4E48-A900-FC95EAF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E69"/>
    <w:pPr>
      <w:ind w:left="720"/>
      <w:contextualSpacing/>
    </w:pPr>
  </w:style>
  <w:style w:type="table" w:styleId="TableGrid">
    <w:name w:val="Table Grid"/>
    <w:basedOn w:val="TableNormal"/>
    <w:uiPriority w:val="39"/>
    <w:rsid w:val="0064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24"/>
  </w:style>
  <w:style w:type="paragraph" w:styleId="Footer">
    <w:name w:val="footer"/>
    <w:basedOn w:val="Normal"/>
    <w:link w:val="FooterChar"/>
    <w:uiPriority w:val="99"/>
    <w:unhideWhenUsed/>
    <w:rsid w:val="007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24"/>
  </w:style>
  <w:style w:type="character" w:styleId="CommentReference">
    <w:name w:val="annotation reference"/>
    <w:basedOn w:val="DefaultParagraphFont"/>
    <w:uiPriority w:val="99"/>
    <w:semiHidden/>
    <w:unhideWhenUsed/>
    <w:rsid w:val="00140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0B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1720180AB2372" TargetMode="External"/><Relationship Id="rId13" Type="http://schemas.openxmlformats.org/officeDocument/2006/relationships/hyperlink" Target="https://leginfo.legislature.ca.gov/faces/billNavClient.xhtml?bill_id=201720180AB3194" TargetMode="External"/><Relationship Id="rId18" Type="http://schemas.openxmlformats.org/officeDocument/2006/relationships/hyperlink" Target="https://leginfo.legislature.ca.gov/faces/billNavClient.xhtml?bill_id=201720180AB2162" TargetMode="External"/><Relationship Id="rId26" Type="http://schemas.openxmlformats.org/officeDocument/2006/relationships/hyperlink" Target="https://leginfo.legislature.ca.gov/faces/billCompareClient.xhtml?bill_id=201720180AB19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info.legislature.ca.gov/faces/billHistoryClient.xhtml?bill_id=201720180AB213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eginfo.legislature.ca.gov/faces/billNavClient.xhtml?bill_id=201720180SB1333" TargetMode="External"/><Relationship Id="rId17" Type="http://schemas.openxmlformats.org/officeDocument/2006/relationships/hyperlink" Target="https://leginfo.legislature.ca.gov/faces/billNavClient.xhtml?bill_id=201720180SB828" TargetMode="External"/><Relationship Id="rId25" Type="http://schemas.openxmlformats.org/officeDocument/2006/relationships/hyperlink" Target="https://leginfo.legislature.ca.gov/faces/billCompareClient.xhtml?bill_id=201720180SB1115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ginfo.legislature.ca.gov/faces/billNavClient.xhtml?bill_id=201720180AB1771" TargetMode="External"/><Relationship Id="rId20" Type="http://schemas.openxmlformats.org/officeDocument/2006/relationships/hyperlink" Target="https://leginfo.legislature.ca.gov/faces/billCompareClient.xhtml?bill_id=201720180AB2035" TargetMode="External"/><Relationship Id="rId29" Type="http://schemas.openxmlformats.org/officeDocument/2006/relationships/hyperlink" Target="https://leginfo.legislature.ca.gov/faces/billCompareClient.xhtml?bill_id=201720180SB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nfo.legislature.ca.gov/faces/billNavClient.xhtml?bill_id=201720180AB686" TargetMode="External"/><Relationship Id="rId24" Type="http://schemas.openxmlformats.org/officeDocument/2006/relationships/hyperlink" Target="https://leginfo.legislature.ca.gov/faces/billCompareClient.xhtml?bill_id=201720180AB180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eginfo.legislature.ca.gov/faces/billNavClient.xhtml?bill_id=201720180SB1202" TargetMode="External"/><Relationship Id="rId23" Type="http://schemas.openxmlformats.org/officeDocument/2006/relationships/hyperlink" Target="https://leginfo.legislature.ca.gov/faces/billCompareClient.xhtml?bill_id=201720180SB1227" TargetMode="External"/><Relationship Id="rId28" Type="http://schemas.openxmlformats.org/officeDocument/2006/relationships/hyperlink" Target="https://leginfo.legislature.ca.gov/faces/billCompareClient.xhtml?bill_id=201720180AB258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eginfo.legislature.ca.gov/faces/billNavClient.xhtml?bill_id=201720180AB2797" TargetMode="External"/><Relationship Id="rId19" Type="http://schemas.openxmlformats.org/officeDocument/2006/relationships/hyperlink" Target="https://leginfo.legislature.ca.gov/faces/billNavClient.xhtml?bill_id=201720180AB565" TargetMode="External"/><Relationship Id="rId31" Type="http://schemas.openxmlformats.org/officeDocument/2006/relationships/hyperlink" Target="https://leginfo.legislature.ca.gov/faces/billCompareClient.xhtml?bill_id=201720180AB2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1720180AB2753" TargetMode="External"/><Relationship Id="rId14" Type="http://schemas.openxmlformats.org/officeDocument/2006/relationships/hyperlink" Target="https://leginfo.legislature.ca.gov/faces/billNavClient.xhtml?bill_id=201720180SB850" TargetMode="External"/><Relationship Id="rId22" Type="http://schemas.openxmlformats.org/officeDocument/2006/relationships/hyperlink" Target="https://leginfo.legislature.ca.gov/faces/billCompareClient.xhtml?bill_id=201720180AB2263" TargetMode="External"/><Relationship Id="rId27" Type="http://schemas.openxmlformats.org/officeDocument/2006/relationships/hyperlink" Target="https://leginfo.legislature.ca.gov/faces/billCompareClient.xhtml?bill_id=201720180AB2056" TargetMode="External"/><Relationship Id="rId30" Type="http://schemas.openxmlformats.org/officeDocument/2006/relationships/hyperlink" Target="https://leginfo.legislature.ca.gov/faces/billCompareClient.xhtml?bill_id=201720180SB1130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8C50-BB59-4B12-AF43-A0F4141C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Julia</cp:lastModifiedBy>
  <cp:revision>11</cp:revision>
  <cp:lastPrinted>2018-09-05T21:58:00Z</cp:lastPrinted>
  <dcterms:created xsi:type="dcterms:W3CDTF">2018-10-02T22:06:00Z</dcterms:created>
  <dcterms:modified xsi:type="dcterms:W3CDTF">2018-10-25T21:46:00Z</dcterms:modified>
</cp:coreProperties>
</file>