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DF77" w14:textId="77777777" w:rsidR="005D5389" w:rsidRPr="00055595" w:rsidRDefault="005D5389" w:rsidP="00A778AC">
      <w:pPr>
        <w:pBdr>
          <w:bottom w:val="single" w:sz="4" w:space="1" w:color="auto"/>
        </w:pBdr>
        <w:rPr>
          <w:rFonts w:ascii="Century Gothic" w:hAnsi="Century Gothic" w:cs="Times New Roman"/>
          <w:sz w:val="10"/>
          <w:szCs w:val="10"/>
          <w:u w:val="none"/>
        </w:rPr>
      </w:pPr>
    </w:p>
    <w:p w14:paraId="46F1B764" w14:textId="77777777" w:rsidR="00691A70" w:rsidRPr="00055595" w:rsidRDefault="00691A70">
      <w:pPr>
        <w:rPr>
          <w:rFonts w:ascii="Century Gothic" w:hAnsi="Century Gothic" w:cs="Times New Roman"/>
          <w:sz w:val="10"/>
          <w:szCs w:val="10"/>
          <w:u w:val="none"/>
        </w:rPr>
      </w:pPr>
    </w:p>
    <w:p w14:paraId="55197259" w14:textId="0C0EDA0B" w:rsidR="00260D63" w:rsidRPr="00660DF1" w:rsidRDefault="00260D63" w:rsidP="0093714A">
      <w:pPr>
        <w:pBdr>
          <w:bottom w:val="single" w:sz="4" w:space="1" w:color="auto"/>
        </w:pBdr>
        <w:tabs>
          <w:tab w:val="left" w:pos="1584"/>
          <w:tab w:val="center" w:pos="4680"/>
        </w:tabs>
        <w:jc w:val="center"/>
        <w:rPr>
          <w:rFonts w:ascii="Century Gothic" w:hAnsi="Century Gothic"/>
          <w:b/>
          <w:bCs/>
          <w:sz w:val="32"/>
          <w:szCs w:val="40"/>
          <w:u w:val="none"/>
        </w:rPr>
      </w:pPr>
      <w:r w:rsidRPr="00660DF1">
        <w:rPr>
          <w:rFonts w:ascii="Century Gothic" w:hAnsi="Century Gothic"/>
          <w:b/>
          <w:bCs/>
          <w:sz w:val="32"/>
          <w:szCs w:val="40"/>
          <w:u w:val="none"/>
        </w:rPr>
        <w:t>21 Elements</w:t>
      </w:r>
      <w:r w:rsidR="0093714A" w:rsidRPr="00660DF1">
        <w:rPr>
          <w:rFonts w:ascii="Century Gothic" w:hAnsi="Century Gothic"/>
          <w:b/>
          <w:bCs/>
          <w:sz w:val="32"/>
          <w:szCs w:val="40"/>
          <w:u w:val="none"/>
        </w:rPr>
        <w:t xml:space="preserve"> Approach to Assisting San Mateo County</w:t>
      </w:r>
    </w:p>
    <w:p w14:paraId="15E8D0CF" w14:textId="30CF87CD" w:rsidR="0093714A" w:rsidRPr="00260D63" w:rsidRDefault="0093714A" w:rsidP="0093714A">
      <w:pPr>
        <w:pBdr>
          <w:bottom w:val="single" w:sz="4" w:space="1" w:color="auto"/>
        </w:pBdr>
        <w:tabs>
          <w:tab w:val="left" w:pos="1584"/>
          <w:tab w:val="center" w:pos="4680"/>
        </w:tabs>
        <w:jc w:val="center"/>
        <w:rPr>
          <w:rFonts w:ascii="Century Gothic" w:hAnsi="Century Gothic"/>
          <w:b/>
          <w:bCs/>
          <w:sz w:val="28"/>
          <w:szCs w:val="40"/>
          <w:u w:val="none"/>
        </w:rPr>
      </w:pPr>
      <w:r w:rsidRPr="00660DF1">
        <w:rPr>
          <w:rFonts w:ascii="Century Gothic" w:hAnsi="Century Gothic"/>
          <w:b/>
          <w:bCs/>
          <w:sz w:val="32"/>
          <w:szCs w:val="40"/>
          <w:u w:val="none"/>
        </w:rPr>
        <w:t xml:space="preserve"> Jurisdictions in Implementing New State </w:t>
      </w:r>
      <w:r w:rsidR="00260D63" w:rsidRPr="00660DF1">
        <w:rPr>
          <w:rFonts w:ascii="Century Gothic" w:hAnsi="Century Gothic"/>
          <w:b/>
          <w:bCs/>
          <w:sz w:val="32"/>
          <w:szCs w:val="40"/>
          <w:u w:val="none"/>
        </w:rPr>
        <w:t xml:space="preserve">Housing </w:t>
      </w:r>
      <w:r w:rsidRPr="00660DF1">
        <w:rPr>
          <w:rFonts w:ascii="Century Gothic" w:hAnsi="Century Gothic"/>
          <w:b/>
          <w:bCs/>
          <w:sz w:val="32"/>
          <w:szCs w:val="40"/>
          <w:u w:val="none"/>
        </w:rPr>
        <w:t>Laws</w:t>
      </w:r>
    </w:p>
    <w:p w14:paraId="42154507" w14:textId="1890212F" w:rsidR="000E1CB8" w:rsidRDefault="0093714A" w:rsidP="0093714A">
      <w:pPr>
        <w:pBdr>
          <w:bottom w:val="single" w:sz="4" w:space="1" w:color="auto"/>
        </w:pBdr>
        <w:tabs>
          <w:tab w:val="left" w:pos="1584"/>
          <w:tab w:val="center" w:pos="4680"/>
        </w:tabs>
        <w:jc w:val="center"/>
        <w:rPr>
          <w:rFonts w:ascii="Century Gothic" w:hAnsi="Century Gothic"/>
          <w:bCs/>
          <w:sz w:val="22"/>
          <w:szCs w:val="40"/>
          <w:u w:val="none"/>
        </w:rPr>
      </w:pPr>
      <w:r w:rsidRPr="00260D63">
        <w:rPr>
          <w:rFonts w:ascii="Century Gothic" w:hAnsi="Century Gothic"/>
          <w:bCs/>
          <w:sz w:val="22"/>
          <w:szCs w:val="40"/>
          <w:u w:val="none"/>
        </w:rPr>
        <w:t xml:space="preserve">SB 35 </w:t>
      </w:r>
      <w:r w:rsidR="0015259D">
        <w:rPr>
          <w:rFonts w:ascii="Century Gothic" w:hAnsi="Century Gothic"/>
          <w:bCs/>
          <w:sz w:val="22"/>
          <w:szCs w:val="40"/>
          <w:u w:val="none"/>
        </w:rPr>
        <w:t>and</w:t>
      </w:r>
      <w:r w:rsidRPr="00260D63">
        <w:rPr>
          <w:rFonts w:ascii="Century Gothic" w:hAnsi="Century Gothic"/>
          <w:bCs/>
          <w:sz w:val="22"/>
          <w:szCs w:val="40"/>
          <w:u w:val="none"/>
        </w:rPr>
        <w:t xml:space="preserve"> </w:t>
      </w:r>
      <w:r w:rsidR="0015259D">
        <w:rPr>
          <w:rFonts w:ascii="Century Gothic" w:hAnsi="Century Gothic"/>
          <w:bCs/>
          <w:sz w:val="22"/>
          <w:szCs w:val="40"/>
          <w:u w:val="none"/>
        </w:rPr>
        <w:t>Housing Accountability Act (HAA)</w:t>
      </w:r>
    </w:p>
    <w:p w14:paraId="762DC3CE" w14:textId="77777777" w:rsidR="00260D63" w:rsidRPr="00260D63" w:rsidRDefault="00260D63" w:rsidP="0093714A">
      <w:pPr>
        <w:pBdr>
          <w:bottom w:val="single" w:sz="4" w:space="1" w:color="auto"/>
        </w:pBdr>
        <w:tabs>
          <w:tab w:val="left" w:pos="1584"/>
          <w:tab w:val="center" w:pos="4680"/>
        </w:tabs>
        <w:jc w:val="center"/>
        <w:rPr>
          <w:rFonts w:ascii="Century Gothic" w:hAnsi="Century Gothic"/>
          <w:bCs/>
          <w:sz w:val="8"/>
          <w:szCs w:val="40"/>
          <w:u w:val="none"/>
        </w:rPr>
      </w:pPr>
    </w:p>
    <w:p w14:paraId="2D942A09" w14:textId="77777777" w:rsidR="0093714A" w:rsidRPr="00260D63" w:rsidRDefault="0093714A" w:rsidP="0093714A">
      <w:pPr>
        <w:pBdr>
          <w:bottom w:val="single" w:sz="4" w:space="1" w:color="auto"/>
        </w:pBdr>
        <w:tabs>
          <w:tab w:val="left" w:pos="1584"/>
          <w:tab w:val="center" w:pos="4680"/>
        </w:tabs>
        <w:jc w:val="center"/>
        <w:rPr>
          <w:rFonts w:ascii="Century Gothic" w:hAnsi="Century Gothic"/>
          <w:bCs/>
          <w:sz w:val="6"/>
          <w:szCs w:val="40"/>
          <w:u w:val="none"/>
        </w:rPr>
      </w:pPr>
    </w:p>
    <w:p w14:paraId="4506053E" w14:textId="77777777" w:rsidR="000E1CB8" w:rsidRPr="00260D63" w:rsidRDefault="000E1CB8" w:rsidP="0093714A">
      <w:pPr>
        <w:spacing w:line="288" w:lineRule="auto"/>
        <w:jc w:val="center"/>
        <w:rPr>
          <w:rFonts w:ascii="Century Gothic" w:hAnsi="Century Gothic"/>
          <w:b/>
          <w:bCs/>
          <w:sz w:val="10"/>
          <w:szCs w:val="40"/>
          <w:u w:val="none"/>
        </w:rPr>
      </w:pPr>
    </w:p>
    <w:p w14:paraId="1304045A" w14:textId="12698C08" w:rsidR="00691A70" w:rsidRPr="00B479F4" w:rsidRDefault="0093714A" w:rsidP="00260D63">
      <w:pPr>
        <w:spacing w:line="288" w:lineRule="auto"/>
        <w:jc w:val="center"/>
        <w:rPr>
          <w:rFonts w:ascii="Century Gothic" w:hAnsi="Century Gothic"/>
          <w:b/>
          <w:bCs/>
          <w:color w:val="C0504D" w:themeColor="accent2"/>
          <w:sz w:val="28"/>
          <w:szCs w:val="40"/>
          <w:u w:val="none"/>
        </w:rPr>
      </w:pPr>
      <w:r w:rsidRPr="00B479F4">
        <w:rPr>
          <w:rFonts w:ascii="Century Gothic" w:hAnsi="Century Gothic"/>
          <w:b/>
          <w:bCs/>
          <w:color w:val="C0504D" w:themeColor="accent2"/>
          <w:sz w:val="28"/>
          <w:szCs w:val="40"/>
          <w:u w:val="none"/>
        </w:rPr>
        <w:t>DRAFT</w:t>
      </w:r>
    </w:p>
    <w:p w14:paraId="387B9607" w14:textId="761FA315" w:rsidR="00691A70" w:rsidRPr="0093714A" w:rsidRDefault="00281440" w:rsidP="0093714A">
      <w:pPr>
        <w:spacing w:line="288" w:lineRule="auto"/>
        <w:jc w:val="center"/>
        <w:rPr>
          <w:rFonts w:ascii="Century Gothic" w:hAnsi="Century Gothic" w:cs="Times New Roman"/>
          <w:b/>
          <w:bCs/>
          <w:sz w:val="2"/>
          <w:szCs w:val="2"/>
          <w:u w:val="none"/>
        </w:rPr>
      </w:pPr>
      <w:r w:rsidRPr="00055595">
        <w:rPr>
          <w:rFonts w:ascii="Century Gothic" w:hAnsi="Century Gothic" w:cs="Times New Roman"/>
          <w:b/>
          <w:bCs/>
          <w:sz w:val="2"/>
          <w:szCs w:val="2"/>
          <w:u w:val="none"/>
        </w:rPr>
        <w:t xml:space="preserve">   A</w:t>
      </w:r>
    </w:p>
    <w:p w14:paraId="65A8D7C3" w14:textId="4CC380E1" w:rsidR="0093714A" w:rsidRPr="0093714A" w:rsidRDefault="0093714A" w:rsidP="0093714A">
      <w:pPr>
        <w:spacing w:line="288" w:lineRule="auto"/>
        <w:jc w:val="center"/>
        <w:rPr>
          <w:rFonts w:ascii="Century Gothic" w:eastAsia="Times New Roman" w:hAnsi="Century Gothic"/>
          <w:iCs/>
          <w:sz w:val="22"/>
          <w:szCs w:val="22"/>
          <w:u w:val="none"/>
        </w:rPr>
      </w:pPr>
      <w:r w:rsidRPr="0093714A">
        <w:rPr>
          <w:rFonts w:ascii="Century Gothic" w:hAnsi="Century Gothic"/>
          <w:iCs/>
          <w:sz w:val="22"/>
          <w:szCs w:val="22"/>
          <w:u w:val="none"/>
        </w:rPr>
        <w:t xml:space="preserve">Prepared May </w:t>
      </w:r>
      <w:r w:rsidR="00D74EC2">
        <w:rPr>
          <w:rFonts w:ascii="Century Gothic" w:hAnsi="Century Gothic"/>
          <w:iCs/>
          <w:sz w:val="22"/>
          <w:szCs w:val="22"/>
          <w:u w:val="none"/>
        </w:rPr>
        <w:t>24</w:t>
      </w:r>
      <w:r w:rsidR="00D74EC2">
        <w:rPr>
          <w:rFonts w:ascii="Century Gothic" w:eastAsia="Times New Roman" w:hAnsi="Century Gothic"/>
          <w:iCs/>
          <w:sz w:val="22"/>
          <w:szCs w:val="22"/>
          <w:u w:val="none"/>
          <w:vertAlign w:val="superscript"/>
        </w:rPr>
        <w:t>th</w:t>
      </w:r>
      <w:r w:rsidR="00D74EC2" w:rsidRPr="0093714A">
        <w:rPr>
          <w:rFonts w:ascii="Century Gothic" w:eastAsia="Times New Roman" w:hAnsi="Century Gothic"/>
          <w:iCs/>
          <w:sz w:val="22"/>
          <w:szCs w:val="22"/>
          <w:u w:val="none"/>
        </w:rPr>
        <w:t xml:space="preserve"> </w:t>
      </w:r>
      <w:r w:rsidRPr="0093714A">
        <w:rPr>
          <w:rFonts w:ascii="Century Gothic" w:eastAsia="Times New Roman" w:hAnsi="Century Gothic"/>
          <w:iCs/>
          <w:sz w:val="22"/>
          <w:szCs w:val="22"/>
          <w:u w:val="none"/>
        </w:rPr>
        <w:t>2018</w:t>
      </w:r>
    </w:p>
    <w:p w14:paraId="323A34DD" w14:textId="77777777" w:rsidR="00497E66" w:rsidRDefault="00497E66" w:rsidP="0093714A">
      <w:pPr>
        <w:tabs>
          <w:tab w:val="center" w:pos="4680"/>
          <w:tab w:val="left" w:pos="6816"/>
        </w:tabs>
        <w:spacing w:line="288" w:lineRule="auto"/>
        <w:rPr>
          <w:rFonts w:ascii="Century Gothic" w:hAnsi="Century Gothic"/>
          <w:bCs/>
          <w:sz w:val="22"/>
          <w:szCs w:val="22"/>
          <w:u w:val="none"/>
        </w:rPr>
      </w:pPr>
    </w:p>
    <w:p w14:paraId="1BD6A11C" w14:textId="5114BC08" w:rsidR="00497E66" w:rsidRDefault="00497E66" w:rsidP="0093714A">
      <w:pPr>
        <w:tabs>
          <w:tab w:val="center" w:pos="4680"/>
          <w:tab w:val="left" w:pos="6816"/>
        </w:tabs>
        <w:spacing w:line="288" w:lineRule="auto"/>
        <w:rPr>
          <w:rFonts w:ascii="Century Gothic" w:hAnsi="Century Gothic"/>
          <w:bCs/>
          <w:sz w:val="22"/>
          <w:szCs w:val="22"/>
          <w:u w:val="none"/>
        </w:rPr>
      </w:pPr>
      <w:r>
        <w:rPr>
          <w:rFonts w:ascii="Century Gothic" w:hAnsi="Century Gothic"/>
          <w:bCs/>
          <w:sz w:val="22"/>
          <w:szCs w:val="22"/>
          <w:u w:val="none"/>
        </w:rPr>
        <w:t xml:space="preserve">The material in this memo covers the assistance and tasks 21 Elements can provide for the jurisdictions in complying with the new State law requirements (principally for SB 35 and the HAA). As with other major work efforts involving 21 Elements (e.g., housing elements, nexus studies, displacement, etc.), we strive to develop and share information </w:t>
      </w:r>
      <w:r w:rsidR="00B479F4">
        <w:rPr>
          <w:rFonts w:ascii="Century Gothic" w:hAnsi="Century Gothic"/>
          <w:bCs/>
          <w:sz w:val="22"/>
          <w:szCs w:val="22"/>
          <w:u w:val="none"/>
        </w:rPr>
        <w:t xml:space="preserve">and best practices from both a </w:t>
      </w:r>
      <w:r>
        <w:rPr>
          <w:rFonts w:ascii="Century Gothic" w:hAnsi="Century Gothic"/>
          <w:bCs/>
          <w:sz w:val="22"/>
          <w:szCs w:val="22"/>
          <w:u w:val="none"/>
        </w:rPr>
        <w:t>top-down and bottom-up perspective — in other words, combining a growing level of knowledge of best practices that is informed by jurisdiction-specific solutions.</w:t>
      </w:r>
    </w:p>
    <w:p w14:paraId="620167F7" w14:textId="77777777" w:rsidR="00497E66" w:rsidRDefault="00497E66" w:rsidP="0093714A">
      <w:pPr>
        <w:tabs>
          <w:tab w:val="center" w:pos="4680"/>
          <w:tab w:val="left" w:pos="6816"/>
        </w:tabs>
        <w:spacing w:line="288" w:lineRule="auto"/>
        <w:rPr>
          <w:rFonts w:ascii="Century Gothic" w:hAnsi="Century Gothic"/>
          <w:bCs/>
          <w:sz w:val="22"/>
          <w:szCs w:val="22"/>
          <w:u w:val="none"/>
        </w:rPr>
      </w:pPr>
    </w:p>
    <w:p w14:paraId="3CA38663" w14:textId="77777777" w:rsidR="00E772BE" w:rsidRDefault="00497E66" w:rsidP="00E772BE">
      <w:pPr>
        <w:tabs>
          <w:tab w:val="center" w:pos="4680"/>
          <w:tab w:val="left" w:pos="6816"/>
        </w:tabs>
        <w:spacing w:line="288" w:lineRule="auto"/>
        <w:rPr>
          <w:rFonts w:ascii="Century Gothic" w:hAnsi="Century Gothic"/>
          <w:bCs/>
          <w:sz w:val="22"/>
          <w:szCs w:val="22"/>
          <w:u w:val="none"/>
        </w:rPr>
      </w:pPr>
      <w:r>
        <w:rPr>
          <w:rFonts w:ascii="Century Gothic" w:hAnsi="Century Gothic"/>
          <w:bCs/>
          <w:sz w:val="22"/>
          <w:szCs w:val="22"/>
          <w:u w:val="none"/>
        </w:rPr>
        <w:t xml:space="preserve">Similarly, as described below, 21 Elements would (A) do a top-down scan of best practices and sample materials to inform the jurisdictions; (B) work bottom-up with individual jurisdictions on their new laws implementing materials; and, (C) refine </w:t>
      </w:r>
      <w:proofErr w:type="gramStart"/>
      <w:r>
        <w:rPr>
          <w:rFonts w:ascii="Century Gothic" w:hAnsi="Century Gothic"/>
          <w:bCs/>
          <w:sz w:val="22"/>
          <w:szCs w:val="22"/>
          <w:u w:val="none"/>
        </w:rPr>
        <w:t>materials</w:t>
      </w:r>
      <w:proofErr w:type="gramEnd"/>
      <w:r>
        <w:rPr>
          <w:rFonts w:ascii="Century Gothic" w:hAnsi="Century Gothic"/>
          <w:bCs/>
          <w:sz w:val="22"/>
          <w:szCs w:val="22"/>
          <w:u w:val="none"/>
        </w:rPr>
        <w:t xml:space="preserve"> as we proceed.</w:t>
      </w:r>
    </w:p>
    <w:p w14:paraId="42EB5AD7" w14:textId="6867673E" w:rsidR="001A486D" w:rsidRPr="001A486D" w:rsidRDefault="00E42554" w:rsidP="00E772BE">
      <w:pPr>
        <w:tabs>
          <w:tab w:val="center" w:pos="4680"/>
          <w:tab w:val="left" w:pos="6816"/>
        </w:tabs>
        <w:spacing w:line="288" w:lineRule="auto"/>
        <w:rPr>
          <w:rFonts w:ascii="Century Gothic" w:hAnsi="Century Gothic"/>
          <w:b/>
          <w:bCs/>
          <w:sz w:val="28"/>
          <w:szCs w:val="22"/>
          <w:u w:val="none"/>
        </w:rPr>
      </w:pPr>
      <w:r w:rsidRPr="0093714A">
        <w:rPr>
          <w:rFonts w:ascii="Century Gothic" w:eastAsia="Times New Roman" w:hAnsi="Century Gothic"/>
          <w:iCs/>
          <w:sz w:val="22"/>
          <w:szCs w:val="22"/>
          <w:u w:val="none"/>
        </w:rPr>
        <w:tab/>
      </w:r>
    </w:p>
    <w:p w14:paraId="1CB0AAA4" w14:textId="2D816F57" w:rsidR="0093714A" w:rsidRPr="00B06487" w:rsidRDefault="00B67A69" w:rsidP="00E772BE">
      <w:pPr>
        <w:rPr>
          <w:rFonts w:ascii="Century Gothic" w:eastAsia="Times New Roman" w:hAnsi="Century Gothic" w:cs="Times New Roman"/>
          <w:b/>
          <w:sz w:val="28"/>
          <w:szCs w:val="22"/>
          <w:u w:val="none"/>
          <w:lang w:eastAsia="en-US"/>
        </w:rPr>
      </w:pPr>
      <w:r>
        <w:rPr>
          <w:rFonts w:ascii="Century Gothic" w:hAnsi="Century Gothic"/>
          <w:b/>
          <w:bCs/>
          <w:sz w:val="28"/>
          <w:szCs w:val="22"/>
          <w:u w:val="none"/>
        </w:rPr>
        <w:t>New Laws Work Plan</w:t>
      </w:r>
    </w:p>
    <w:p w14:paraId="02E3A948" w14:textId="77777777" w:rsidR="0016170F" w:rsidRPr="00E30072" w:rsidRDefault="0016170F" w:rsidP="0093714A">
      <w:pPr>
        <w:spacing w:line="288" w:lineRule="auto"/>
        <w:rPr>
          <w:rFonts w:ascii="Century Gothic" w:eastAsia="Times New Roman" w:hAnsi="Century Gothic" w:cs="Times New Roman"/>
          <w:sz w:val="12"/>
          <w:szCs w:val="22"/>
          <w:u w:val="none"/>
          <w:lang w:eastAsia="en-US"/>
        </w:rPr>
      </w:pPr>
    </w:p>
    <w:p w14:paraId="5CDCF5D4" w14:textId="599938EA" w:rsidR="003F3217" w:rsidRDefault="00B06487" w:rsidP="003F3217">
      <w:pPr>
        <w:pStyle w:val="ListParagraph"/>
        <w:numPr>
          <w:ilvl w:val="0"/>
          <w:numId w:val="7"/>
        </w:numPr>
        <w:spacing w:after="120" w:line="288" w:lineRule="auto"/>
        <w:contextualSpacing w:val="0"/>
        <w:rPr>
          <w:rFonts w:ascii="Century Gothic" w:eastAsia="Times New Roman" w:hAnsi="Century Gothic" w:cs="Times New Roman"/>
          <w:sz w:val="22"/>
          <w:szCs w:val="22"/>
          <w:u w:val="none"/>
          <w:lang w:eastAsia="en-US"/>
        </w:rPr>
      </w:pPr>
      <w:r w:rsidRPr="00E30072">
        <w:rPr>
          <w:rFonts w:ascii="Century Gothic" w:eastAsia="Times New Roman" w:hAnsi="Century Gothic" w:cs="Times New Roman"/>
          <w:b/>
          <w:sz w:val="22"/>
          <w:szCs w:val="22"/>
          <w:u w:val="none"/>
          <w:lang w:eastAsia="en-US"/>
        </w:rPr>
        <w:t>Conduct Survey on the Status of New State Laws</w:t>
      </w:r>
      <w:r w:rsidR="00733EB8">
        <w:rPr>
          <w:rFonts w:ascii="Century Gothic" w:eastAsia="Times New Roman" w:hAnsi="Century Gothic" w:cs="Times New Roman"/>
          <w:b/>
          <w:sz w:val="22"/>
          <w:szCs w:val="22"/>
          <w:u w:val="none"/>
          <w:lang w:eastAsia="en-US"/>
        </w:rPr>
        <w:t xml:space="preserve"> Implementation</w:t>
      </w:r>
      <w:r w:rsidRPr="00E30072">
        <w:rPr>
          <w:rFonts w:ascii="Century Gothic" w:eastAsia="Times New Roman" w:hAnsi="Century Gothic" w:cs="Times New Roman"/>
          <w:b/>
          <w:sz w:val="22"/>
          <w:szCs w:val="22"/>
          <w:u w:val="none"/>
          <w:lang w:eastAsia="en-US"/>
        </w:rPr>
        <w:t>.</w:t>
      </w:r>
      <w:r>
        <w:rPr>
          <w:rFonts w:ascii="Century Gothic" w:eastAsia="Times New Roman" w:hAnsi="Century Gothic" w:cs="Times New Roman"/>
          <w:sz w:val="22"/>
          <w:szCs w:val="22"/>
          <w:u w:val="none"/>
          <w:lang w:eastAsia="en-US"/>
        </w:rPr>
        <w:t xml:space="preserve"> </w:t>
      </w:r>
      <w:r w:rsidR="00CC483C">
        <w:rPr>
          <w:rFonts w:ascii="Century Gothic" w:eastAsia="Times New Roman" w:hAnsi="Century Gothic" w:cs="Times New Roman"/>
          <w:sz w:val="22"/>
          <w:szCs w:val="22"/>
          <w:u w:val="none"/>
          <w:lang w:eastAsia="en-US"/>
        </w:rPr>
        <w:t xml:space="preserve">Include </w:t>
      </w:r>
      <w:r w:rsidR="00CC483C" w:rsidRPr="003F3217">
        <w:rPr>
          <w:rFonts w:ascii="Century Gothic" w:eastAsia="Times New Roman" w:hAnsi="Century Gothic" w:cs="Times New Roman"/>
          <w:sz w:val="22"/>
          <w:szCs w:val="22"/>
          <w:u w:val="none"/>
          <w:lang w:eastAsia="en-US"/>
        </w:rPr>
        <w:t xml:space="preserve">San Mateo, Marin, Santa Clara and Alameda County </w:t>
      </w:r>
    </w:p>
    <w:p w14:paraId="64BBC623" w14:textId="28DADE49" w:rsidR="00CC483C" w:rsidRPr="00E772BE" w:rsidRDefault="00CC483C" w:rsidP="00241FB5">
      <w:pPr>
        <w:pStyle w:val="ListParagraph"/>
        <w:numPr>
          <w:ilvl w:val="1"/>
          <w:numId w:val="7"/>
        </w:numPr>
        <w:spacing w:after="120" w:line="288" w:lineRule="auto"/>
        <w:contextualSpacing w:val="0"/>
        <w:rPr>
          <w:rFonts w:ascii="Century Gothic" w:eastAsia="Times New Roman" w:hAnsi="Century Gothic" w:cs="Times New Roman"/>
          <w:sz w:val="22"/>
          <w:szCs w:val="22"/>
          <w:u w:val="none"/>
          <w:lang w:eastAsia="en-US"/>
        </w:rPr>
      </w:pPr>
      <w:r w:rsidRPr="00E772BE">
        <w:rPr>
          <w:rFonts w:ascii="Century Gothic" w:eastAsia="Times New Roman" w:hAnsi="Century Gothic" w:cs="Times New Roman"/>
          <w:sz w:val="22"/>
          <w:szCs w:val="22"/>
          <w:u w:val="none"/>
          <w:lang w:eastAsia="en-US"/>
        </w:rPr>
        <w:t xml:space="preserve">Allow </w:t>
      </w:r>
      <w:r w:rsidR="00583119">
        <w:rPr>
          <w:rFonts w:ascii="Century Gothic" w:eastAsia="Times New Roman" w:hAnsi="Century Gothic" w:cs="Times New Roman"/>
          <w:sz w:val="22"/>
          <w:szCs w:val="22"/>
          <w:u w:val="none"/>
          <w:lang w:eastAsia="en-US"/>
        </w:rPr>
        <w:t xml:space="preserve">San Mateo County </w:t>
      </w:r>
      <w:r w:rsidR="00413FF3">
        <w:rPr>
          <w:rFonts w:ascii="Century Gothic" w:eastAsia="Times New Roman" w:hAnsi="Century Gothic" w:cs="Times New Roman"/>
          <w:sz w:val="22"/>
          <w:szCs w:val="22"/>
          <w:u w:val="none"/>
          <w:lang w:eastAsia="en-US"/>
        </w:rPr>
        <w:t>cities to know the progress of</w:t>
      </w:r>
      <w:r w:rsidRPr="00E772BE">
        <w:rPr>
          <w:rFonts w:ascii="Century Gothic" w:eastAsia="Times New Roman" w:hAnsi="Century Gothic" w:cs="Times New Roman"/>
          <w:sz w:val="22"/>
          <w:szCs w:val="22"/>
          <w:u w:val="none"/>
          <w:lang w:eastAsia="en-US"/>
        </w:rPr>
        <w:t xml:space="preserve"> their neighbors</w:t>
      </w:r>
    </w:p>
    <w:p w14:paraId="172875FD" w14:textId="6F8E6890" w:rsidR="00CC483C" w:rsidRPr="00E772BE" w:rsidRDefault="00CC483C" w:rsidP="00241FB5">
      <w:pPr>
        <w:pStyle w:val="ListParagraph"/>
        <w:numPr>
          <w:ilvl w:val="1"/>
          <w:numId w:val="7"/>
        </w:numPr>
        <w:spacing w:after="120" w:line="288" w:lineRule="auto"/>
        <w:contextualSpacing w:val="0"/>
        <w:rPr>
          <w:rFonts w:ascii="Century Gothic" w:eastAsia="Times New Roman" w:hAnsi="Century Gothic" w:cs="Times New Roman"/>
          <w:sz w:val="22"/>
          <w:szCs w:val="22"/>
          <w:u w:val="none"/>
          <w:lang w:eastAsia="en-US"/>
        </w:rPr>
      </w:pPr>
      <w:r w:rsidRPr="00E772BE">
        <w:rPr>
          <w:rFonts w:ascii="Century Gothic" w:eastAsia="Times New Roman" w:hAnsi="Century Gothic" w:cs="Times New Roman"/>
          <w:sz w:val="22"/>
          <w:szCs w:val="22"/>
          <w:u w:val="none"/>
          <w:lang w:eastAsia="en-US"/>
        </w:rPr>
        <w:t xml:space="preserve">Start to collect </w:t>
      </w:r>
      <w:r w:rsidR="00413FF3">
        <w:rPr>
          <w:rFonts w:ascii="Century Gothic" w:eastAsia="Times New Roman" w:hAnsi="Century Gothic" w:cs="Times New Roman"/>
          <w:sz w:val="22"/>
          <w:szCs w:val="22"/>
          <w:u w:val="none"/>
          <w:lang w:eastAsia="en-US"/>
        </w:rPr>
        <w:t xml:space="preserve">a </w:t>
      </w:r>
      <w:r w:rsidRPr="00E772BE">
        <w:rPr>
          <w:rFonts w:ascii="Century Gothic" w:eastAsia="Times New Roman" w:hAnsi="Century Gothic" w:cs="Times New Roman"/>
          <w:sz w:val="22"/>
          <w:szCs w:val="22"/>
          <w:u w:val="none"/>
          <w:lang w:eastAsia="en-US"/>
        </w:rPr>
        <w:t>resource library</w:t>
      </w:r>
      <w:r w:rsidR="001563D2">
        <w:rPr>
          <w:rFonts w:ascii="Century Gothic" w:eastAsia="Times New Roman" w:hAnsi="Century Gothic" w:cs="Times New Roman"/>
          <w:sz w:val="22"/>
          <w:szCs w:val="22"/>
          <w:u w:val="none"/>
          <w:lang w:eastAsia="en-US"/>
        </w:rPr>
        <w:t xml:space="preserve"> and compile best practices (e.g. </w:t>
      </w:r>
      <w:proofErr w:type="spellStart"/>
      <w:r w:rsidR="001563D2">
        <w:rPr>
          <w:rFonts w:ascii="Century Gothic" w:eastAsia="Times New Roman" w:hAnsi="Century Gothic" w:cs="Times New Roman"/>
          <w:sz w:val="22"/>
          <w:szCs w:val="22"/>
          <w:u w:val="none"/>
          <w:lang w:eastAsia="en-US"/>
        </w:rPr>
        <w:t>powerpoints</w:t>
      </w:r>
      <w:proofErr w:type="spellEnd"/>
      <w:r w:rsidR="001563D2">
        <w:rPr>
          <w:rFonts w:ascii="Century Gothic" w:eastAsia="Times New Roman" w:hAnsi="Century Gothic" w:cs="Times New Roman"/>
          <w:sz w:val="22"/>
          <w:szCs w:val="22"/>
          <w:u w:val="none"/>
          <w:lang w:eastAsia="en-US"/>
        </w:rPr>
        <w:t xml:space="preserve"> cities have prepared, handouts, etc.) </w:t>
      </w:r>
    </w:p>
    <w:p w14:paraId="3C63CD6A" w14:textId="4563D6ED" w:rsidR="00241FB5" w:rsidRPr="00CC483C" w:rsidRDefault="00CC483C" w:rsidP="00241FB5">
      <w:pPr>
        <w:pStyle w:val="ListParagraph"/>
        <w:numPr>
          <w:ilvl w:val="1"/>
          <w:numId w:val="7"/>
        </w:numPr>
        <w:spacing w:after="120" w:line="288" w:lineRule="auto"/>
        <w:contextualSpacing w:val="0"/>
        <w:rPr>
          <w:rFonts w:ascii="Century Gothic" w:eastAsia="Times New Roman" w:hAnsi="Century Gothic" w:cs="Times New Roman"/>
          <w:sz w:val="22"/>
          <w:szCs w:val="22"/>
          <w:u w:val="none"/>
          <w:lang w:eastAsia="en-US"/>
        </w:rPr>
      </w:pPr>
      <w:r w:rsidRPr="00E772BE">
        <w:rPr>
          <w:rFonts w:ascii="Century Gothic" w:eastAsia="Times New Roman" w:hAnsi="Century Gothic" w:cs="Times New Roman"/>
          <w:sz w:val="22"/>
          <w:szCs w:val="22"/>
          <w:u w:val="none"/>
          <w:lang w:eastAsia="en-US"/>
        </w:rPr>
        <w:t xml:space="preserve">Identify </w:t>
      </w:r>
      <w:r w:rsidR="00583119">
        <w:rPr>
          <w:rFonts w:ascii="Century Gothic" w:eastAsia="Times New Roman" w:hAnsi="Century Gothic" w:cs="Times New Roman"/>
          <w:sz w:val="22"/>
          <w:szCs w:val="22"/>
          <w:u w:val="none"/>
          <w:lang w:eastAsia="en-US"/>
        </w:rPr>
        <w:t xml:space="preserve">potential </w:t>
      </w:r>
      <w:r w:rsidRPr="00E772BE">
        <w:rPr>
          <w:rFonts w:ascii="Century Gothic" w:eastAsia="Times New Roman" w:hAnsi="Century Gothic" w:cs="Times New Roman"/>
          <w:sz w:val="22"/>
          <w:szCs w:val="22"/>
          <w:u w:val="none"/>
          <w:lang w:eastAsia="en-US"/>
        </w:rPr>
        <w:t xml:space="preserve">presenters for webinar </w:t>
      </w:r>
    </w:p>
    <w:p w14:paraId="433CC53A" w14:textId="48376E88" w:rsidR="00CC483C" w:rsidRPr="00BD6A0C" w:rsidRDefault="00CC483C" w:rsidP="00E772BE">
      <w:pPr>
        <w:pStyle w:val="ListParagraph"/>
        <w:numPr>
          <w:ilvl w:val="0"/>
          <w:numId w:val="7"/>
        </w:numPr>
        <w:spacing w:after="120" w:line="288" w:lineRule="auto"/>
        <w:contextualSpacing w:val="0"/>
        <w:textAlignment w:val="baseline"/>
        <w:rPr>
          <w:rFonts w:ascii="Century Gothic" w:eastAsia="Times New Roman" w:hAnsi="Century Gothic"/>
          <w:color w:val="000000"/>
          <w:sz w:val="22"/>
          <w:szCs w:val="22"/>
          <w:u w:val="none"/>
          <w:lang w:eastAsia="en-US"/>
        </w:rPr>
      </w:pPr>
      <w:r>
        <w:rPr>
          <w:rFonts w:ascii="Century Gothic" w:eastAsia="Times New Roman" w:hAnsi="Century Gothic"/>
          <w:b/>
          <w:color w:val="000000"/>
          <w:sz w:val="22"/>
          <w:szCs w:val="22"/>
          <w:u w:val="none"/>
          <w:lang w:eastAsia="en-US"/>
        </w:rPr>
        <w:t xml:space="preserve">Host </w:t>
      </w:r>
      <w:r w:rsidR="00B479F4">
        <w:rPr>
          <w:rFonts w:ascii="Century Gothic" w:eastAsia="Times New Roman" w:hAnsi="Century Gothic"/>
          <w:b/>
          <w:color w:val="000000"/>
          <w:sz w:val="22"/>
          <w:szCs w:val="22"/>
          <w:u w:val="none"/>
          <w:lang w:eastAsia="en-US"/>
        </w:rPr>
        <w:t xml:space="preserve">Early Adopters </w:t>
      </w:r>
      <w:r w:rsidR="000113AE">
        <w:rPr>
          <w:rFonts w:ascii="Century Gothic" w:eastAsia="Times New Roman" w:hAnsi="Century Gothic"/>
          <w:b/>
          <w:color w:val="000000"/>
          <w:sz w:val="22"/>
          <w:szCs w:val="22"/>
          <w:u w:val="none"/>
          <w:lang w:eastAsia="en-US"/>
        </w:rPr>
        <w:t>Webinar</w:t>
      </w:r>
      <w:r>
        <w:rPr>
          <w:rFonts w:ascii="Century Gothic" w:eastAsia="Times New Roman" w:hAnsi="Century Gothic"/>
          <w:b/>
          <w:color w:val="000000"/>
          <w:sz w:val="22"/>
          <w:szCs w:val="22"/>
          <w:u w:val="none"/>
          <w:lang w:eastAsia="en-US"/>
        </w:rPr>
        <w:t xml:space="preserve"> </w:t>
      </w:r>
      <w:r w:rsidR="00B479F4">
        <w:rPr>
          <w:rFonts w:ascii="Century Gothic" w:eastAsia="Times New Roman" w:hAnsi="Century Gothic"/>
          <w:color w:val="000000"/>
          <w:sz w:val="22"/>
          <w:szCs w:val="22"/>
          <w:u w:val="none"/>
          <w:lang w:eastAsia="en-US"/>
        </w:rPr>
        <w:t>where cities that have made initial progress in implementing the HAA/SB35 present</w:t>
      </w:r>
      <w:r w:rsidR="00B479F4">
        <w:rPr>
          <w:rFonts w:ascii="Century Gothic" w:eastAsia="Times New Roman" w:hAnsi="Century Gothic"/>
          <w:b/>
          <w:color w:val="000000"/>
          <w:sz w:val="22"/>
          <w:szCs w:val="22"/>
          <w:u w:val="none"/>
          <w:lang w:eastAsia="en-US"/>
        </w:rPr>
        <w:t xml:space="preserve"> </w:t>
      </w:r>
    </w:p>
    <w:p w14:paraId="27F10FA8" w14:textId="1410D45E" w:rsidR="00BD6A0C" w:rsidRPr="00E15F5A" w:rsidRDefault="00BD6A0C" w:rsidP="00E772BE">
      <w:pPr>
        <w:pStyle w:val="ListParagraph"/>
        <w:numPr>
          <w:ilvl w:val="0"/>
          <w:numId w:val="7"/>
        </w:numPr>
        <w:spacing w:after="120" w:line="288" w:lineRule="auto"/>
        <w:contextualSpacing w:val="0"/>
        <w:textAlignment w:val="baseline"/>
        <w:rPr>
          <w:rFonts w:ascii="Century Gothic" w:eastAsia="Times New Roman" w:hAnsi="Century Gothic"/>
          <w:color w:val="000000"/>
          <w:sz w:val="22"/>
          <w:szCs w:val="22"/>
          <w:u w:val="none"/>
          <w:lang w:eastAsia="en-US"/>
        </w:rPr>
      </w:pPr>
      <w:r>
        <w:rPr>
          <w:rFonts w:ascii="Century Gothic" w:eastAsia="Times New Roman" w:hAnsi="Century Gothic"/>
          <w:b/>
          <w:color w:val="000000"/>
          <w:sz w:val="22"/>
          <w:szCs w:val="22"/>
          <w:u w:val="none"/>
          <w:lang w:eastAsia="en-US"/>
        </w:rPr>
        <w:t>Host Objective Design Standards</w:t>
      </w:r>
      <w:r w:rsidR="00B479F4">
        <w:rPr>
          <w:rFonts w:ascii="Century Gothic" w:eastAsia="Times New Roman" w:hAnsi="Century Gothic"/>
          <w:b/>
          <w:color w:val="000000"/>
          <w:sz w:val="22"/>
          <w:szCs w:val="22"/>
          <w:u w:val="none"/>
          <w:lang w:eastAsia="en-US"/>
        </w:rPr>
        <w:t xml:space="preserve"> Webinar</w:t>
      </w:r>
      <w:r w:rsidR="00B479F4">
        <w:rPr>
          <w:rFonts w:ascii="Century Gothic" w:eastAsia="Times New Roman" w:hAnsi="Century Gothic"/>
          <w:color w:val="000000"/>
          <w:sz w:val="22"/>
          <w:szCs w:val="22"/>
          <w:u w:val="none"/>
          <w:lang w:eastAsia="en-US"/>
        </w:rPr>
        <w:t xml:space="preserve"> to share options for conducting design review in an objective manner</w:t>
      </w:r>
    </w:p>
    <w:p w14:paraId="02E7950F" w14:textId="454E588B" w:rsidR="001563D2" w:rsidRPr="00E772BE" w:rsidRDefault="00CC483C" w:rsidP="00E772BE">
      <w:pPr>
        <w:pStyle w:val="ListParagraph"/>
        <w:numPr>
          <w:ilvl w:val="0"/>
          <w:numId w:val="7"/>
        </w:numPr>
        <w:spacing w:after="120" w:line="288" w:lineRule="auto"/>
        <w:contextualSpacing w:val="0"/>
        <w:textAlignment w:val="baseline"/>
        <w:rPr>
          <w:rFonts w:ascii="Century Gothic" w:eastAsia="Times New Roman" w:hAnsi="Century Gothic"/>
          <w:color w:val="000000"/>
          <w:sz w:val="22"/>
          <w:szCs w:val="22"/>
          <w:u w:val="none"/>
          <w:lang w:eastAsia="en-US"/>
        </w:rPr>
      </w:pPr>
      <w:r w:rsidRPr="008E630A">
        <w:rPr>
          <w:rFonts w:ascii="Century Gothic" w:eastAsia="Times New Roman" w:hAnsi="Century Gothic"/>
          <w:b/>
          <w:color w:val="000000"/>
          <w:sz w:val="22"/>
          <w:szCs w:val="22"/>
          <w:u w:val="none"/>
          <w:lang w:eastAsia="en-US"/>
        </w:rPr>
        <w:t xml:space="preserve">Write a </w:t>
      </w:r>
      <w:r w:rsidR="000113AE" w:rsidRPr="00E772BE">
        <w:rPr>
          <w:rFonts w:ascii="Century Gothic" w:eastAsia="Times New Roman" w:hAnsi="Century Gothic"/>
          <w:b/>
          <w:color w:val="000000"/>
          <w:sz w:val="22"/>
          <w:szCs w:val="22"/>
          <w:u w:val="none"/>
          <w:lang w:eastAsia="en-US"/>
        </w:rPr>
        <w:t>FAQ</w:t>
      </w:r>
      <w:r w:rsidRPr="008E630A">
        <w:rPr>
          <w:rFonts w:ascii="Century Gothic" w:eastAsia="Times New Roman" w:hAnsi="Century Gothic"/>
          <w:b/>
          <w:color w:val="000000"/>
          <w:sz w:val="22"/>
          <w:szCs w:val="22"/>
          <w:u w:val="none"/>
          <w:lang w:eastAsia="en-US"/>
        </w:rPr>
        <w:t xml:space="preserve">, </w:t>
      </w:r>
      <w:r w:rsidR="001563D2" w:rsidRPr="008E630A">
        <w:rPr>
          <w:rFonts w:ascii="Century Gothic" w:eastAsia="Times New Roman" w:hAnsi="Century Gothic"/>
          <w:b/>
          <w:color w:val="000000"/>
          <w:sz w:val="22"/>
          <w:szCs w:val="22"/>
          <w:u w:val="none"/>
          <w:lang w:eastAsia="en-US"/>
        </w:rPr>
        <w:t xml:space="preserve">SB 35 </w:t>
      </w:r>
      <w:r w:rsidR="008E630A">
        <w:rPr>
          <w:rFonts w:ascii="Century Gothic" w:eastAsia="Times New Roman" w:hAnsi="Century Gothic"/>
          <w:b/>
          <w:color w:val="000000"/>
          <w:sz w:val="22"/>
          <w:szCs w:val="22"/>
          <w:u w:val="none"/>
          <w:lang w:eastAsia="en-US"/>
        </w:rPr>
        <w:t xml:space="preserve">eligibility checklist, sample staff report and </w:t>
      </w:r>
      <w:proofErr w:type="spellStart"/>
      <w:r w:rsidR="008E630A">
        <w:rPr>
          <w:rFonts w:ascii="Century Gothic" w:eastAsia="Times New Roman" w:hAnsi="Century Gothic"/>
          <w:b/>
          <w:color w:val="000000"/>
          <w:sz w:val="22"/>
          <w:szCs w:val="22"/>
          <w:u w:val="none"/>
          <w:lang w:eastAsia="en-US"/>
        </w:rPr>
        <w:t>powerpoint</w:t>
      </w:r>
      <w:proofErr w:type="spellEnd"/>
      <w:r w:rsidR="008E630A">
        <w:rPr>
          <w:rFonts w:ascii="Century Gothic" w:eastAsia="Times New Roman" w:hAnsi="Century Gothic"/>
          <w:b/>
          <w:color w:val="000000"/>
          <w:sz w:val="22"/>
          <w:szCs w:val="22"/>
          <w:u w:val="none"/>
          <w:lang w:eastAsia="en-US"/>
        </w:rPr>
        <w:t>,</w:t>
      </w:r>
      <w:r w:rsidR="00413FF3">
        <w:rPr>
          <w:rFonts w:ascii="Century Gothic" w:eastAsia="Times New Roman" w:hAnsi="Century Gothic"/>
          <w:b/>
          <w:color w:val="000000"/>
          <w:sz w:val="22"/>
          <w:szCs w:val="22"/>
          <w:u w:val="none"/>
          <w:lang w:eastAsia="en-US"/>
        </w:rPr>
        <w:t xml:space="preserve"> and</w:t>
      </w:r>
      <w:r w:rsidR="008E630A">
        <w:rPr>
          <w:rFonts w:ascii="Century Gothic" w:eastAsia="Times New Roman" w:hAnsi="Century Gothic"/>
          <w:b/>
          <w:color w:val="000000"/>
          <w:sz w:val="22"/>
          <w:szCs w:val="22"/>
          <w:u w:val="none"/>
          <w:lang w:eastAsia="en-US"/>
        </w:rPr>
        <w:t xml:space="preserve"> HAA and SB 35 handouts for public</w:t>
      </w:r>
    </w:p>
    <w:p w14:paraId="737654BB" w14:textId="494C170C" w:rsidR="00E15F5A" w:rsidRPr="00E772BE" w:rsidRDefault="008E630A" w:rsidP="00E772BE">
      <w:pPr>
        <w:pStyle w:val="ListParagraph"/>
        <w:numPr>
          <w:ilvl w:val="0"/>
          <w:numId w:val="7"/>
        </w:numPr>
        <w:spacing w:after="120" w:line="288" w:lineRule="auto"/>
        <w:contextualSpacing w:val="0"/>
        <w:textAlignment w:val="baseline"/>
        <w:rPr>
          <w:rFonts w:ascii="Century Gothic" w:eastAsia="Times New Roman" w:hAnsi="Century Gothic"/>
          <w:color w:val="000000"/>
          <w:sz w:val="22"/>
          <w:szCs w:val="22"/>
          <w:u w:val="none"/>
          <w:lang w:eastAsia="en-US"/>
        </w:rPr>
      </w:pPr>
      <w:r>
        <w:rPr>
          <w:rFonts w:ascii="Century Gothic" w:eastAsia="Times New Roman" w:hAnsi="Century Gothic"/>
          <w:b/>
          <w:color w:val="000000"/>
          <w:sz w:val="22"/>
          <w:szCs w:val="22"/>
          <w:u w:val="none"/>
          <w:lang w:eastAsia="en-US"/>
        </w:rPr>
        <w:lastRenderedPageBreak/>
        <w:t xml:space="preserve">Prepare Brief </w:t>
      </w:r>
      <w:r w:rsidR="00CC483C">
        <w:rPr>
          <w:rFonts w:ascii="Century Gothic" w:eastAsia="Times New Roman" w:hAnsi="Century Gothic"/>
          <w:b/>
          <w:color w:val="000000"/>
          <w:sz w:val="22"/>
          <w:szCs w:val="22"/>
          <w:u w:val="none"/>
          <w:lang w:eastAsia="en-US"/>
        </w:rPr>
        <w:t>Case Studies</w:t>
      </w:r>
      <w:r>
        <w:rPr>
          <w:rFonts w:ascii="Century Gothic" w:eastAsia="Times New Roman" w:hAnsi="Century Gothic"/>
          <w:b/>
          <w:color w:val="000000"/>
          <w:sz w:val="22"/>
          <w:szCs w:val="22"/>
          <w:u w:val="none"/>
          <w:lang w:eastAsia="en-US"/>
        </w:rPr>
        <w:t xml:space="preserve"> of the Process Different Cities are Using </w:t>
      </w:r>
    </w:p>
    <w:p w14:paraId="7CCB617D" w14:textId="6173F7C3" w:rsidR="00B85E33" w:rsidRPr="00B85E33" w:rsidRDefault="00607CCE" w:rsidP="00F039C1">
      <w:pPr>
        <w:pStyle w:val="ListParagraph"/>
        <w:numPr>
          <w:ilvl w:val="0"/>
          <w:numId w:val="7"/>
        </w:numPr>
        <w:spacing w:after="120" w:line="288" w:lineRule="auto"/>
        <w:contextualSpacing w:val="0"/>
        <w:rPr>
          <w:rFonts w:ascii="Century Gothic" w:eastAsia="Times New Roman" w:hAnsi="Century Gothic" w:cs="Times New Roman"/>
          <w:sz w:val="22"/>
          <w:szCs w:val="22"/>
          <w:u w:val="none"/>
          <w:lang w:eastAsia="en-US"/>
        </w:rPr>
      </w:pPr>
      <w:r w:rsidRPr="00B85E33">
        <w:rPr>
          <w:rFonts w:ascii="Century Gothic" w:eastAsia="Times New Roman" w:hAnsi="Century Gothic" w:cs="Times New Roman"/>
          <w:b/>
          <w:sz w:val="22"/>
          <w:szCs w:val="22"/>
          <w:u w:val="none"/>
          <w:lang w:eastAsia="en-US"/>
        </w:rPr>
        <w:t>Work with Each Jurisdiction</w:t>
      </w:r>
      <w:r w:rsidR="00413FF3" w:rsidRPr="00B85E33">
        <w:rPr>
          <w:rFonts w:ascii="Century Gothic" w:eastAsia="Times New Roman" w:hAnsi="Century Gothic" w:cs="Times New Roman"/>
          <w:b/>
          <w:sz w:val="22"/>
          <w:szCs w:val="22"/>
          <w:u w:val="none"/>
          <w:lang w:eastAsia="en-US"/>
        </w:rPr>
        <w:t>.</w:t>
      </w:r>
      <w:r w:rsidRPr="00B85E33">
        <w:rPr>
          <w:rFonts w:ascii="Century Gothic" w:eastAsia="Times New Roman" w:hAnsi="Century Gothic" w:cs="Times New Roman"/>
          <w:sz w:val="22"/>
          <w:szCs w:val="22"/>
          <w:u w:val="none"/>
          <w:lang w:eastAsia="en-US"/>
        </w:rPr>
        <w:t xml:space="preserve"> </w:t>
      </w:r>
      <w:r w:rsidR="00B85E33" w:rsidRPr="00B85E33">
        <w:rPr>
          <w:rFonts w:ascii="Century Gothic" w:eastAsia="Times New Roman" w:hAnsi="Century Gothic" w:cs="Times New Roman"/>
          <w:sz w:val="22"/>
          <w:szCs w:val="22"/>
          <w:u w:val="none"/>
          <w:lang w:eastAsia="en-US"/>
        </w:rPr>
        <w:t>21 Elements role will be primarily to provide structure, expertise and knowledge sharing between jurisdictions. The individual assistance will be different in each city. We are budgeting 120 hours for this task over six months and the level of assistance will be adjusted based on jurisdiction response. Assistance can include:</w:t>
      </w:r>
    </w:p>
    <w:p w14:paraId="33B6740D" w14:textId="428ADDCB" w:rsidR="00B85E33" w:rsidRPr="00B85E33" w:rsidRDefault="00B85E33" w:rsidP="00B85E33">
      <w:pPr>
        <w:pStyle w:val="ListParagraph"/>
        <w:spacing w:after="120" w:line="288" w:lineRule="auto"/>
        <w:ind w:left="1080"/>
        <w:rPr>
          <w:rFonts w:ascii="Century Gothic" w:eastAsia="Times New Roman" w:hAnsi="Century Gothic" w:cs="Times New Roman"/>
          <w:sz w:val="22"/>
          <w:szCs w:val="22"/>
          <w:u w:val="none"/>
          <w:lang w:eastAsia="en-US"/>
        </w:rPr>
      </w:pPr>
      <w:r w:rsidRPr="0015107C">
        <w:rPr>
          <w:rFonts w:ascii="Century Gothic" w:eastAsia="Times New Roman" w:hAnsi="Century Gothic" w:cs="Times New Roman"/>
          <w:b/>
          <w:sz w:val="22"/>
          <w:szCs w:val="22"/>
          <w:u w:val="none"/>
          <w:lang w:eastAsia="en-US"/>
        </w:rPr>
        <w:t>A.</w:t>
      </w:r>
      <w:r w:rsidRPr="0015107C">
        <w:rPr>
          <w:rFonts w:ascii="Century Gothic" w:eastAsia="Times New Roman" w:hAnsi="Century Gothic" w:cs="Times New Roman"/>
          <w:b/>
          <w:sz w:val="22"/>
          <w:szCs w:val="22"/>
          <w:u w:val="none"/>
          <w:lang w:eastAsia="en-US"/>
        </w:rPr>
        <w:tab/>
        <w:t>Meetings with Cities.</w:t>
      </w:r>
      <w:r w:rsidRPr="00B85E33">
        <w:rPr>
          <w:rFonts w:ascii="Century Gothic" w:eastAsia="Times New Roman" w:hAnsi="Century Gothic" w:cs="Times New Roman"/>
          <w:sz w:val="22"/>
          <w:szCs w:val="22"/>
          <w:u w:val="none"/>
          <w:lang w:eastAsia="en-US"/>
        </w:rPr>
        <w:t xml:space="preserve"> 21 Elements will be available to meet with cities individually to help establish a work plan for them to make adjustments to their code to be prepared to implement the new state laws. </w:t>
      </w:r>
    </w:p>
    <w:p w14:paraId="798ED92E" w14:textId="77777777" w:rsidR="00B85E33" w:rsidRPr="00B85E33" w:rsidRDefault="00B85E33" w:rsidP="00B85E33">
      <w:pPr>
        <w:pStyle w:val="ListParagraph"/>
        <w:spacing w:after="120" w:line="288" w:lineRule="auto"/>
        <w:ind w:left="1080"/>
        <w:rPr>
          <w:rFonts w:ascii="Century Gothic" w:eastAsia="Times New Roman" w:hAnsi="Century Gothic" w:cs="Times New Roman"/>
          <w:sz w:val="22"/>
          <w:szCs w:val="22"/>
          <w:u w:val="none"/>
          <w:lang w:eastAsia="en-US"/>
        </w:rPr>
      </w:pPr>
      <w:r w:rsidRPr="0015107C">
        <w:rPr>
          <w:rFonts w:ascii="Century Gothic" w:eastAsia="Times New Roman" w:hAnsi="Century Gothic" w:cs="Times New Roman"/>
          <w:b/>
          <w:sz w:val="22"/>
          <w:szCs w:val="22"/>
          <w:u w:val="none"/>
          <w:lang w:eastAsia="en-US"/>
        </w:rPr>
        <w:t>B.</w:t>
      </w:r>
      <w:r w:rsidRPr="0015107C">
        <w:rPr>
          <w:rFonts w:ascii="Century Gothic" w:eastAsia="Times New Roman" w:hAnsi="Century Gothic" w:cs="Times New Roman"/>
          <w:b/>
          <w:sz w:val="22"/>
          <w:szCs w:val="22"/>
          <w:u w:val="none"/>
          <w:lang w:eastAsia="en-US"/>
        </w:rPr>
        <w:tab/>
        <w:t>Technical Resource Assistance in Analyzing City Codes.</w:t>
      </w:r>
      <w:r w:rsidRPr="00B85E33">
        <w:rPr>
          <w:rFonts w:ascii="Century Gothic" w:eastAsia="Times New Roman" w:hAnsi="Century Gothic" w:cs="Times New Roman"/>
          <w:sz w:val="22"/>
          <w:szCs w:val="22"/>
          <w:u w:val="none"/>
          <w:lang w:eastAsia="en-US"/>
        </w:rPr>
        <w:t xml:space="preserve"> Work with jurisdiction staff to review possible changes to policies, standards, etc. and best practices.</w:t>
      </w:r>
    </w:p>
    <w:p w14:paraId="782EBE55" w14:textId="77777777" w:rsidR="00B85E33" w:rsidRPr="0015107C" w:rsidRDefault="00B85E33" w:rsidP="00B85E33">
      <w:pPr>
        <w:pStyle w:val="ListParagraph"/>
        <w:spacing w:after="120" w:line="288" w:lineRule="auto"/>
        <w:ind w:left="1080"/>
        <w:rPr>
          <w:rFonts w:ascii="Century Gothic" w:eastAsia="Times New Roman" w:hAnsi="Century Gothic" w:cs="Times New Roman"/>
          <w:b/>
          <w:sz w:val="22"/>
          <w:szCs w:val="22"/>
          <w:u w:val="none"/>
          <w:lang w:eastAsia="en-US"/>
        </w:rPr>
      </w:pPr>
      <w:r w:rsidRPr="0015107C">
        <w:rPr>
          <w:rFonts w:ascii="Century Gothic" w:eastAsia="Times New Roman" w:hAnsi="Century Gothic" w:cs="Times New Roman"/>
          <w:b/>
          <w:sz w:val="22"/>
          <w:szCs w:val="22"/>
          <w:u w:val="none"/>
          <w:lang w:eastAsia="en-US"/>
        </w:rPr>
        <w:t>C.</w:t>
      </w:r>
      <w:r w:rsidRPr="0015107C">
        <w:rPr>
          <w:rFonts w:ascii="Century Gothic" w:eastAsia="Times New Roman" w:hAnsi="Century Gothic" w:cs="Times New Roman"/>
          <w:b/>
          <w:sz w:val="22"/>
          <w:szCs w:val="22"/>
          <w:u w:val="none"/>
          <w:lang w:eastAsia="en-US"/>
        </w:rPr>
        <w:tab/>
        <w:t xml:space="preserve">Review Handouts and Materials. </w:t>
      </w:r>
    </w:p>
    <w:p w14:paraId="3448B033" w14:textId="77777777" w:rsidR="00B85E33" w:rsidRPr="0015107C" w:rsidRDefault="00B85E33" w:rsidP="00B85E33">
      <w:pPr>
        <w:pStyle w:val="ListParagraph"/>
        <w:spacing w:after="120" w:line="288" w:lineRule="auto"/>
        <w:ind w:left="1080"/>
        <w:rPr>
          <w:rFonts w:ascii="Century Gothic" w:eastAsia="Times New Roman" w:hAnsi="Century Gothic" w:cs="Times New Roman"/>
          <w:b/>
          <w:sz w:val="22"/>
          <w:szCs w:val="22"/>
          <w:u w:val="none"/>
          <w:lang w:eastAsia="en-US"/>
        </w:rPr>
      </w:pPr>
      <w:r w:rsidRPr="0015107C">
        <w:rPr>
          <w:rFonts w:ascii="Century Gothic" w:eastAsia="Times New Roman" w:hAnsi="Century Gothic" w:cs="Times New Roman"/>
          <w:b/>
          <w:sz w:val="22"/>
          <w:szCs w:val="22"/>
          <w:u w:val="none"/>
          <w:lang w:eastAsia="en-US"/>
        </w:rPr>
        <w:t>D.</w:t>
      </w:r>
      <w:r w:rsidRPr="0015107C">
        <w:rPr>
          <w:rFonts w:ascii="Century Gothic" w:eastAsia="Times New Roman" w:hAnsi="Century Gothic" w:cs="Times New Roman"/>
          <w:b/>
          <w:sz w:val="22"/>
          <w:szCs w:val="22"/>
          <w:u w:val="none"/>
          <w:lang w:eastAsia="en-US"/>
        </w:rPr>
        <w:tab/>
        <w:t xml:space="preserve">Review Application Forms and Procedures. </w:t>
      </w:r>
    </w:p>
    <w:p w14:paraId="646B9CAB" w14:textId="77777777" w:rsidR="00B85E33" w:rsidRPr="0015107C" w:rsidRDefault="00B85E33" w:rsidP="00B85E33">
      <w:pPr>
        <w:pStyle w:val="ListParagraph"/>
        <w:spacing w:after="120" w:line="288" w:lineRule="auto"/>
        <w:ind w:left="1080"/>
        <w:contextualSpacing w:val="0"/>
        <w:rPr>
          <w:rFonts w:ascii="Century Gothic" w:eastAsia="Times New Roman" w:hAnsi="Century Gothic" w:cs="Times New Roman"/>
          <w:b/>
          <w:sz w:val="22"/>
          <w:szCs w:val="22"/>
          <w:u w:val="none"/>
          <w:lang w:eastAsia="en-US"/>
        </w:rPr>
      </w:pPr>
      <w:r w:rsidRPr="0015107C">
        <w:rPr>
          <w:rFonts w:ascii="Century Gothic" w:eastAsia="Times New Roman" w:hAnsi="Century Gothic" w:cs="Times New Roman"/>
          <w:b/>
          <w:sz w:val="22"/>
          <w:szCs w:val="22"/>
          <w:u w:val="none"/>
          <w:lang w:eastAsia="en-US"/>
        </w:rPr>
        <w:t>E.</w:t>
      </w:r>
      <w:r w:rsidRPr="0015107C">
        <w:rPr>
          <w:rFonts w:ascii="Century Gothic" w:eastAsia="Times New Roman" w:hAnsi="Century Gothic" w:cs="Times New Roman"/>
          <w:b/>
          <w:sz w:val="22"/>
          <w:szCs w:val="22"/>
          <w:u w:val="none"/>
          <w:lang w:eastAsia="en-US"/>
        </w:rPr>
        <w:tab/>
        <w:t>Other.</w:t>
      </w:r>
    </w:p>
    <w:p w14:paraId="01F7466F" w14:textId="622C0217" w:rsidR="00B85E33" w:rsidRPr="00B85E33" w:rsidRDefault="00B85E33" w:rsidP="00B85E33">
      <w:pPr>
        <w:pStyle w:val="ListParagraph"/>
        <w:numPr>
          <w:ilvl w:val="0"/>
          <w:numId w:val="7"/>
        </w:numPr>
        <w:spacing w:after="120" w:line="288" w:lineRule="auto"/>
        <w:contextualSpacing w:val="0"/>
        <w:rPr>
          <w:rFonts w:ascii="Century Gothic" w:eastAsia="Times New Roman" w:hAnsi="Century Gothic" w:cs="Times New Roman"/>
          <w:sz w:val="22"/>
          <w:szCs w:val="22"/>
          <w:u w:val="none"/>
          <w:lang w:eastAsia="en-US"/>
        </w:rPr>
      </w:pPr>
      <w:r w:rsidRPr="0015107C">
        <w:rPr>
          <w:rFonts w:ascii="Century Gothic" w:eastAsia="Times New Roman" w:hAnsi="Century Gothic" w:cs="Times New Roman"/>
          <w:b/>
          <w:sz w:val="22"/>
          <w:szCs w:val="22"/>
          <w:u w:val="none"/>
          <w:lang w:eastAsia="en-US"/>
        </w:rPr>
        <w:t>Zoning Code-A-Thon.</w:t>
      </w:r>
      <w:r w:rsidRPr="00B85E33">
        <w:rPr>
          <w:rFonts w:ascii="Century Gothic" w:eastAsia="Times New Roman" w:hAnsi="Century Gothic" w:cs="Times New Roman"/>
          <w:sz w:val="22"/>
          <w:szCs w:val="22"/>
          <w:u w:val="none"/>
          <w:lang w:eastAsia="en-US"/>
        </w:rPr>
        <w:t xml:space="preserve"> Host (zoning) code-a-thon, where jurisdictions come to a common location to work on implementation with resource people in the room.</w:t>
      </w:r>
    </w:p>
    <w:p w14:paraId="1D90C70A" w14:textId="03C6B2F4" w:rsidR="00607CCE" w:rsidRPr="00D95814" w:rsidRDefault="00D95814" w:rsidP="00D95814">
      <w:pPr>
        <w:pStyle w:val="ListParagraph"/>
        <w:numPr>
          <w:ilvl w:val="0"/>
          <w:numId w:val="7"/>
        </w:numPr>
        <w:spacing w:after="120" w:line="288" w:lineRule="auto"/>
        <w:contextualSpacing w:val="0"/>
        <w:rPr>
          <w:rFonts w:ascii="Century Gothic" w:eastAsia="Times New Roman" w:hAnsi="Century Gothic" w:cs="Times New Roman"/>
          <w:sz w:val="22"/>
          <w:szCs w:val="22"/>
          <w:u w:val="none"/>
          <w:lang w:eastAsia="en-US"/>
        </w:rPr>
      </w:pPr>
      <w:r>
        <w:rPr>
          <w:rFonts w:ascii="Century Gothic" w:eastAsia="Times New Roman" w:hAnsi="Century Gothic" w:cs="Times New Roman"/>
          <w:b/>
          <w:sz w:val="22"/>
          <w:szCs w:val="22"/>
          <w:u w:val="none"/>
          <w:lang w:eastAsia="en-US"/>
        </w:rPr>
        <w:t xml:space="preserve">Build Best Practices and Sample Policies Library   </w:t>
      </w:r>
      <w:r w:rsidR="00607CCE" w:rsidRPr="00D95814">
        <w:rPr>
          <w:rFonts w:ascii="Century Gothic" w:hAnsi="Century Gothic"/>
          <w:bCs/>
          <w:sz w:val="22"/>
          <w:szCs w:val="22"/>
          <w:u w:val="none"/>
        </w:rPr>
        <w:t>Based on the work with individual</w:t>
      </w:r>
      <w:r w:rsidR="00E30072" w:rsidRPr="00D95814">
        <w:rPr>
          <w:rFonts w:ascii="Century Gothic" w:hAnsi="Century Gothic"/>
          <w:bCs/>
          <w:sz w:val="22"/>
          <w:szCs w:val="22"/>
          <w:u w:val="none"/>
        </w:rPr>
        <w:t xml:space="preserve"> jurisdictions, specific guidelines, procedures, code modifications, background materials, findings, etc. will be compiled to share among all the jurisdictions. </w:t>
      </w:r>
    </w:p>
    <w:p w14:paraId="03DBD61D" w14:textId="697634F8" w:rsidR="006E1B95" w:rsidRPr="00E30072" w:rsidRDefault="006E1B95" w:rsidP="00241FB5">
      <w:pPr>
        <w:pStyle w:val="ListParagraph"/>
        <w:numPr>
          <w:ilvl w:val="0"/>
          <w:numId w:val="7"/>
        </w:numPr>
        <w:spacing w:after="120" w:line="288" w:lineRule="auto"/>
        <w:contextualSpacing w:val="0"/>
        <w:rPr>
          <w:rFonts w:ascii="Century Gothic" w:eastAsia="Times New Roman" w:hAnsi="Century Gothic" w:cs="Times New Roman"/>
          <w:sz w:val="22"/>
          <w:szCs w:val="22"/>
          <w:u w:val="none"/>
          <w:lang w:eastAsia="en-US"/>
        </w:rPr>
      </w:pPr>
      <w:r>
        <w:rPr>
          <w:rFonts w:ascii="Century Gothic" w:hAnsi="Century Gothic"/>
          <w:b/>
          <w:bCs/>
          <w:sz w:val="22"/>
          <w:szCs w:val="22"/>
          <w:u w:val="none"/>
        </w:rPr>
        <w:t>Provide Ongoing Assistance to Jurisdictions</w:t>
      </w:r>
      <w:r w:rsidRPr="00E30072">
        <w:rPr>
          <w:rFonts w:ascii="Century Gothic" w:hAnsi="Century Gothic"/>
          <w:b/>
          <w:bCs/>
          <w:sz w:val="22"/>
          <w:szCs w:val="22"/>
          <w:u w:val="none"/>
        </w:rPr>
        <w:t>.</w:t>
      </w:r>
      <w:r>
        <w:rPr>
          <w:rFonts w:ascii="Century Gothic" w:hAnsi="Century Gothic"/>
          <w:bCs/>
          <w:sz w:val="22"/>
          <w:szCs w:val="22"/>
          <w:u w:val="none"/>
        </w:rPr>
        <w:t xml:space="preserve"> Respond to questions and need for materials related to the new state laws on an ongoing basis.</w:t>
      </w:r>
    </w:p>
    <w:p w14:paraId="32E3AB5E" w14:textId="6AD3B7A6" w:rsidR="00B67A69" w:rsidRDefault="00B67A69" w:rsidP="00CC483C">
      <w:pPr>
        <w:spacing w:line="288" w:lineRule="auto"/>
        <w:rPr>
          <w:rFonts w:ascii="Century Gothic" w:hAnsi="Century Gothic"/>
          <w:b/>
          <w:bCs/>
          <w:sz w:val="28"/>
          <w:szCs w:val="22"/>
          <w:u w:val="none"/>
        </w:rPr>
      </w:pPr>
      <w:r>
        <w:rPr>
          <w:rFonts w:ascii="Century Gothic" w:hAnsi="Century Gothic"/>
          <w:b/>
          <w:bCs/>
          <w:sz w:val="28"/>
          <w:szCs w:val="22"/>
          <w:u w:val="none"/>
        </w:rPr>
        <w:t>Timeline</w:t>
      </w:r>
    </w:p>
    <w:p w14:paraId="5A08C152" w14:textId="258F9A4C" w:rsidR="001A486D" w:rsidRDefault="001A486D" w:rsidP="00CC483C">
      <w:pPr>
        <w:spacing w:line="288" w:lineRule="auto"/>
        <w:rPr>
          <w:rFonts w:ascii="Century Gothic" w:hAnsi="Century Gothic"/>
          <w:bCs/>
          <w:sz w:val="22"/>
          <w:szCs w:val="22"/>
          <w:u w:val="none"/>
        </w:rPr>
      </w:pPr>
      <w:r>
        <w:rPr>
          <w:rFonts w:ascii="Century Gothic" w:hAnsi="Century Gothic"/>
          <w:bCs/>
          <w:sz w:val="22"/>
          <w:szCs w:val="22"/>
          <w:u w:val="none"/>
        </w:rPr>
        <w:t xml:space="preserve">Assisting jurisdictions meet the new state laws will be the top 21 Elements priority for the next six months. Below is a rough timeline. </w:t>
      </w:r>
    </w:p>
    <w:p w14:paraId="4BAAC24C" w14:textId="77777777" w:rsidR="001A486D" w:rsidRPr="00E772BE" w:rsidRDefault="001A486D" w:rsidP="00CC483C">
      <w:pPr>
        <w:spacing w:line="288" w:lineRule="auto"/>
        <w:rPr>
          <w:rFonts w:ascii="Century Gothic" w:hAnsi="Century Gothic"/>
          <w:bCs/>
          <w:sz w:val="22"/>
          <w:szCs w:val="22"/>
          <w:u w:val="none"/>
        </w:rPr>
      </w:pPr>
    </w:p>
    <w:p w14:paraId="107EC838" w14:textId="4DD26B41" w:rsidR="00B67A69" w:rsidRDefault="00B67A69" w:rsidP="00CC483C">
      <w:pPr>
        <w:spacing w:line="288" w:lineRule="auto"/>
        <w:rPr>
          <w:rFonts w:ascii="Century Gothic" w:hAnsi="Century Gothic"/>
          <w:bCs/>
          <w:sz w:val="22"/>
          <w:szCs w:val="22"/>
          <w:u w:val="none"/>
        </w:rPr>
      </w:pPr>
      <w:r>
        <w:rPr>
          <w:rFonts w:ascii="Century Gothic" w:hAnsi="Century Gothic"/>
          <w:b/>
          <w:bCs/>
          <w:sz w:val="22"/>
          <w:szCs w:val="22"/>
          <w:u w:val="none"/>
        </w:rPr>
        <w:t xml:space="preserve">May </w:t>
      </w:r>
      <w:r>
        <w:rPr>
          <w:rFonts w:ascii="Century Gothic" w:hAnsi="Century Gothic"/>
          <w:bCs/>
          <w:sz w:val="22"/>
          <w:szCs w:val="22"/>
          <w:u w:val="none"/>
        </w:rPr>
        <w:tab/>
      </w:r>
      <w:r>
        <w:rPr>
          <w:rFonts w:ascii="Century Gothic" w:hAnsi="Century Gothic"/>
          <w:bCs/>
          <w:sz w:val="22"/>
          <w:szCs w:val="22"/>
          <w:u w:val="none"/>
        </w:rPr>
        <w:tab/>
        <w:t>Survey</w:t>
      </w:r>
    </w:p>
    <w:p w14:paraId="4E671CC0" w14:textId="0B0249F2" w:rsidR="00B67A69" w:rsidRDefault="00B479F4" w:rsidP="00CC483C">
      <w:pPr>
        <w:spacing w:line="288" w:lineRule="auto"/>
        <w:rPr>
          <w:rFonts w:ascii="Century Gothic" w:hAnsi="Century Gothic"/>
          <w:bCs/>
          <w:sz w:val="22"/>
          <w:szCs w:val="22"/>
          <w:u w:val="none"/>
        </w:rPr>
      </w:pPr>
      <w:r>
        <w:rPr>
          <w:rFonts w:ascii="Century Gothic" w:hAnsi="Century Gothic"/>
          <w:b/>
          <w:bCs/>
          <w:sz w:val="22"/>
          <w:szCs w:val="22"/>
          <w:u w:val="none"/>
        </w:rPr>
        <w:t>June - Aug</w:t>
      </w:r>
      <w:r>
        <w:rPr>
          <w:rFonts w:ascii="Century Gothic" w:hAnsi="Century Gothic"/>
          <w:b/>
          <w:bCs/>
          <w:sz w:val="22"/>
          <w:szCs w:val="22"/>
          <w:u w:val="none"/>
        </w:rPr>
        <w:tab/>
      </w:r>
      <w:r w:rsidR="00B67A69">
        <w:rPr>
          <w:rFonts w:ascii="Century Gothic" w:hAnsi="Century Gothic"/>
          <w:bCs/>
          <w:sz w:val="22"/>
          <w:szCs w:val="22"/>
          <w:u w:val="none"/>
        </w:rPr>
        <w:t>Webinar, Best Practices Library</w:t>
      </w:r>
    </w:p>
    <w:p w14:paraId="28325226" w14:textId="275FC65F" w:rsidR="00B67A69" w:rsidRDefault="00B67A69" w:rsidP="00CC483C">
      <w:pPr>
        <w:spacing w:line="288" w:lineRule="auto"/>
        <w:rPr>
          <w:rFonts w:ascii="Century Gothic" w:hAnsi="Century Gothic"/>
          <w:bCs/>
          <w:sz w:val="22"/>
          <w:szCs w:val="22"/>
          <w:u w:val="none"/>
        </w:rPr>
      </w:pPr>
      <w:r>
        <w:rPr>
          <w:rFonts w:ascii="Century Gothic" w:hAnsi="Century Gothic"/>
          <w:b/>
          <w:bCs/>
          <w:sz w:val="22"/>
          <w:szCs w:val="22"/>
          <w:u w:val="none"/>
        </w:rPr>
        <w:t>June - Aug</w:t>
      </w:r>
      <w:r>
        <w:rPr>
          <w:rFonts w:ascii="Century Gothic" w:hAnsi="Century Gothic"/>
          <w:b/>
          <w:bCs/>
          <w:sz w:val="22"/>
          <w:szCs w:val="22"/>
          <w:u w:val="none"/>
        </w:rPr>
        <w:tab/>
      </w:r>
      <w:r>
        <w:rPr>
          <w:rFonts w:ascii="Century Gothic" w:hAnsi="Century Gothic"/>
          <w:bCs/>
          <w:sz w:val="22"/>
          <w:szCs w:val="22"/>
          <w:u w:val="none"/>
        </w:rPr>
        <w:t>Individual Meetings and Assistance</w:t>
      </w:r>
      <w:r w:rsidR="00E772BE">
        <w:rPr>
          <w:rFonts w:ascii="Century Gothic" w:hAnsi="Century Gothic"/>
          <w:bCs/>
          <w:sz w:val="22"/>
          <w:szCs w:val="22"/>
          <w:u w:val="none"/>
        </w:rPr>
        <w:t xml:space="preserve"> (First round)</w:t>
      </w:r>
    </w:p>
    <w:p w14:paraId="39D47A2C" w14:textId="0CA91D1B" w:rsidR="00E772BE" w:rsidRPr="00E772BE" w:rsidRDefault="00E772BE" w:rsidP="00CC483C">
      <w:pPr>
        <w:spacing w:line="288" w:lineRule="auto"/>
        <w:rPr>
          <w:rFonts w:ascii="Century Gothic" w:hAnsi="Century Gothic"/>
          <w:bCs/>
          <w:sz w:val="22"/>
          <w:szCs w:val="22"/>
          <w:u w:val="none"/>
        </w:rPr>
      </w:pPr>
      <w:r>
        <w:rPr>
          <w:rFonts w:ascii="Century Gothic" w:hAnsi="Century Gothic"/>
          <w:b/>
          <w:bCs/>
          <w:sz w:val="22"/>
          <w:szCs w:val="22"/>
          <w:u w:val="none"/>
        </w:rPr>
        <w:t>Aug – Oct</w:t>
      </w:r>
      <w:r>
        <w:rPr>
          <w:rFonts w:ascii="Century Gothic" w:hAnsi="Century Gothic"/>
          <w:b/>
          <w:bCs/>
          <w:sz w:val="22"/>
          <w:szCs w:val="22"/>
          <w:u w:val="none"/>
        </w:rPr>
        <w:tab/>
      </w:r>
      <w:r>
        <w:rPr>
          <w:rFonts w:ascii="Century Gothic" w:hAnsi="Century Gothic"/>
          <w:bCs/>
          <w:sz w:val="22"/>
          <w:szCs w:val="22"/>
          <w:u w:val="none"/>
        </w:rPr>
        <w:t>Ongoing assistance</w:t>
      </w:r>
    </w:p>
    <w:p w14:paraId="6114BC0A" w14:textId="77777777" w:rsidR="00B67A69" w:rsidRPr="00E772BE" w:rsidRDefault="00B67A69" w:rsidP="00CC483C">
      <w:pPr>
        <w:spacing w:line="288" w:lineRule="auto"/>
        <w:rPr>
          <w:rFonts w:ascii="Century Gothic" w:hAnsi="Century Gothic"/>
          <w:bCs/>
          <w:sz w:val="22"/>
          <w:szCs w:val="22"/>
          <w:u w:val="none"/>
        </w:rPr>
      </w:pPr>
    </w:p>
    <w:p w14:paraId="2AB5A6C2" w14:textId="77777777" w:rsidR="0015107C" w:rsidRDefault="0015107C">
      <w:pPr>
        <w:rPr>
          <w:rFonts w:ascii="Century Gothic" w:hAnsi="Century Gothic"/>
          <w:b/>
          <w:bCs/>
          <w:sz w:val="28"/>
          <w:szCs w:val="22"/>
          <w:u w:val="none"/>
        </w:rPr>
      </w:pPr>
      <w:r>
        <w:rPr>
          <w:rFonts w:ascii="Century Gothic" w:hAnsi="Century Gothic"/>
          <w:b/>
          <w:bCs/>
          <w:sz w:val="28"/>
          <w:szCs w:val="22"/>
          <w:u w:val="none"/>
        </w:rPr>
        <w:br w:type="page"/>
      </w:r>
    </w:p>
    <w:p w14:paraId="15A941AC" w14:textId="0F00BF40" w:rsidR="00CC483C" w:rsidRPr="00322246" w:rsidRDefault="00B67A69" w:rsidP="00CC483C">
      <w:pPr>
        <w:spacing w:line="288" w:lineRule="auto"/>
        <w:rPr>
          <w:rFonts w:ascii="Century Gothic" w:hAnsi="Century Gothic"/>
          <w:b/>
          <w:bCs/>
          <w:sz w:val="28"/>
          <w:szCs w:val="22"/>
          <w:u w:val="none"/>
        </w:rPr>
      </w:pPr>
      <w:bookmarkStart w:id="0" w:name="_GoBack"/>
      <w:bookmarkEnd w:id="0"/>
      <w:r>
        <w:rPr>
          <w:rFonts w:ascii="Century Gothic" w:hAnsi="Century Gothic"/>
          <w:b/>
          <w:bCs/>
          <w:sz w:val="28"/>
          <w:szCs w:val="22"/>
          <w:u w:val="none"/>
        </w:rPr>
        <w:lastRenderedPageBreak/>
        <w:t>21 Elements Approach</w:t>
      </w:r>
    </w:p>
    <w:p w14:paraId="19492892" w14:textId="77777777" w:rsidR="00CC483C" w:rsidRPr="00322246" w:rsidRDefault="00CC483C" w:rsidP="00CC483C">
      <w:pPr>
        <w:spacing w:line="288" w:lineRule="auto"/>
        <w:rPr>
          <w:rFonts w:ascii="Century Gothic" w:hAnsi="Century Gothic"/>
          <w:b/>
          <w:bCs/>
          <w:sz w:val="10"/>
          <w:szCs w:val="22"/>
          <w:u w:val="none"/>
        </w:rPr>
      </w:pPr>
    </w:p>
    <w:p w14:paraId="26A62EA6" w14:textId="0AB4295D" w:rsidR="00CC483C" w:rsidRPr="00322246" w:rsidRDefault="00CC483C" w:rsidP="00CC483C">
      <w:pPr>
        <w:spacing w:line="288" w:lineRule="auto"/>
        <w:rPr>
          <w:rFonts w:ascii="Century Gothic" w:hAnsi="Century Gothic"/>
          <w:bCs/>
          <w:sz w:val="22"/>
          <w:szCs w:val="22"/>
          <w:u w:val="none"/>
        </w:rPr>
      </w:pPr>
      <w:r>
        <w:rPr>
          <w:rFonts w:ascii="Century Gothic" w:hAnsi="Century Gothic"/>
          <w:bCs/>
          <w:sz w:val="22"/>
          <w:szCs w:val="22"/>
          <w:u w:val="none"/>
        </w:rPr>
        <w:t>In relation to assistance on the new State laws, 21 Elements can:</w:t>
      </w:r>
    </w:p>
    <w:p w14:paraId="50586654" w14:textId="77777777" w:rsidR="00CC483C" w:rsidRPr="00322246" w:rsidRDefault="00CC483C" w:rsidP="00CC483C">
      <w:pPr>
        <w:spacing w:line="288" w:lineRule="auto"/>
        <w:rPr>
          <w:rFonts w:ascii="Century Gothic" w:hAnsi="Century Gothic"/>
          <w:b/>
          <w:bCs/>
          <w:sz w:val="14"/>
          <w:szCs w:val="22"/>
          <w:u w:val="none"/>
        </w:rPr>
      </w:pPr>
    </w:p>
    <w:p w14:paraId="6A5A7E0D" w14:textId="77777777" w:rsidR="00CC483C" w:rsidRPr="0093714A" w:rsidRDefault="00CC483C" w:rsidP="00CC483C">
      <w:pPr>
        <w:pStyle w:val="ListParagraph"/>
        <w:numPr>
          <w:ilvl w:val="0"/>
          <w:numId w:val="14"/>
        </w:numPr>
        <w:spacing w:after="120" w:line="288" w:lineRule="auto"/>
        <w:contextualSpacing w:val="0"/>
        <w:rPr>
          <w:rFonts w:ascii="Century Gothic" w:hAnsi="Century Gothic"/>
          <w:bCs/>
          <w:sz w:val="22"/>
          <w:szCs w:val="22"/>
          <w:u w:val="none"/>
        </w:rPr>
      </w:pPr>
      <w:r>
        <w:rPr>
          <w:rFonts w:ascii="Century Gothic" w:hAnsi="Century Gothic"/>
          <w:b/>
          <w:bCs/>
          <w:sz w:val="22"/>
          <w:szCs w:val="22"/>
          <w:u w:val="none"/>
        </w:rPr>
        <w:t xml:space="preserve">Achieve </w:t>
      </w:r>
      <w:r w:rsidRPr="00BD4B67">
        <w:rPr>
          <w:rFonts w:ascii="Century Gothic" w:hAnsi="Century Gothic"/>
          <w:b/>
          <w:bCs/>
          <w:sz w:val="22"/>
          <w:szCs w:val="22"/>
          <w:u w:val="none"/>
        </w:rPr>
        <w:t>Success.</w:t>
      </w:r>
      <w:r>
        <w:rPr>
          <w:rFonts w:ascii="Century Gothic" w:hAnsi="Century Gothic"/>
          <w:bCs/>
          <w:sz w:val="22"/>
          <w:szCs w:val="22"/>
          <w:u w:val="none"/>
        </w:rPr>
        <w:t xml:space="preserve"> </w:t>
      </w:r>
      <w:r w:rsidRPr="0093714A">
        <w:rPr>
          <w:rFonts w:ascii="Century Gothic" w:hAnsi="Century Gothic"/>
          <w:bCs/>
          <w:sz w:val="22"/>
          <w:szCs w:val="22"/>
          <w:u w:val="none"/>
        </w:rPr>
        <w:t xml:space="preserve">Assist jurisdictions </w:t>
      </w:r>
      <w:r>
        <w:rPr>
          <w:rFonts w:ascii="Century Gothic" w:hAnsi="Century Gothic"/>
          <w:bCs/>
          <w:sz w:val="22"/>
          <w:szCs w:val="22"/>
          <w:u w:val="none"/>
        </w:rPr>
        <w:t>to successfully implement the new State housing laws (</w:t>
      </w:r>
      <w:r w:rsidRPr="0093714A">
        <w:rPr>
          <w:rFonts w:ascii="Century Gothic" w:hAnsi="Century Gothic"/>
          <w:bCs/>
          <w:sz w:val="22"/>
          <w:szCs w:val="22"/>
          <w:u w:val="none"/>
        </w:rPr>
        <w:t xml:space="preserve">staffing resources, </w:t>
      </w:r>
      <w:r>
        <w:rPr>
          <w:rFonts w:ascii="Century Gothic" w:hAnsi="Century Gothic"/>
          <w:bCs/>
          <w:sz w:val="22"/>
          <w:szCs w:val="22"/>
          <w:u w:val="none"/>
        </w:rPr>
        <w:t>background materials, sharing best practices, housing laws implementation expertise, etc.)</w:t>
      </w:r>
      <w:r w:rsidRPr="0093714A">
        <w:rPr>
          <w:rFonts w:ascii="Century Gothic" w:hAnsi="Century Gothic"/>
          <w:bCs/>
          <w:sz w:val="22"/>
          <w:szCs w:val="22"/>
          <w:u w:val="none"/>
        </w:rPr>
        <w:t>.</w:t>
      </w:r>
    </w:p>
    <w:p w14:paraId="2CA2BB40" w14:textId="77777777" w:rsidR="00CC483C" w:rsidRDefault="00CC483C" w:rsidP="00CC483C">
      <w:pPr>
        <w:pStyle w:val="ListParagraph"/>
        <w:numPr>
          <w:ilvl w:val="0"/>
          <w:numId w:val="14"/>
        </w:numPr>
        <w:spacing w:after="120" w:line="288" w:lineRule="auto"/>
        <w:contextualSpacing w:val="0"/>
        <w:rPr>
          <w:rFonts w:ascii="Century Gothic" w:hAnsi="Century Gothic"/>
          <w:bCs/>
          <w:sz w:val="22"/>
          <w:szCs w:val="22"/>
          <w:u w:val="none"/>
        </w:rPr>
      </w:pPr>
      <w:r>
        <w:rPr>
          <w:rFonts w:ascii="Century Gothic" w:hAnsi="Century Gothic"/>
          <w:b/>
          <w:bCs/>
          <w:sz w:val="22"/>
          <w:szCs w:val="22"/>
          <w:u w:val="none"/>
        </w:rPr>
        <w:t xml:space="preserve">Result in </w:t>
      </w:r>
      <w:r w:rsidRPr="00BD4B67">
        <w:rPr>
          <w:rFonts w:ascii="Century Gothic" w:hAnsi="Century Gothic"/>
          <w:b/>
          <w:bCs/>
          <w:sz w:val="22"/>
          <w:szCs w:val="22"/>
          <w:u w:val="none"/>
        </w:rPr>
        <w:t>Savings.</w:t>
      </w:r>
      <w:r>
        <w:rPr>
          <w:rFonts w:ascii="Century Gothic" w:hAnsi="Century Gothic"/>
          <w:bCs/>
          <w:sz w:val="22"/>
          <w:szCs w:val="22"/>
          <w:u w:val="none"/>
        </w:rPr>
        <w:t xml:space="preserve"> </w:t>
      </w:r>
      <w:r w:rsidRPr="00FB7315">
        <w:rPr>
          <w:rFonts w:ascii="Century Gothic" w:hAnsi="Century Gothic"/>
          <w:bCs/>
          <w:sz w:val="22"/>
          <w:szCs w:val="22"/>
          <w:u w:val="none"/>
        </w:rPr>
        <w:t>Save each jurisdiction staff time and financial resources by sharing costs and materials already covered with 21 Elements</w:t>
      </w:r>
      <w:r>
        <w:rPr>
          <w:rFonts w:ascii="Century Gothic" w:hAnsi="Century Gothic"/>
          <w:bCs/>
          <w:sz w:val="22"/>
          <w:szCs w:val="22"/>
          <w:u w:val="none"/>
        </w:rPr>
        <w:t xml:space="preserve"> funding.</w:t>
      </w:r>
    </w:p>
    <w:p w14:paraId="79F649C2" w14:textId="77777777" w:rsidR="00CC483C" w:rsidRPr="00525403" w:rsidRDefault="00CC483C" w:rsidP="00CC483C">
      <w:pPr>
        <w:pStyle w:val="ListParagraph"/>
        <w:numPr>
          <w:ilvl w:val="0"/>
          <w:numId w:val="14"/>
        </w:numPr>
        <w:spacing w:after="120" w:line="288" w:lineRule="auto"/>
        <w:contextualSpacing w:val="0"/>
        <w:rPr>
          <w:rFonts w:ascii="Century Gothic" w:hAnsi="Century Gothic"/>
          <w:bCs/>
          <w:sz w:val="22"/>
          <w:szCs w:val="22"/>
          <w:u w:val="none"/>
        </w:rPr>
      </w:pPr>
      <w:r>
        <w:rPr>
          <w:rFonts w:ascii="Century Gothic" w:hAnsi="Century Gothic"/>
          <w:b/>
          <w:bCs/>
          <w:sz w:val="22"/>
          <w:szCs w:val="22"/>
          <w:u w:val="none"/>
        </w:rPr>
        <w:t xml:space="preserve">Enable </w:t>
      </w:r>
      <w:r w:rsidRPr="00BD4B67">
        <w:rPr>
          <w:rFonts w:ascii="Century Gothic" w:hAnsi="Century Gothic"/>
          <w:b/>
          <w:bCs/>
          <w:sz w:val="22"/>
          <w:szCs w:val="22"/>
          <w:u w:val="none"/>
        </w:rPr>
        <w:t xml:space="preserve">Sharing. </w:t>
      </w:r>
      <w:r w:rsidRPr="00525403">
        <w:rPr>
          <w:rFonts w:ascii="Century Gothic" w:hAnsi="Century Gothic"/>
          <w:bCs/>
          <w:sz w:val="22"/>
          <w:szCs w:val="22"/>
          <w:u w:val="none"/>
        </w:rPr>
        <w:t xml:space="preserve">Facilitate sharing among jurisdictions of best practices, unique circumstances, procedures, background materials etc. </w:t>
      </w:r>
    </w:p>
    <w:p w14:paraId="78788A90" w14:textId="77777777" w:rsidR="00CC483C" w:rsidRDefault="00CC483C" w:rsidP="00CC483C">
      <w:pPr>
        <w:pStyle w:val="ListParagraph"/>
        <w:numPr>
          <w:ilvl w:val="0"/>
          <w:numId w:val="14"/>
        </w:numPr>
        <w:spacing w:after="120" w:line="288" w:lineRule="auto"/>
        <w:contextualSpacing w:val="0"/>
        <w:rPr>
          <w:rFonts w:ascii="Century Gothic" w:hAnsi="Century Gothic"/>
          <w:bCs/>
          <w:sz w:val="22"/>
          <w:szCs w:val="22"/>
          <w:u w:val="none"/>
        </w:rPr>
      </w:pPr>
      <w:r>
        <w:rPr>
          <w:rFonts w:ascii="Century Gothic" w:hAnsi="Century Gothic"/>
          <w:b/>
          <w:bCs/>
          <w:sz w:val="22"/>
          <w:szCs w:val="22"/>
          <w:u w:val="none"/>
        </w:rPr>
        <w:t>Ensure Usefulness of the Materials</w:t>
      </w:r>
      <w:r w:rsidRPr="00BD4B67">
        <w:rPr>
          <w:rFonts w:ascii="Century Gothic" w:hAnsi="Century Gothic"/>
          <w:b/>
          <w:bCs/>
          <w:sz w:val="22"/>
          <w:szCs w:val="22"/>
          <w:u w:val="none"/>
        </w:rPr>
        <w:t>.</w:t>
      </w:r>
      <w:r>
        <w:rPr>
          <w:rFonts w:ascii="Century Gothic" w:hAnsi="Century Gothic"/>
          <w:bCs/>
          <w:sz w:val="22"/>
          <w:szCs w:val="22"/>
          <w:u w:val="none"/>
        </w:rPr>
        <w:t xml:space="preserve"> Focus on individual jurisdictions and work closely with staff to tailor the investigation and products to each jurisdiction’s needs. </w:t>
      </w:r>
    </w:p>
    <w:p w14:paraId="232EB7B4" w14:textId="77777777" w:rsidR="00CC483C" w:rsidRPr="00BD4B67" w:rsidRDefault="00CC483C" w:rsidP="00CC483C">
      <w:pPr>
        <w:pStyle w:val="ListParagraph"/>
        <w:numPr>
          <w:ilvl w:val="0"/>
          <w:numId w:val="14"/>
        </w:numPr>
        <w:spacing w:after="120" w:line="288" w:lineRule="auto"/>
        <w:contextualSpacing w:val="0"/>
        <w:rPr>
          <w:rFonts w:ascii="Century Gothic" w:hAnsi="Century Gothic"/>
          <w:bCs/>
          <w:sz w:val="22"/>
          <w:szCs w:val="22"/>
          <w:u w:val="none"/>
        </w:rPr>
      </w:pPr>
      <w:r>
        <w:rPr>
          <w:rFonts w:ascii="Century Gothic" w:eastAsia="Times New Roman" w:hAnsi="Century Gothic" w:cs="Times New Roman"/>
          <w:b/>
          <w:sz w:val="22"/>
          <w:szCs w:val="22"/>
          <w:u w:val="none"/>
          <w:lang w:eastAsia="en-US"/>
        </w:rPr>
        <w:t>Tailor Assistance to Jurisdiction-Specific Needs</w:t>
      </w:r>
      <w:r w:rsidRPr="00BD4B67">
        <w:rPr>
          <w:rFonts w:ascii="Century Gothic" w:eastAsia="Times New Roman" w:hAnsi="Century Gothic" w:cs="Times New Roman"/>
          <w:b/>
          <w:sz w:val="22"/>
          <w:szCs w:val="22"/>
          <w:u w:val="none"/>
          <w:lang w:eastAsia="en-US"/>
        </w:rPr>
        <w:t>.</w:t>
      </w:r>
      <w:r>
        <w:rPr>
          <w:rFonts w:ascii="Century Gothic" w:eastAsia="Times New Roman" w:hAnsi="Century Gothic" w:cs="Times New Roman"/>
          <w:sz w:val="22"/>
          <w:szCs w:val="22"/>
          <w:u w:val="none"/>
          <w:lang w:eastAsia="en-US"/>
        </w:rPr>
        <w:t xml:space="preserve"> </w:t>
      </w:r>
      <w:r w:rsidRPr="00BD4B67">
        <w:rPr>
          <w:rFonts w:ascii="Century Gothic" w:eastAsia="Times New Roman" w:hAnsi="Century Gothic" w:cs="Times New Roman"/>
          <w:sz w:val="22"/>
          <w:szCs w:val="22"/>
          <w:u w:val="none"/>
          <w:lang w:eastAsia="en-US"/>
        </w:rPr>
        <w:t>Work closely with jurisdiction staff in providing draft materials and ways to identify, sort and resolve issues related to SB 35 and the HAA tailored to jurisdiction needs.</w:t>
      </w:r>
    </w:p>
    <w:p w14:paraId="524A2E62" w14:textId="77777777" w:rsidR="00CC483C" w:rsidRPr="00241FB5" w:rsidRDefault="00CC483C" w:rsidP="00CC483C">
      <w:pPr>
        <w:pStyle w:val="ListParagraph"/>
        <w:numPr>
          <w:ilvl w:val="0"/>
          <w:numId w:val="14"/>
        </w:numPr>
        <w:spacing w:after="120" w:line="288" w:lineRule="auto"/>
        <w:contextualSpacing w:val="0"/>
        <w:rPr>
          <w:rFonts w:ascii="Century Gothic" w:eastAsia="Times New Roman" w:hAnsi="Century Gothic" w:cs="Times New Roman"/>
          <w:sz w:val="22"/>
          <w:szCs w:val="22"/>
          <w:u w:val="none"/>
          <w:lang w:eastAsia="en-US"/>
        </w:rPr>
      </w:pPr>
      <w:r>
        <w:rPr>
          <w:rFonts w:ascii="Century Gothic" w:eastAsia="Times New Roman" w:hAnsi="Century Gothic" w:cs="Times New Roman"/>
          <w:b/>
          <w:sz w:val="22"/>
          <w:szCs w:val="22"/>
          <w:u w:val="none"/>
          <w:lang w:eastAsia="en-US"/>
        </w:rPr>
        <w:t>Create Opportunities for Collaboration</w:t>
      </w:r>
      <w:r w:rsidRPr="00BD4B67">
        <w:rPr>
          <w:rFonts w:ascii="Century Gothic" w:eastAsia="Times New Roman" w:hAnsi="Century Gothic" w:cs="Times New Roman"/>
          <w:b/>
          <w:sz w:val="22"/>
          <w:szCs w:val="22"/>
          <w:u w:val="none"/>
          <w:lang w:eastAsia="en-US"/>
        </w:rPr>
        <w:t>.</w:t>
      </w:r>
      <w:r>
        <w:rPr>
          <w:rFonts w:ascii="Century Gothic" w:eastAsia="Times New Roman" w:hAnsi="Century Gothic" w:cs="Times New Roman"/>
          <w:sz w:val="22"/>
          <w:szCs w:val="22"/>
          <w:u w:val="none"/>
          <w:lang w:eastAsia="en-US"/>
        </w:rPr>
        <w:t xml:space="preserve"> </w:t>
      </w:r>
      <w:r w:rsidRPr="00BD4B67">
        <w:rPr>
          <w:rFonts w:ascii="Century Gothic" w:eastAsia="Times New Roman" w:hAnsi="Century Gothic" w:cs="Times New Roman"/>
          <w:sz w:val="22"/>
          <w:szCs w:val="22"/>
          <w:u w:val="none"/>
          <w:lang w:eastAsia="en-US"/>
        </w:rPr>
        <w:t xml:space="preserve">Track important issues </w:t>
      </w:r>
      <w:r>
        <w:rPr>
          <w:rFonts w:ascii="Century Gothic" w:eastAsia="Times New Roman" w:hAnsi="Century Gothic" w:cs="Times New Roman"/>
          <w:sz w:val="22"/>
          <w:szCs w:val="22"/>
          <w:u w:val="none"/>
          <w:lang w:eastAsia="en-US"/>
        </w:rPr>
        <w:t xml:space="preserve">of interest to multiple jurisdictions — for instance approaches </w:t>
      </w:r>
      <w:r w:rsidRPr="00BD4B67">
        <w:rPr>
          <w:rFonts w:ascii="Century Gothic" w:eastAsia="Times New Roman" w:hAnsi="Century Gothic" w:cs="Times New Roman"/>
          <w:sz w:val="22"/>
          <w:szCs w:val="22"/>
          <w:u w:val="none"/>
          <w:lang w:eastAsia="en-US"/>
        </w:rPr>
        <w:t xml:space="preserve">to </w:t>
      </w:r>
      <w:r>
        <w:rPr>
          <w:rFonts w:ascii="Century Gothic" w:eastAsia="Times New Roman" w:hAnsi="Century Gothic" w:cs="Times New Roman"/>
          <w:sz w:val="22"/>
          <w:szCs w:val="22"/>
          <w:u w:val="none"/>
          <w:lang w:eastAsia="en-US"/>
        </w:rPr>
        <w:t xml:space="preserve">creating </w:t>
      </w:r>
      <w:r w:rsidRPr="00BD4B67">
        <w:rPr>
          <w:rFonts w:ascii="Century Gothic" w:eastAsia="Times New Roman" w:hAnsi="Century Gothic" w:cs="Times New Roman"/>
          <w:sz w:val="22"/>
          <w:szCs w:val="22"/>
          <w:u w:val="none"/>
          <w:lang w:eastAsia="en-US"/>
        </w:rPr>
        <w:t xml:space="preserve">objective standards for specific policies, difficulties </w:t>
      </w:r>
      <w:r>
        <w:rPr>
          <w:rFonts w:ascii="Century Gothic" w:eastAsia="Times New Roman" w:hAnsi="Century Gothic" w:cs="Times New Roman"/>
          <w:sz w:val="22"/>
          <w:szCs w:val="22"/>
          <w:u w:val="none"/>
          <w:lang w:eastAsia="en-US"/>
        </w:rPr>
        <w:t xml:space="preserve">implementing </w:t>
      </w:r>
      <w:r w:rsidRPr="00BD4B67">
        <w:rPr>
          <w:rFonts w:ascii="Century Gothic" w:eastAsia="Times New Roman" w:hAnsi="Century Gothic" w:cs="Times New Roman"/>
          <w:sz w:val="22"/>
          <w:szCs w:val="22"/>
          <w:u w:val="none"/>
          <w:lang w:eastAsia="en-US"/>
        </w:rPr>
        <w:t>the law</w:t>
      </w:r>
      <w:r>
        <w:rPr>
          <w:rFonts w:ascii="Century Gothic" w:eastAsia="Times New Roman" w:hAnsi="Century Gothic" w:cs="Times New Roman"/>
          <w:sz w:val="22"/>
          <w:szCs w:val="22"/>
          <w:u w:val="none"/>
          <w:lang w:eastAsia="en-US"/>
        </w:rPr>
        <w:t>s,</w:t>
      </w:r>
      <w:r w:rsidRPr="00BD4B67">
        <w:rPr>
          <w:rFonts w:ascii="Century Gothic" w:eastAsia="Times New Roman" w:hAnsi="Century Gothic" w:cs="Times New Roman"/>
          <w:sz w:val="22"/>
          <w:szCs w:val="22"/>
          <w:u w:val="none"/>
          <w:lang w:eastAsia="en-US"/>
        </w:rPr>
        <w:t xml:space="preserve"> </w:t>
      </w:r>
      <w:r>
        <w:rPr>
          <w:rFonts w:ascii="Century Gothic" w:eastAsia="Times New Roman" w:hAnsi="Century Gothic" w:cs="Times New Roman"/>
          <w:sz w:val="22"/>
          <w:szCs w:val="22"/>
          <w:u w:val="none"/>
          <w:lang w:eastAsia="en-US"/>
        </w:rPr>
        <w:t xml:space="preserve">lobbying for </w:t>
      </w:r>
      <w:r w:rsidRPr="00BD4B67">
        <w:rPr>
          <w:rFonts w:ascii="Century Gothic" w:eastAsia="Times New Roman" w:hAnsi="Century Gothic" w:cs="Times New Roman"/>
          <w:sz w:val="22"/>
          <w:szCs w:val="22"/>
          <w:u w:val="none"/>
          <w:lang w:eastAsia="en-US"/>
        </w:rPr>
        <w:t xml:space="preserve">possible improvements, etc. </w:t>
      </w:r>
    </w:p>
    <w:p w14:paraId="1B012305" w14:textId="77777777" w:rsidR="00CC483C" w:rsidRPr="006E1B95" w:rsidRDefault="00CC483C" w:rsidP="006E1B95">
      <w:pPr>
        <w:rPr>
          <w:rFonts w:ascii="Century Gothic" w:eastAsia="Times New Roman" w:hAnsi="Century Gothic"/>
          <w:b/>
          <w:bCs/>
          <w:color w:val="000000"/>
          <w:sz w:val="22"/>
          <w:szCs w:val="22"/>
          <w:u w:val="none"/>
          <w:lang w:eastAsia="en-US"/>
        </w:rPr>
      </w:pPr>
    </w:p>
    <w:sectPr w:rsidR="00CC483C" w:rsidRPr="006E1B95" w:rsidSect="007814A5">
      <w:headerReference w:type="default" r:id="rId8"/>
      <w:footerReference w:type="even" r:id="rId9"/>
      <w:footerReference w:type="default" r:id="rId10"/>
      <w:type w:val="continuous"/>
      <w:pgSz w:w="12240" w:h="15840"/>
      <w:pgMar w:top="216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C52B9" w14:textId="77777777" w:rsidR="006737CF" w:rsidRDefault="006737CF" w:rsidP="00A778AC">
      <w:pPr>
        <w:rPr>
          <w:rFonts w:cs="Times New Roman"/>
        </w:rPr>
      </w:pPr>
      <w:r>
        <w:rPr>
          <w:rFonts w:cs="Times New Roman"/>
        </w:rPr>
        <w:separator/>
      </w:r>
    </w:p>
  </w:endnote>
  <w:endnote w:type="continuationSeparator" w:id="0">
    <w:p w14:paraId="0611348C" w14:textId="77777777" w:rsidR="006737CF" w:rsidRDefault="006737CF" w:rsidP="00A778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0288D" w14:textId="77777777" w:rsidR="00732644" w:rsidRDefault="00732644" w:rsidP="00260D63">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14:paraId="678074E6" w14:textId="77777777" w:rsidR="00732644" w:rsidRDefault="00732644" w:rsidP="00A778AC">
    <w:pPr>
      <w:pStyle w:val="Footer"/>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D308" w14:textId="77777777" w:rsidR="00732644" w:rsidRDefault="00732644" w:rsidP="004C22A2">
    <w:pPr>
      <w:pStyle w:val="Footer"/>
      <w:tabs>
        <w:tab w:val="clear" w:pos="8640"/>
        <w:tab w:val="right" w:pos="9360"/>
      </w:tabs>
      <w:rPr>
        <w:rFonts w:cs="Times New Roman"/>
        <w:sz w:val="18"/>
        <w:szCs w:val="18"/>
        <w:u w:val="none"/>
      </w:rPr>
    </w:pPr>
  </w:p>
  <w:p w14:paraId="053FB71F" w14:textId="067E7DFE" w:rsidR="00732644" w:rsidRPr="00733EB8" w:rsidRDefault="00732644" w:rsidP="00733EB8">
    <w:pPr>
      <w:pStyle w:val="Footer"/>
      <w:jc w:val="center"/>
      <w:rPr>
        <w:rFonts w:ascii="Century Gothic" w:hAnsi="Century Gothic"/>
        <w:sz w:val="20"/>
        <w:szCs w:val="20"/>
      </w:rPr>
    </w:pPr>
    <w:r w:rsidRPr="00260D63">
      <w:rPr>
        <w:rFonts w:ascii="Century Gothic" w:hAnsi="Century Gothic" w:cs="Times New Roman"/>
        <w:sz w:val="20"/>
        <w:szCs w:val="20"/>
        <w:u w:val="none"/>
      </w:rPr>
      <w:t xml:space="preserve">Page </w:t>
    </w:r>
    <w:r w:rsidRPr="0015259D">
      <w:rPr>
        <w:rStyle w:val="PageNumber"/>
        <w:rFonts w:ascii="Century Gothic" w:hAnsi="Century Gothic"/>
        <w:sz w:val="20"/>
        <w:szCs w:val="20"/>
        <w:u w:val="none"/>
      </w:rPr>
      <w:fldChar w:fldCharType="begin"/>
    </w:r>
    <w:r w:rsidRPr="0015259D">
      <w:rPr>
        <w:rStyle w:val="PageNumber"/>
        <w:rFonts w:ascii="Century Gothic" w:hAnsi="Century Gothic"/>
        <w:sz w:val="20"/>
        <w:szCs w:val="20"/>
        <w:u w:val="none"/>
      </w:rPr>
      <w:instrText xml:space="preserve">PAGE  </w:instrText>
    </w:r>
    <w:r w:rsidRPr="0015259D">
      <w:rPr>
        <w:rStyle w:val="PageNumber"/>
        <w:rFonts w:ascii="Century Gothic" w:hAnsi="Century Gothic"/>
        <w:sz w:val="20"/>
        <w:szCs w:val="20"/>
        <w:u w:val="none"/>
      </w:rPr>
      <w:fldChar w:fldCharType="separate"/>
    </w:r>
    <w:r w:rsidR="0015107C">
      <w:rPr>
        <w:rStyle w:val="PageNumber"/>
        <w:rFonts w:ascii="Century Gothic" w:hAnsi="Century Gothic"/>
        <w:noProof/>
        <w:sz w:val="20"/>
        <w:szCs w:val="20"/>
        <w:u w:val="none"/>
      </w:rPr>
      <w:t>3</w:t>
    </w:r>
    <w:r w:rsidRPr="0015259D">
      <w:rPr>
        <w:rStyle w:val="PageNumber"/>
        <w:rFonts w:ascii="Century Gothic" w:hAnsi="Century Gothic"/>
        <w:sz w:val="20"/>
        <w:szCs w:val="20"/>
        <w:u w:val="none"/>
      </w:rPr>
      <w:fldChar w:fldCharType="end"/>
    </w:r>
    <w:r>
      <w:rPr>
        <w:rFonts w:cs="Times New Roman"/>
        <w:sz w:val="18"/>
        <w:szCs w:val="18"/>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201D1" w14:textId="77777777" w:rsidR="006737CF" w:rsidRDefault="006737CF" w:rsidP="00A778AC">
      <w:pPr>
        <w:rPr>
          <w:rFonts w:cs="Times New Roman"/>
        </w:rPr>
      </w:pPr>
      <w:r>
        <w:rPr>
          <w:rFonts w:cs="Times New Roman"/>
        </w:rPr>
        <w:separator/>
      </w:r>
    </w:p>
  </w:footnote>
  <w:footnote w:type="continuationSeparator" w:id="0">
    <w:p w14:paraId="0D9F5049" w14:textId="77777777" w:rsidR="006737CF" w:rsidRDefault="006737CF" w:rsidP="00A778A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6A9B4" w14:textId="51632DF2" w:rsidR="00732644" w:rsidRDefault="00732644" w:rsidP="005D5389">
    <w:pPr>
      <w:pStyle w:val="Header"/>
      <w:tabs>
        <w:tab w:val="clear" w:pos="8640"/>
        <w:tab w:val="right" w:pos="9360"/>
      </w:tabs>
      <w:jc w:val="center"/>
      <w:rPr>
        <w:b/>
        <w:bCs/>
        <w:color w:val="A6A6A6"/>
        <w:sz w:val="18"/>
        <w:szCs w:val="18"/>
        <w:u w:val="none"/>
      </w:rPr>
    </w:pPr>
    <w:r w:rsidRPr="00845581">
      <w:rPr>
        <w:bCs/>
        <w:noProof/>
        <w:sz w:val="52"/>
        <w:szCs w:val="40"/>
        <w:u w:val="none"/>
        <w:lang w:eastAsia="en-US"/>
      </w:rPr>
      <w:drawing>
        <wp:anchor distT="0" distB="0" distL="114300" distR="114300" simplePos="0" relativeHeight="251658240" behindDoc="0" locked="0" layoutInCell="1" allowOverlap="1" wp14:anchorId="7818A3CF" wp14:editId="47D4E2FF">
          <wp:simplePos x="0" y="0"/>
          <wp:positionH relativeFrom="column">
            <wp:posOffset>2377440</wp:posOffset>
          </wp:positionH>
          <wp:positionV relativeFrom="paragraph">
            <wp:posOffset>2540</wp:posOffset>
          </wp:positionV>
          <wp:extent cx="1188720" cy="661670"/>
          <wp:effectExtent l="0" t="0" r="5080" b="0"/>
          <wp:wrapSquare wrapText="bothSides"/>
          <wp:docPr id="1" name="Picture 1" descr="C:\Users\Joshu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hua\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61670"/>
                  </a:xfrm>
                  <a:prstGeom prst="rect">
                    <a:avLst/>
                  </a:prstGeom>
                  <a:noFill/>
                  <a:ln>
                    <a:noFill/>
                  </a:ln>
                </pic:spPr>
              </pic:pic>
            </a:graphicData>
          </a:graphic>
        </wp:anchor>
      </w:drawing>
    </w:r>
  </w:p>
  <w:p w14:paraId="0A594712" w14:textId="08341701" w:rsidR="00732644" w:rsidRPr="00590AFB" w:rsidRDefault="00732644" w:rsidP="005D5389">
    <w:pPr>
      <w:pStyle w:val="Header"/>
      <w:tabs>
        <w:tab w:val="clear" w:pos="8640"/>
        <w:tab w:val="right" w:pos="9360"/>
      </w:tabs>
      <w:rPr>
        <w:rFonts w:cs="Times New Roman"/>
        <w:b/>
        <w:bCs/>
        <w:color w:val="A6A6A6"/>
      </w:rPr>
    </w:pPr>
    <w:r w:rsidRPr="00590AFB">
      <w:rPr>
        <w:rFonts w:cs="Times New Roman"/>
        <w:b/>
        <w:bCs/>
        <w:color w:val="A6A6A6"/>
        <w:sz w:val="18"/>
        <w:szCs w:val="18"/>
        <w:u w:val="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2FDC"/>
    <w:multiLevelType w:val="hybridMultilevel"/>
    <w:tmpl w:val="F10C03FA"/>
    <w:lvl w:ilvl="0" w:tplc="C3A08124">
      <w:start w:val="1"/>
      <w:numFmt w:val="decimal"/>
      <w:lvlText w:val="%1."/>
      <w:lvlJc w:val="left"/>
      <w:pPr>
        <w:ind w:left="1080" w:hanging="720"/>
      </w:pPr>
      <w:rPr>
        <w:rFonts w:hint="default"/>
        <w:b/>
      </w:rPr>
    </w:lvl>
    <w:lvl w:ilvl="1" w:tplc="FE1E8F72">
      <w:start w:val="1"/>
      <w:numFmt w:val="bullet"/>
      <w:lvlText w:val=""/>
      <w:lvlJc w:val="left"/>
      <w:pPr>
        <w:ind w:left="1440" w:hanging="360"/>
      </w:pPr>
      <w:rPr>
        <w:rFonts w:ascii="Zapf Dingbats" w:hAnsi="Zapf Dingbats"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857CF"/>
    <w:multiLevelType w:val="hybridMultilevel"/>
    <w:tmpl w:val="FF5E8788"/>
    <w:lvl w:ilvl="0" w:tplc="AF4802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733D5"/>
    <w:multiLevelType w:val="multilevel"/>
    <w:tmpl w:val="17687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34EC6"/>
    <w:multiLevelType w:val="multilevel"/>
    <w:tmpl w:val="FF5E878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49702A"/>
    <w:multiLevelType w:val="hybridMultilevel"/>
    <w:tmpl w:val="71E6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472DD"/>
    <w:multiLevelType w:val="multilevel"/>
    <w:tmpl w:val="8E6663A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B26D7"/>
    <w:multiLevelType w:val="hybridMultilevel"/>
    <w:tmpl w:val="B1FCA292"/>
    <w:lvl w:ilvl="0" w:tplc="7132013C">
      <w:start w:val="1"/>
      <w:numFmt w:val="upperRoman"/>
      <w:lvlText w:val="%1."/>
      <w:lvlJc w:val="right"/>
      <w:pPr>
        <w:ind w:left="360" w:hanging="360"/>
      </w:pPr>
      <w:rPr>
        <w:b w:val="0"/>
      </w:rPr>
    </w:lvl>
    <w:lvl w:ilvl="1" w:tplc="04090015">
      <w:start w:val="1"/>
      <w:numFmt w:val="upperLetter"/>
      <w:lvlText w:val="%2."/>
      <w:lvlJc w:val="left"/>
      <w:pPr>
        <w:ind w:left="1080" w:hanging="360"/>
      </w:pPr>
      <w:rPr>
        <w:b w:val="0"/>
      </w:rPr>
    </w:lvl>
    <w:lvl w:ilvl="2" w:tplc="0409000F">
      <w:start w:val="1"/>
      <w:numFmt w:val="decimal"/>
      <w:lvlText w:val="%3."/>
      <w:lvlJc w:val="left"/>
      <w:pPr>
        <w:ind w:left="1980" w:hanging="36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F059E"/>
    <w:multiLevelType w:val="hybridMultilevel"/>
    <w:tmpl w:val="3F0E91C4"/>
    <w:lvl w:ilvl="0" w:tplc="AF4802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A4446"/>
    <w:multiLevelType w:val="hybridMultilevel"/>
    <w:tmpl w:val="375625F0"/>
    <w:lvl w:ilvl="0" w:tplc="C3A08124">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05B3D"/>
    <w:multiLevelType w:val="multilevel"/>
    <w:tmpl w:val="7918EC32"/>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7571F"/>
    <w:multiLevelType w:val="hybridMultilevel"/>
    <w:tmpl w:val="1768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11D8B"/>
    <w:multiLevelType w:val="multilevel"/>
    <w:tmpl w:val="375625F0"/>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C41B35"/>
    <w:multiLevelType w:val="multilevel"/>
    <w:tmpl w:val="00CCC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lvlOverride w:ilvl="1">
      <w:lvl w:ilvl="1">
        <w:numFmt w:val="lowerLetter"/>
        <w:lvlText w:val="%2."/>
        <w:lvlJc w:val="left"/>
      </w:lvl>
    </w:lvlOverride>
    <w:lvlOverride w:ilvl="2">
      <w:lvl w:ilvl="2">
        <w:numFmt w:val="lowerRoman"/>
        <w:lvlText w:val="%3."/>
        <w:lvlJc w:val="right"/>
      </w:lvl>
    </w:lvlOverride>
  </w:num>
  <w:num w:numId="3">
    <w:abstractNumId w:val="12"/>
  </w:num>
  <w:num w:numId="4">
    <w:abstractNumId w:val="12"/>
    <w:lvlOverride w:ilvl="1">
      <w:lvl w:ilvl="1">
        <w:numFmt w:val="lowerLetter"/>
        <w:lvlText w:val="%2."/>
        <w:lvlJc w:val="left"/>
      </w:lvl>
    </w:lvlOverride>
  </w:num>
  <w:num w:numId="5">
    <w:abstractNumId w:val="12"/>
    <w:lvlOverride w:ilvl="1">
      <w:lvl w:ilvl="1">
        <w:numFmt w:val="lowerLetter"/>
        <w:lvlText w:val="%2."/>
        <w:lvlJc w:val="left"/>
      </w:lvl>
    </w:lvlOverride>
  </w:num>
  <w:num w:numId="6">
    <w:abstractNumId w:val="1"/>
  </w:num>
  <w:num w:numId="7">
    <w:abstractNumId w:val="8"/>
  </w:num>
  <w:num w:numId="8">
    <w:abstractNumId w:val="10"/>
  </w:num>
  <w:num w:numId="9">
    <w:abstractNumId w:val="2"/>
  </w:num>
  <w:num w:numId="10">
    <w:abstractNumId w:val="11"/>
  </w:num>
  <w:num w:numId="11">
    <w:abstractNumId w:val="0"/>
  </w:num>
  <w:num w:numId="12">
    <w:abstractNumId w:val="9"/>
  </w:num>
  <w:num w:numId="13">
    <w:abstractNumId w:val="3"/>
  </w:num>
  <w:num w:numId="14">
    <w:abstractNumId w:val="7"/>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BB"/>
    <w:rsid w:val="000113AE"/>
    <w:rsid w:val="00012B8C"/>
    <w:rsid w:val="00016B59"/>
    <w:rsid w:val="00020F0E"/>
    <w:rsid w:val="00023E47"/>
    <w:rsid w:val="00033496"/>
    <w:rsid w:val="00034676"/>
    <w:rsid w:val="000372A4"/>
    <w:rsid w:val="0003749C"/>
    <w:rsid w:val="00047974"/>
    <w:rsid w:val="00050F3C"/>
    <w:rsid w:val="00055595"/>
    <w:rsid w:val="000601C4"/>
    <w:rsid w:val="0006425D"/>
    <w:rsid w:val="0006753E"/>
    <w:rsid w:val="00087C7F"/>
    <w:rsid w:val="00093710"/>
    <w:rsid w:val="00095160"/>
    <w:rsid w:val="000A2B34"/>
    <w:rsid w:val="000A3968"/>
    <w:rsid w:val="000B33CA"/>
    <w:rsid w:val="000D1089"/>
    <w:rsid w:val="000E1CB8"/>
    <w:rsid w:val="000E6DC5"/>
    <w:rsid w:val="00112F93"/>
    <w:rsid w:val="0011421E"/>
    <w:rsid w:val="00114E30"/>
    <w:rsid w:val="0011646A"/>
    <w:rsid w:val="0012178C"/>
    <w:rsid w:val="00124A98"/>
    <w:rsid w:val="001256D6"/>
    <w:rsid w:val="00132513"/>
    <w:rsid w:val="00134E8E"/>
    <w:rsid w:val="0013664E"/>
    <w:rsid w:val="001441ED"/>
    <w:rsid w:val="00144EE9"/>
    <w:rsid w:val="0014650B"/>
    <w:rsid w:val="0015107C"/>
    <w:rsid w:val="0015259D"/>
    <w:rsid w:val="00154AF9"/>
    <w:rsid w:val="001563D2"/>
    <w:rsid w:val="00160EB0"/>
    <w:rsid w:val="0016170F"/>
    <w:rsid w:val="001651E7"/>
    <w:rsid w:val="00167F03"/>
    <w:rsid w:val="00172500"/>
    <w:rsid w:val="00181200"/>
    <w:rsid w:val="001818B8"/>
    <w:rsid w:val="00181D4A"/>
    <w:rsid w:val="001A486D"/>
    <w:rsid w:val="001A65DC"/>
    <w:rsid w:val="001B4583"/>
    <w:rsid w:val="001B4C74"/>
    <w:rsid w:val="001B506E"/>
    <w:rsid w:val="001C1250"/>
    <w:rsid w:val="001C7F78"/>
    <w:rsid w:val="001D2A4C"/>
    <w:rsid w:val="001E2CB8"/>
    <w:rsid w:val="001F2210"/>
    <w:rsid w:val="001F33EB"/>
    <w:rsid w:val="00204573"/>
    <w:rsid w:val="0021255A"/>
    <w:rsid w:val="00217B40"/>
    <w:rsid w:val="00224727"/>
    <w:rsid w:val="002276BF"/>
    <w:rsid w:val="00241556"/>
    <w:rsid w:val="00241FB5"/>
    <w:rsid w:val="00250F30"/>
    <w:rsid w:val="00260D63"/>
    <w:rsid w:val="00261E55"/>
    <w:rsid w:val="00270829"/>
    <w:rsid w:val="00276890"/>
    <w:rsid w:val="00277637"/>
    <w:rsid w:val="00281440"/>
    <w:rsid w:val="00287990"/>
    <w:rsid w:val="00295CA9"/>
    <w:rsid w:val="002B110D"/>
    <w:rsid w:val="002C461F"/>
    <w:rsid w:val="002E4563"/>
    <w:rsid w:val="002E6018"/>
    <w:rsid w:val="002F2678"/>
    <w:rsid w:val="002F28B3"/>
    <w:rsid w:val="00300E37"/>
    <w:rsid w:val="003026A1"/>
    <w:rsid w:val="00322246"/>
    <w:rsid w:val="00322920"/>
    <w:rsid w:val="0033760A"/>
    <w:rsid w:val="003407DA"/>
    <w:rsid w:val="0034387C"/>
    <w:rsid w:val="00350D5C"/>
    <w:rsid w:val="003534D3"/>
    <w:rsid w:val="0035543B"/>
    <w:rsid w:val="003627F0"/>
    <w:rsid w:val="003841C5"/>
    <w:rsid w:val="00391B86"/>
    <w:rsid w:val="003B1900"/>
    <w:rsid w:val="003B32A9"/>
    <w:rsid w:val="003B48A6"/>
    <w:rsid w:val="003B5B58"/>
    <w:rsid w:val="003B5E70"/>
    <w:rsid w:val="003C5B8B"/>
    <w:rsid w:val="003D039F"/>
    <w:rsid w:val="003D27BB"/>
    <w:rsid w:val="003E1381"/>
    <w:rsid w:val="003E14C9"/>
    <w:rsid w:val="003F0645"/>
    <w:rsid w:val="003F3217"/>
    <w:rsid w:val="003F4E65"/>
    <w:rsid w:val="003F6C01"/>
    <w:rsid w:val="003F6E66"/>
    <w:rsid w:val="00413FF3"/>
    <w:rsid w:val="00415F5F"/>
    <w:rsid w:val="0042695D"/>
    <w:rsid w:val="00434051"/>
    <w:rsid w:val="00442E9D"/>
    <w:rsid w:val="00443B1B"/>
    <w:rsid w:val="0044407B"/>
    <w:rsid w:val="004455E0"/>
    <w:rsid w:val="0045234F"/>
    <w:rsid w:val="00474F82"/>
    <w:rsid w:val="00483A3B"/>
    <w:rsid w:val="00491061"/>
    <w:rsid w:val="0049470D"/>
    <w:rsid w:val="0049608F"/>
    <w:rsid w:val="00497E66"/>
    <w:rsid w:val="004B076D"/>
    <w:rsid w:val="004C22A2"/>
    <w:rsid w:val="004D2965"/>
    <w:rsid w:val="004D4643"/>
    <w:rsid w:val="004D5A30"/>
    <w:rsid w:val="004D66E7"/>
    <w:rsid w:val="004E57D2"/>
    <w:rsid w:val="004F50D1"/>
    <w:rsid w:val="004F650D"/>
    <w:rsid w:val="00500E09"/>
    <w:rsid w:val="005013FA"/>
    <w:rsid w:val="00515D68"/>
    <w:rsid w:val="00516FD2"/>
    <w:rsid w:val="00525403"/>
    <w:rsid w:val="0052765D"/>
    <w:rsid w:val="00534BED"/>
    <w:rsid w:val="005368F0"/>
    <w:rsid w:val="005404FA"/>
    <w:rsid w:val="00545897"/>
    <w:rsid w:val="00546D35"/>
    <w:rsid w:val="005506A8"/>
    <w:rsid w:val="00552F52"/>
    <w:rsid w:val="00565435"/>
    <w:rsid w:val="00571108"/>
    <w:rsid w:val="00571B98"/>
    <w:rsid w:val="00582DFC"/>
    <w:rsid w:val="00583119"/>
    <w:rsid w:val="00590AFB"/>
    <w:rsid w:val="005A2B15"/>
    <w:rsid w:val="005C4C4E"/>
    <w:rsid w:val="005C7168"/>
    <w:rsid w:val="005D5389"/>
    <w:rsid w:val="006032C0"/>
    <w:rsid w:val="00606DE6"/>
    <w:rsid w:val="00607CCE"/>
    <w:rsid w:val="00613726"/>
    <w:rsid w:val="00615258"/>
    <w:rsid w:val="006214AE"/>
    <w:rsid w:val="00626867"/>
    <w:rsid w:val="0063768A"/>
    <w:rsid w:val="00657D4F"/>
    <w:rsid w:val="00660DF1"/>
    <w:rsid w:val="00666135"/>
    <w:rsid w:val="006667F5"/>
    <w:rsid w:val="006737CF"/>
    <w:rsid w:val="00691A70"/>
    <w:rsid w:val="006A0A44"/>
    <w:rsid w:val="006A71F6"/>
    <w:rsid w:val="006B28A1"/>
    <w:rsid w:val="006B36BB"/>
    <w:rsid w:val="006C120A"/>
    <w:rsid w:val="006C22FC"/>
    <w:rsid w:val="006C4875"/>
    <w:rsid w:val="006D3FD5"/>
    <w:rsid w:val="006D472B"/>
    <w:rsid w:val="006E16FA"/>
    <w:rsid w:val="006E1B95"/>
    <w:rsid w:val="006E7A4F"/>
    <w:rsid w:val="00703ECD"/>
    <w:rsid w:val="00704897"/>
    <w:rsid w:val="0070645E"/>
    <w:rsid w:val="007123EA"/>
    <w:rsid w:val="00720C14"/>
    <w:rsid w:val="0072163D"/>
    <w:rsid w:val="0072713F"/>
    <w:rsid w:val="00732644"/>
    <w:rsid w:val="00733EB8"/>
    <w:rsid w:val="007420FE"/>
    <w:rsid w:val="00751692"/>
    <w:rsid w:val="00751B71"/>
    <w:rsid w:val="00754BB7"/>
    <w:rsid w:val="007574F6"/>
    <w:rsid w:val="007663F8"/>
    <w:rsid w:val="00767048"/>
    <w:rsid w:val="007737E6"/>
    <w:rsid w:val="007814A5"/>
    <w:rsid w:val="00786557"/>
    <w:rsid w:val="00787BFF"/>
    <w:rsid w:val="007C2769"/>
    <w:rsid w:val="007D1E35"/>
    <w:rsid w:val="007D1EB5"/>
    <w:rsid w:val="007D298D"/>
    <w:rsid w:val="007D3A8D"/>
    <w:rsid w:val="007D5531"/>
    <w:rsid w:val="007F212D"/>
    <w:rsid w:val="007F5EEF"/>
    <w:rsid w:val="007F74B4"/>
    <w:rsid w:val="008041CE"/>
    <w:rsid w:val="00811FA0"/>
    <w:rsid w:val="00815B8B"/>
    <w:rsid w:val="00820B62"/>
    <w:rsid w:val="00821675"/>
    <w:rsid w:val="00822A2B"/>
    <w:rsid w:val="00826FDF"/>
    <w:rsid w:val="00836FD4"/>
    <w:rsid w:val="00837281"/>
    <w:rsid w:val="00844AC4"/>
    <w:rsid w:val="00845581"/>
    <w:rsid w:val="00851920"/>
    <w:rsid w:val="00865E74"/>
    <w:rsid w:val="00866A2C"/>
    <w:rsid w:val="008675D4"/>
    <w:rsid w:val="00882B0C"/>
    <w:rsid w:val="00883358"/>
    <w:rsid w:val="008957AE"/>
    <w:rsid w:val="008B5773"/>
    <w:rsid w:val="008B711A"/>
    <w:rsid w:val="008C1CB7"/>
    <w:rsid w:val="008D247E"/>
    <w:rsid w:val="008E097F"/>
    <w:rsid w:val="008E4FA5"/>
    <w:rsid w:val="008E630A"/>
    <w:rsid w:val="008F50BA"/>
    <w:rsid w:val="008F6E69"/>
    <w:rsid w:val="008F7550"/>
    <w:rsid w:val="00913179"/>
    <w:rsid w:val="009143A8"/>
    <w:rsid w:val="00915863"/>
    <w:rsid w:val="009257DE"/>
    <w:rsid w:val="0093714A"/>
    <w:rsid w:val="00944AF5"/>
    <w:rsid w:val="00950BDD"/>
    <w:rsid w:val="00950D54"/>
    <w:rsid w:val="00964C78"/>
    <w:rsid w:val="00984071"/>
    <w:rsid w:val="00991A69"/>
    <w:rsid w:val="009A4758"/>
    <w:rsid w:val="009A63AC"/>
    <w:rsid w:val="009B2D73"/>
    <w:rsid w:val="009D7D8F"/>
    <w:rsid w:val="009F42D9"/>
    <w:rsid w:val="00A017D9"/>
    <w:rsid w:val="00A12EC3"/>
    <w:rsid w:val="00A12FB1"/>
    <w:rsid w:val="00A13970"/>
    <w:rsid w:val="00A315A9"/>
    <w:rsid w:val="00A3572D"/>
    <w:rsid w:val="00A530BB"/>
    <w:rsid w:val="00A671B9"/>
    <w:rsid w:val="00A72B22"/>
    <w:rsid w:val="00A778AC"/>
    <w:rsid w:val="00A9248C"/>
    <w:rsid w:val="00A9252A"/>
    <w:rsid w:val="00A96024"/>
    <w:rsid w:val="00AA1380"/>
    <w:rsid w:val="00AA2556"/>
    <w:rsid w:val="00AA35A9"/>
    <w:rsid w:val="00AA78BD"/>
    <w:rsid w:val="00AB1B83"/>
    <w:rsid w:val="00AB5CDE"/>
    <w:rsid w:val="00AC4D4F"/>
    <w:rsid w:val="00AC5447"/>
    <w:rsid w:val="00AD0542"/>
    <w:rsid w:val="00AE20D8"/>
    <w:rsid w:val="00AE2CFD"/>
    <w:rsid w:val="00AE3B9C"/>
    <w:rsid w:val="00AF0FFE"/>
    <w:rsid w:val="00AF1263"/>
    <w:rsid w:val="00B061C6"/>
    <w:rsid w:val="00B06487"/>
    <w:rsid w:val="00B25208"/>
    <w:rsid w:val="00B43FB2"/>
    <w:rsid w:val="00B465C9"/>
    <w:rsid w:val="00B479F4"/>
    <w:rsid w:val="00B51EB0"/>
    <w:rsid w:val="00B5789D"/>
    <w:rsid w:val="00B613BE"/>
    <w:rsid w:val="00B67976"/>
    <w:rsid w:val="00B67A69"/>
    <w:rsid w:val="00B7285F"/>
    <w:rsid w:val="00B81D24"/>
    <w:rsid w:val="00B85E33"/>
    <w:rsid w:val="00B9188C"/>
    <w:rsid w:val="00B919F4"/>
    <w:rsid w:val="00B960BF"/>
    <w:rsid w:val="00BB1E63"/>
    <w:rsid w:val="00BB4E80"/>
    <w:rsid w:val="00BC263A"/>
    <w:rsid w:val="00BD4873"/>
    <w:rsid w:val="00BD4B67"/>
    <w:rsid w:val="00BD6A0C"/>
    <w:rsid w:val="00BF52FC"/>
    <w:rsid w:val="00C10BCF"/>
    <w:rsid w:val="00C12FC4"/>
    <w:rsid w:val="00C130A3"/>
    <w:rsid w:val="00C14813"/>
    <w:rsid w:val="00C15D2E"/>
    <w:rsid w:val="00C223CA"/>
    <w:rsid w:val="00C25B08"/>
    <w:rsid w:val="00C30296"/>
    <w:rsid w:val="00C42CA4"/>
    <w:rsid w:val="00C55789"/>
    <w:rsid w:val="00C621D0"/>
    <w:rsid w:val="00C622F6"/>
    <w:rsid w:val="00C7578C"/>
    <w:rsid w:val="00C85A7E"/>
    <w:rsid w:val="00C91F4C"/>
    <w:rsid w:val="00C92875"/>
    <w:rsid w:val="00C92DC3"/>
    <w:rsid w:val="00CA262E"/>
    <w:rsid w:val="00CA2EF8"/>
    <w:rsid w:val="00CB2E52"/>
    <w:rsid w:val="00CC1620"/>
    <w:rsid w:val="00CC24EF"/>
    <w:rsid w:val="00CC33D4"/>
    <w:rsid w:val="00CC483C"/>
    <w:rsid w:val="00CC5F36"/>
    <w:rsid w:val="00CD4350"/>
    <w:rsid w:val="00CD6B3B"/>
    <w:rsid w:val="00CE0614"/>
    <w:rsid w:val="00CE34E4"/>
    <w:rsid w:val="00CE4244"/>
    <w:rsid w:val="00CE6D49"/>
    <w:rsid w:val="00CF0208"/>
    <w:rsid w:val="00D12C46"/>
    <w:rsid w:val="00D26EAF"/>
    <w:rsid w:val="00D274E5"/>
    <w:rsid w:val="00D50CF3"/>
    <w:rsid w:val="00D648ED"/>
    <w:rsid w:val="00D74EC2"/>
    <w:rsid w:val="00D820F5"/>
    <w:rsid w:val="00D84A74"/>
    <w:rsid w:val="00D8667B"/>
    <w:rsid w:val="00D911AC"/>
    <w:rsid w:val="00D95814"/>
    <w:rsid w:val="00D95D56"/>
    <w:rsid w:val="00DA19D1"/>
    <w:rsid w:val="00DA5BC0"/>
    <w:rsid w:val="00DB27EA"/>
    <w:rsid w:val="00DB4FBA"/>
    <w:rsid w:val="00DC0958"/>
    <w:rsid w:val="00DC0CA8"/>
    <w:rsid w:val="00DD429B"/>
    <w:rsid w:val="00DE0671"/>
    <w:rsid w:val="00DE1F55"/>
    <w:rsid w:val="00DE3A23"/>
    <w:rsid w:val="00DE6CEB"/>
    <w:rsid w:val="00DF0278"/>
    <w:rsid w:val="00DF3E6F"/>
    <w:rsid w:val="00DF5320"/>
    <w:rsid w:val="00E00DFD"/>
    <w:rsid w:val="00E11460"/>
    <w:rsid w:val="00E15F5A"/>
    <w:rsid w:val="00E27E25"/>
    <w:rsid w:val="00E30072"/>
    <w:rsid w:val="00E33CE9"/>
    <w:rsid w:val="00E36001"/>
    <w:rsid w:val="00E42554"/>
    <w:rsid w:val="00E42939"/>
    <w:rsid w:val="00E43B6D"/>
    <w:rsid w:val="00E525DC"/>
    <w:rsid w:val="00E55C80"/>
    <w:rsid w:val="00E564AB"/>
    <w:rsid w:val="00E72758"/>
    <w:rsid w:val="00E772BE"/>
    <w:rsid w:val="00E84461"/>
    <w:rsid w:val="00EA2F9A"/>
    <w:rsid w:val="00EB796B"/>
    <w:rsid w:val="00EC799B"/>
    <w:rsid w:val="00F12C6A"/>
    <w:rsid w:val="00F14B73"/>
    <w:rsid w:val="00F2095C"/>
    <w:rsid w:val="00F31419"/>
    <w:rsid w:val="00F40015"/>
    <w:rsid w:val="00F54D0D"/>
    <w:rsid w:val="00F616A3"/>
    <w:rsid w:val="00F63074"/>
    <w:rsid w:val="00F65284"/>
    <w:rsid w:val="00F70D8F"/>
    <w:rsid w:val="00F722C6"/>
    <w:rsid w:val="00F75CC1"/>
    <w:rsid w:val="00F7604F"/>
    <w:rsid w:val="00F81248"/>
    <w:rsid w:val="00F8167E"/>
    <w:rsid w:val="00FA0F7C"/>
    <w:rsid w:val="00FA2CE1"/>
    <w:rsid w:val="00FB104D"/>
    <w:rsid w:val="00FB38D2"/>
    <w:rsid w:val="00FB7315"/>
    <w:rsid w:val="00FC1ADB"/>
    <w:rsid w:val="00FD3DE8"/>
    <w:rsid w:val="00FD597E"/>
    <w:rsid w:val="00FD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D09B2"/>
  <w15:docId w15:val="{36D20126-8DF8-4BD0-926F-709CF583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84"/>
    <w:rPr>
      <w:rFonts w:ascii="Arial" w:hAnsi="Arial" w:cs="Arial"/>
      <w:sz w:val="24"/>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8AC"/>
    <w:pPr>
      <w:tabs>
        <w:tab w:val="center" w:pos="4320"/>
        <w:tab w:val="right" w:pos="8640"/>
      </w:tabs>
    </w:pPr>
  </w:style>
  <w:style w:type="character" w:customStyle="1" w:styleId="HeaderChar">
    <w:name w:val="Header Char"/>
    <w:basedOn w:val="DefaultParagraphFont"/>
    <w:link w:val="Header"/>
    <w:uiPriority w:val="99"/>
    <w:rsid w:val="00A778AC"/>
    <w:rPr>
      <w:rFonts w:ascii="Arial" w:hAnsi="Arial" w:cs="Arial"/>
      <w:u w:val="single"/>
    </w:rPr>
  </w:style>
  <w:style w:type="paragraph" w:styleId="Footer">
    <w:name w:val="footer"/>
    <w:basedOn w:val="Normal"/>
    <w:link w:val="FooterChar"/>
    <w:uiPriority w:val="99"/>
    <w:rsid w:val="00A778AC"/>
    <w:pPr>
      <w:tabs>
        <w:tab w:val="center" w:pos="4320"/>
        <w:tab w:val="right" w:pos="8640"/>
      </w:tabs>
    </w:pPr>
  </w:style>
  <w:style w:type="character" w:customStyle="1" w:styleId="FooterChar">
    <w:name w:val="Footer Char"/>
    <w:basedOn w:val="DefaultParagraphFont"/>
    <w:link w:val="Footer"/>
    <w:uiPriority w:val="99"/>
    <w:rsid w:val="00A778AC"/>
    <w:rPr>
      <w:rFonts w:ascii="Arial" w:hAnsi="Arial" w:cs="Arial"/>
      <w:u w:val="single"/>
    </w:rPr>
  </w:style>
  <w:style w:type="character" w:styleId="PageNumber">
    <w:name w:val="page number"/>
    <w:basedOn w:val="DefaultParagraphFont"/>
    <w:uiPriority w:val="99"/>
    <w:semiHidden/>
    <w:rsid w:val="00A778AC"/>
  </w:style>
  <w:style w:type="paragraph" w:styleId="ListParagraph">
    <w:name w:val="List Paragraph"/>
    <w:basedOn w:val="Normal"/>
    <w:uiPriority w:val="34"/>
    <w:qFormat/>
    <w:rsid w:val="00C42CA4"/>
    <w:pPr>
      <w:ind w:left="720"/>
      <w:contextualSpacing/>
    </w:pPr>
  </w:style>
  <w:style w:type="character" w:styleId="Hyperlink">
    <w:name w:val="Hyperlink"/>
    <w:basedOn w:val="DefaultParagraphFont"/>
    <w:uiPriority w:val="99"/>
    <w:unhideWhenUsed/>
    <w:rsid w:val="007D1E35"/>
    <w:rPr>
      <w:color w:val="0000FF" w:themeColor="hyperlink"/>
      <w:u w:val="single"/>
    </w:rPr>
  </w:style>
  <w:style w:type="paragraph" w:styleId="BalloonText">
    <w:name w:val="Balloon Text"/>
    <w:basedOn w:val="Normal"/>
    <w:link w:val="BalloonTextChar"/>
    <w:uiPriority w:val="99"/>
    <w:semiHidden/>
    <w:unhideWhenUsed/>
    <w:rsid w:val="00224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727"/>
    <w:rPr>
      <w:rFonts w:ascii="Lucida Grande" w:hAnsi="Lucida Grande" w:cs="Lucida Grande"/>
      <w:sz w:val="18"/>
      <w:szCs w:val="18"/>
      <w:u w:val="single"/>
      <w:lang w:eastAsia="ja-JP"/>
    </w:rPr>
  </w:style>
  <w:style w:type="character" w:styleId="Strong">
    <w:name w:val="Strong"/>
    <w:basedOn w:val="DefaultParagraphFont"/>
    <w:uiPriority w:val="22"/>
    <w:qFormat/>
    <w:rsid w:val="00B061C6"/>
    <w:rPr>
      <w:b/>
      <w:bCs/>
    </w:rPr>
  </w:style>
  <w:style w:type="character" w:styleId="FollowedHyperlink">
    <w:name w:val="FollowedHyperlink"/>
    <w:basedOn w:val="DefaultParagraphFont"/>
    <w:uiPriority w:val="99"/>
    <w:semiHidden/>
    <w:unhideWhenUsed/>
    <w:rsid w:val="00E72758"/>
    <w:rPr>
      <w:color w:val="800080" w:themeColor="followedHyperlink"/>
      <w:u w:val="single"/>
    </w:rPr>
  </w:style>
  <w:style w:type="paragraph" w:styleId="NormalWeb">
    <w:name w:val="Normal (Web)"/>
    <w:basedOn w:val="Normal"/>
    <w:uiPriority w:val="99"/>
    <w:semiHidden/>
    <w:unhideWhenUsed/>
    <w:rsid w:val="000372A4"/>
    <w:pPr>
      <w:spacing w:before="100" w:beforeAutospacing="1" w:after="100" w:afterAutospacing="1"/>
    </w:pPr>
    <w:rPr>
      <w:rFonts w:ascii="Times New Roman" w:eastAsia="Times New Roman" w:hAnsi="Times New Roman" w:cs="Times New Roman"/>
      <w:u w:val="none"/>
      <w:lang w:eastAsia="en-US"/>
    </w:rPr>
  </w:style>
  <w:style w:type="character" w:styleId="CommentReference">
    <w:name w:val="annotation reference"/>
    <w:basedOn w:val="DefaultParagraphFont"/>
    <w:uiPriority w:val="99"/>
    <w:semiHidden/>
    <w:unhideWhenUsed/>
    <w:rsid w:val="008C1CB7"/>
    <w:rPr>
      <w:sz w:val="16"/>
      <w:szCs w:val="16"/>
    </w:rPr>
  </w:style>
  <w:style w:type="paragraph" w:styleId="CommentText">
    <w:name w:val="annotation text"/>
    <w:basedOn w:val="Normal"/>
    <w:link w:val="CommentTextChar"/>
    <w:uiPriority w:val="99"/>
    <w:semiHidden/>
    <w:unhideWhenUsed/>
    <w:rsid w:val="008C1CB7"/>
    <w:rPr>
      <w:sz w:val="20"/>
      <w:szCs w:val="20"/>
    </w:rPr>
  </w:style>
  <w:style w:type="character" w:customStyle="1" w:styleId="CommentTextChar">
    <w:name w:val="Comment Text Char"/>
    <w:basedOn w:val="DefaultParagraphFont"/>
    <w:link w:val="CommentText"/>
    <w:uiPriority w:val="99"/>
    <w:semiHidden/>
    <w:rsid w:val="008C1CB7"/>
    <w:rPr>
      <w:rFonts w:ascii="Arial" w:hAnsi="Arial" w:cs="Arial"/>
      <w:sz w:val="20"/>
      <w:szCs w:val="20"/>
      <w:u w:val="single"/>
      <w:lang w:eastAsia="ja-JP"/>
    </w:rPr>
  </w:style>
  <w:style w:type="paragraph" w:styleId="CommentSubject">
    <w:name w:val="annotation subject"/>
    <w:basedOn w:val="CommentText"/>
    <w:next w:val="CommentText"/>
    <w:link w:val="CommentSubjectChar"/>
    <w:uiPriority w:val="99"/>
    <w:semiHidden/>
    <w:unhideWhenUsed/>
    <w:rsid w:val="008C1CB7"/>
    <w:rPr>
      <w:b/>
      <w:bCs/>
    </w:rPr>
  </w:style>
  <w:style w:type="character" w:customStyle="1" w:styleId="CommentSubjectChar">
    <w:name w:val="Comment Subject Char"/>
    <w:basedOn w:val="CommentTextChar"/>
    <w:link w:val="CommentSubject"/>
    <w:uiPriority w:val="99"/>
    <w:semiHidden/>
    <w:rsid w:val="008C1CB7"/>
    <w:rPr>
      <w:rFonts w:ascii="Arial" w:hAnsi="Arial" w:cs="Arial"/>
      <w:b/>
      <w:bCs/>
      <w:sz w:val="20"/>
      <w:szCs w:val="20"/>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0197">
      <w:bodyDiv w:val="1"/>
      <w:marLeft w:val="0"/>
      <w:marRight w:val="0"/>
      <w:marTop w:val="0"/>
      <w:marBottom w:val="0"/>
      <w:divBdr>
        <w:top w:val="none" w:sz="0" w:space="0" w:color="auto"/>
        <w:left w:val="none" w:sz="0" w:space="0" w:color="auto"/>
        <w:bottom w:val="none" w:sz="0" w:space="0" w:color="auto"/>
        <w:right w:val="none" w:sz="0" w:space="0" w:color="auto"/>
      </w:divBdr>
    </w:div>
    <w:div w:id="348145628">
      <w:bodyDiv w:val="1"/>
      <w:marLeft w:val="0"/>
      <w:marRight w:val="0"/>
      <w:marTop w:val="0"/>
      <w:marBottom w:val="0"/>
      <w:divBdr>
        <w:top w:val="none" w:sz="0" w:space="0" w:color="auto"/>
        <w:left w:val="none" w:sz="0" w:space="0" w:color="auto"/>
        <w:bottom w:val="none" w:sz="0" w:space="0" w:color="auto"/>
        <w:right w:val="none" w:sz="0" w:space="0" w:color="auto"/>
      </w:divBdr>
    </w:div>
    <w:div w:id="919409443">
      <w:bodyDiv w:val="1"/>
      <w:marLeft w:val="0"/>
      <w:marRight w:val="0"/>
      <w:marTop w:val="0"/>
      <w:marBottom w:val="0"/>
      <w:divBdr>
        <w:top w:val="none" w:sz="0" w:space="0" w:color="auto"/>
        <w:left w:val="none" w:sz="0" w:space="0" w:color="auto"/>
        <w:bottom w:val="none" w:sz="0" w:space="0" w:color="auto"/>
        <w:right w:val="none" w:sz="0" w:space="0" w:color="auto"/>
      </w:divBdr>
    </w:div>
    <w:div w:id="1136291151">
      <w:bodyDiv w:val="1"/>
      <w:marLeft w:val="0"/>
      <w:marRight w:val="0"/>
      <w:marTop w:val="0"/>
      <w:marBottom w:val="0"/>
      <w:divBdr>
        <w:top w:val="none" w:sz="0" w:space="0" w:color="auto"/>
        <w:left w:val="none" w:sz="0" w:space="0" w:color="auto"/>
        <w:bottom w:val="none" w:sz="0" w:space="0" w:color="auto"/>
        <w:right w:val="none" w:sz="0" w:space="0" w:color="auto"/>
      </w:divBdr>
    </w:div>
    <w:div w:id="13060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7399-33AA-4AB3-A235-7FE01D91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Baird + Driskell Community Planning</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Jeffery Baird</dc:creator>
  <cp:keywords/>
  <dc:description/>
  <cp:lastModifiedBy>Joshua Abrams</cp:lastModifiedBy>
  <cp:revision>6</cp:revision>
  <cp:lastPrinted>2016-11-17T16:36:00Z</cp:lastPrinted>
  <dcterms:created xsi:type="dcterms:W3CDTF">2018-05-24T19:55:00Z</dcterms:created>
  <dcterms:modified xsi:type="dcterms:W3CDTF">2018-05-31T17:31:00Z</dcterms:modified>
</cp:coreProperties>
</file>