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9000" w14:textId="77777777" w:rsidR="0042198E" w:rsidRDefault="0042198E" w:rsidP="009D3D33">
      <w:pPr>
        <w:jc w:val="center"/>
        <w:rPr>
          <w:b/>
          <w:bCs/>
          <w:sz w:val="24"/>
          <w:szCs w:val="24"/>
        </w:rPr>
      </w:pPr>
    </w:p>
    <w:p w14:paraId="74CC8E77" w14:textId="2E98EE60" w:rsidR="0042198E" w:rsidRPr="0042198E" w:rsidRDefault="009D3D33" w:rsidP="0042198E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42198E">
        <w:rPr>
          <w:b/>
          <w:bCs/>
          <w:sz w:val="36"/>
          <w:szCs w:val="36"/>
        </w:rPr>
        <w:t>SHARED HOUSING TEAM PROGRAM CONCEPT</w:t>
      </w:r>
      <w:r w:rsidR="0042198E">
        <w:rPr>
          <w:b/>
          <w:bCs/>
          <w:sz w:val="36"/>
          <w:szCs w:val="36"/>
        </w:rPr>
        <w:br/>
      </w:r>
      <w:r w:rsidR="000A3BCB">
        <w:rPr>
          <w:b/>
          <w:bCs/>
          <w:sz w:val="36"/>
          <w:szCs w:val="36"/>
        </w:rPr>
        <w:t>0</w:t>
      </w:r>
      <w:r w:rsidR="00D320BF">
        <w:rPr>
          <w:b/>
          <w:bCs/>
          <w:sz w:val="36"/>
          <w:szCs w:val="36"/>
        </w:rPr>
        <w:t>3</w:t>
      </w:r>
      <w:r w:rsidR="000A3BCB">
        <w:rPr>
          <w:b/>
          <w:bCs/>
          <w:sz w:val="36"/>
          <w:szCs w:val="36"/>
        </w:rPr>
        <w:t>/01/2023</w:t>
      </w:r>
    </w:p>
    <w:p w14:paraId="7918BF45" w14:textId="77777777" w:rsidR="00DB1EB2" w:rsidRDefault="00DB1EB2" w:rsidP="00DB1EB2">
      <w:pPr>
        <w:rPr>
          <w:sz w:val="24"/>
          <w:szCs w:val="24"/>
        </w:rPr>
      </w:pPr>
    </w:p>
    <w:p w14:paraId="2F141DAC" w14:textId="1BB78433" w:rsidR="007A4E8F" w:rsidRPr="00ED4A45" w:rsidRDefault="00DB1EB2" w:rsidP="00DB1EB2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 xml:space="preserve">During the current Housing Element preparation cycle, staff from 21 Elements frequently heard about the need for staff trained in affordable housing administration, especially from the smaller, less-resourced jurisdictions. </w:t>
      </w:r>
      <w:r w:rsidR="007A4E8F" w:rsidRPr="00ED4A45">
        <w:rPr>
          <w:rFonts w:cstheme="minorHAnsi"/>
          <w:sz w:val="24"/>
          <w:szCs w:val="24"/>
        </w:rPr>
        <w:t xml:space="preserve">Many jurisdictions </w:t>
      </w:r>
      <w:r w:rsidR="00A20DBF">
        <w:rPr>
          <w:rFonts w:cstheme="minorHAnsi"/>
          <w:sz w:val="24"/>
          <w:szCs w:val="24"/>
        </w:rPr>
        <w:t xml:space="preserve">are </w:t>
      </w:r>
      <w:r w:rsidR="007A4E8F" w:rsidRPr="00ED4A45">
        <w:rPr>
          <w:rFonts w:cstheme="minorHAnsi"/>
          <w:sz w:val="24"/>
          <w:szCs w:val="24"/>
        </w:rPr>
        <w:t xml:space="preserve">growing affordable housing portfolios and/or made commitments in their housing elements to launch new programs. </w:t>
      </w:r>
    </w:p>
    <w:p w14:paraId="177EFF39" w14:textId="156F5479" w:rsidR="00DB1EB2" w:rsidRPr="00ED4A45" w:rsidRDefault="00DB1EB2" w:rsidP="00DB1EB2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>Some of the challenges identified in managing affordable housing programs include an insufficient (and often inconsistent) workload to justify a new staff position and lack of in-house expertise to train and manage new staff.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Pr="00ED4A45">
        <w:rPr>
          <w:rFonts w:cstheme="minorHAnsi"/>
          <w:sz w:val="24"/>
          <w:szCs w:val="24"/>
        </w:rPr>
        <w:t>Since the related tasks vary in complexity from routine administrative duties to highly specialized professional analyses, it can be difficult to recruit for housing positions, especially where a jurisdiction does not have existing procedures/resources in place.</w:t>
      </w:r>
      <w:r w:rsidR="007A4E8F" w:rsidRPr="00ED4A45">
        <w:rPr>
          <w:rFonts w:cstheme="minorHAnsi"/>
          <w:sz w:val="24"/>
          <w:szCs w:val="24"/>
        </w:rPr>
        <w:t xml:space="preserve"> If there is only one staff person, when they leave, they take their institutional knowledge with them. </w:t>
      </w:r>
    </w:p>
    <w:p w14:paraId="7E11E9B9" w14:textId="29D72874" w:rsidR="00DB1EB2" w:rsidRPr="00ED4A45" w:rsidRDefault="00DB1EB2" w:rsidP="00DB1EB2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 xml:space="preserve">As a result of these conversations, the concept of the Shared Housing Team </w:t>
      </w:r>
      <w:r w:rsidR="002E0621" w:rsidRPr="00ED4A45">
        <w:rPr>
          <w:rFonts w:cstheme="minorHAnsi"/>
          <w:sz w:val="24"/>
          <w:szCs w:val="24"/>
        </w:rPr>
        <w:t xml:space="preserve">(Team) </w:t>
      </w:r>
      <w:r w:rsidRPr="00ED4A45">
        <w:rPr>
          <w:rFonts w:cstheme="minorHAnsi"/>
          <w:sz w:val="24"/>
          <w:szCs w:val="24"/>
        </w:rPr>
        <w:t>evolved.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Pr="00ED4A45">
        <w:rPr>
          <w:rFonts w:cstheme="minorHAnsi"/>
          <w:sz w:val="24"/>
          <w:szCs w:val="24"/>
        </w:rPr>
        <w:t xml:space="preserve">Under this concept, a small team of staff </w:t>
      </w:r>
      <w:r w:rsidR="002E0621" w:rsidRPr="00ED4A45">
        <w:rPr>
          <w:rFonts w:cstheme="minorHAnsi"/>
          <w:sz w:val="24"/>
          <w:szCs w:val="24"/>
        </w:rPr>
        <w:t>will</w:t>
      </w:r>
      <w:r w:rsidRPr="00ED4A45">
        <w:rPr>
          <w:rFonts w:cstheme="minorHAnsi"/>
          <w:sz w:val="24"/>
          <w:szCs w:val="24"/>
        </w:rPr>
        <w:t xml:space="preserve"> be trained and managed to provide housing program related services for participating jurisdictions, who w</w:t>
      </w:r>
      <w:r w:rsidR="002E0621" w:rsidRPr="00ED4A45">
        <w:rPr>
          <w:rFonts w:cstheme="minorHAnsi"/>
          <w:sz w:val="24"/>
          <w:szCs w:val="24"/>
        </w:rPr>
        <w:t>ill</w:t>
      </w:r>
      <w:r w:rsidRPr="00ED4A45">
        <w:rPr>
          <w:rFonts w:cstheme="minorHAnsi"/>
          <w:sz w:val="24"/>
          <w:szCs w:val="24"/>
        </w:rPr>
        <w:t xml:space="preserve"> all share in the cost of the Shared Housing Team.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9D3D33" w:rsidRPr="00ED4A45">
        <w:rPr>
          <w:rFonts w:cstheme="minorHAnsi"/>
          <w:sz w:val="24"/>
          <w:szCs w:val="24"/>
        </w:rPr>
        <w:t xml:space="preserve">Benefits </w:t>
      </w:r>
      <w:r w:rsidRPr="00ED4A45">
        <w:rPr>
          <w:rFonts w:cstheme="minorHAnsi"/>
          <w:sz w:val="24"/>
          <w:szCs w:val="24"/>
        </w:rPr>
        <w:t xml:space="preserve">of </w:t>
      </w:r>
      <w:r w:rsidR="009D3D33" w:rsidRPr="00ED4A45">
        <w:rPr>
          <w:rFonts w:cstheme="minorHAnsi"/>
          <w:sz w:val="24"/>
          <w:szCs w:val="24"/>
        </w:rPr>
        <w:t xml:space="preserve">the </w:t>
      </w:r>
      <w:r w:rsidRPr="00ED4A45">
        <w:rPr>
          <w:rFonts w:cstheme="minorHAnsi"/>
          <w:sz w:val="24"/>
          <w:szCs w:val="24"/>
        </w:rPr>
        <w:t xml:space="preserve">Shared Housing Team </w:t>
      </w:r>
      <w:r w:rsidR="009D3D33" w:rsidRPr="00ED4A45">
        <w:rPr>
          <w:rFonts w:cstheme="minorHAnsi"/>
          <w:sz w:val="24"/>
          <w:szCs w:val="24"/>
        </w:rPr>
        <w:t>include increased</w:t>
      </w:r>
      <w:r w:rsidRPr="00ED4A45">
        <w:rPr>
          <w:rFonts w:cstheme="minorHAnsi"/>
          <w:sz w:val="24"/>
          <w:szCs w:val="24"/>
        </w:rPr>
        <w:t xml:space="preserve"> efficiencies in scale </w:t>
      </w:r>
      <w:r w:rsidR="007A4E8F" w:rsidRPr="00ED4A45">
        <w:rPr>
          <w:rFonts w:cstheme="minorHAnsi"/>
          <w:sz w:val="24"/>
          <w:szCs w:val="24"/>
        </w:rPr>
        <w:t xml:space="preserve">and </w:t>
      </w:r>
      <w:r w:rsidR="00CC624A" w:rsidRPr="00ED4A45">
        <w:rPr>
          <w:rFonts w:cstheme="minorHAnsi"/>
          <w:sz w:val="24"/>
          <w:szCs w:val="24"/>
        </w:rPr>
        <w:t xml:space="preserve">the option of less than full time staff. It also provides flexibility </w:t>
      </w:r>
      <w:r w:rsidRPr="00ED4A45">
        <w:rPr>
          <w:rFonts w:cstheme="minorHAnsi"/>
          <w:sz w:val="24"/>
          <w:szCs w:val="24"/>
        </w:rPr>
        <w:t xml:space="preserve">if a jurisdiction </w:t>
      </w:r>
      <w:r w:rsidR="00CC624A" w:rsidRPr="00ED4A45">
        <w:rPr>
          <w:rFonts w:cstheme="minorHAnsi"/>
          <w:sz w:val="24"/>
          <w:szCs w:val="24"/>
        </w:rPr>
        <w:t xml:space="preserve">has intermittent needs (e.g. the person could work many hours during a project launch but work with other jurisdictions at other times). </w:t>
      </w:r>
    </w:p>
    <w:p w14:paraId="10404B02" w14:textId="5424A913" w:rsidR="00DB1EB2" w:rsidRPr="00ED4A45" w:rsidRDefault="00CC624A" w:rsidP="00DB1EB2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 xml:space="preserve">21 Elements approached </w:t>
      </w:r>
      <w:r w:rsidR="00DB1EB2" w:rsidRPr="00ED4A45">
        <w:rPr>
          <w:rFonts w:cstheme="minorHAnsi"/>
          <w:sz w:val="24"/>
          <w:szCs w:val="24"/>
        </w:rPr>
        <w:t>The Housing Endowment and Regional Trust (HEART) of San Mateo County</w:t>
      </w:r>
      <w:r w:rsidRPr="00ED4A45">
        <w:rPr>
          <w:rFonts w:cstheme="minorHAnsi"/>
          <w:sz w:val="24"/>
          <w:szCs w:val="24"/>
        </w:rPr>
        <w:t xml:space="preserve">, and they have tentatively </w:t>
      </w:r>
      <w:r w:rsidR="00DB1EB2" w:rsidRPr="00ED4A45">
        <w:rPr>
          <w:rFonts w:cstheme="minorHAnsi"/>
          <w:sz w:val="24"/>
          <w:szCs w:val="24"/>
        </w:rPr>
        <w:t>agreed to coordinate the services and manage the Team.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DB1EB2" w:rsidRPr="00ED4A45">
        <w:rPr>
          <w:rFonts w:cstheme="minorHAnsi"/>
          <w:sz w:val="24"/>
          <w:szCs w:val="24"/>
        </w:rPr>
        <w:t>HEART staff has expertise and resources to manage and train staff that jurisdictions often lack.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DB1EB2" w:rsidRPr="00ED4A45">
        <w:rPr>
          <w:rFonts w:cstheme="minorHAnsi"/>
          <w:sz w:val="24"/>
          <w:szCs w:val="24"/>
        </w:rPr>
        <w:t>This coordinated knowledge-sharing will also help to provide consistency across jurisdictions and the adoption of best practices countywide.</w:t>
      </w:r>
      <w:r w:rsidR="007A4E8F" w:rsidRPr="00ED4A45">
        <w:rPr>
          <w:rFonts w:cstheme="minorHAnsi"/>
          <w:sz w:val="24"/>
          <w:szCs w:val="24"/>
        </w:rPr>
        <w:t xml:space="preserve"> </w:t>
      </w:r>
    </w:p>
    <w:p w14:paraId="137DE3D7" w14:textId="1457456C" w:rsidR="00DB1EB2" w:rsidRPr="00ED4A45" w:rsidRDefault="002E0621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>Although</w:t>
      </w:r>
      <w:r w:rsidR="00DB1EB2" w:rsidRPr="00ED4A45">
        <w:rPr>
          <w:rFonts w:cstheme="minorHAnsi"/>
          <w:sz w:val="24"/>
          <w:szCs w:val="24"/>
        </w:rPr>
        <w:t xml:space="preserve"> HEART will provide overall management of the </w:t>
      </w:r>
      <w:r w:rsidRPr="00ED4A45">
        <w:rPr>
          <w:rFonts w:cstheme="minorHAnsi"/>
          <w:sz w:val="24"/>
          <w:szCs w:val="24"/>
        </w:rPr>
        <w:t>Team,</w:t>
      </w:r>
      <w:r w:rsidR="00DB1EB2" w:rsidRPr="00ED4A45">
        <w:rPr>
          <w:rFonts w:cstheme="minorHAnsi"/>
          <w:sz w:val="24"/>
          <w:szCs w:val="24"/>
        </w:rPr>
        <w:t xml:space="preserve"> each jurisdiction will determine the job duties and tasks</w:t>
      </w:r>
      <w:r w:rsidRPr="00ED4A45">
        <w:rPr>
          <w:rFonts w:cstheme="minorHAnsi"/>
          <w:sz w:val="24"/>
          <w:szCs w:val="24"/>
        </w:rPr>
        <w:t>,</w:t>
      </w:r>
      <w:r w:rsidR="00DB1EB2" w:rsidRPr="00ED4A45">
        <w:rPr>
          <w:rFonts w:cstheme="minorHAnsi"/>
          <w:sz w:val="24"/>
          <w:szCs w:val="24"/>
        </w:rPr>
        <w:t xml:space="preserve"> and directly supervise the assigned staff person.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DB1EB2" w:rsidRPr="00ED4A45">
        <w:rPr>
          <w:rFonts w:cstheme="minorHAnsi"/>
          <w:sz w:val="24"/>
          <w:szCs w:val="24"/>
        </w:rPr>
        <w:t xml:space="preserve">Jurisdictions are encouraged to treat these staff as </w:t>
      </w:r>
      <w:r w:rsidR="009D3D33" w:rsidRPr="00ED4A45">
        <w:rPr>
          <w:rFonts w:cstheme="minorHAnsi"/>
          <w:sz w:val="24"/>
          <w:szCs w:val="24"/>
        </w:rPr>
        <w:t>part time</w:t>
      </w:r>
      <w:r w:rsidR="00DB1EB2" w:rsidRPr="00ED4A45">
        <w:rPr>
          <w:rFonts w:cstheme="minorHAnsi"/>
          <w:sz w:val="24"/>
          <w:szCs w:val="24"/>
        </w:rPr>
        <w:t xml:space="preserve"> employees and involve them in department wide initiatives so they can fully </w:t>
      </w:r>
      <w:r w:rsidR="009D3D33" w:rsidRPr="00ED4A45">
        <w:rPr>
          <w:rFonts w:cstheme="minorHAnsi"/>
          <w:sz w:val="24"/>
          <w:szCs w:val="24"/>
        </w:rPr>
        <w:t>participate and contribute</w:t>
      </w:r>
      <w:r w:rsidR="00DB1EB2" w:rsidRPr="00ED4A45">
        <w:rPr>
          <w:rFonts w:cstheme="minorHAnsi"/>
          <w:sz w:val="24"/>
          <w:szCs w:val="24"/>
        </w:rPr>
        <w:t xml:space="preserve"> </w:t>
      </w:r>
      <w:r w:rsidRPr="00ED4A45">
        <w:rPr>
          <w:rFonts w:cstheme="minorHAnsi"/>
          <w:sz w:val="24"/>
          <w:szCs w:val="24"/>
        </w:rPr>
        <w:t>their services</w:t>
      </w:r>
      <w:r w:rsidR="00DB1EB2" w:rsidRPr="00ED4A45">
        <w:rPr>
          <w:rFonts w:cstheme="minorHAnsi"/>
          <w:sz w:val="24"/>
          <w:szCs w:val="24"/>
        </w:rPr>
        <w:t>.</w:t>
      </w:r>
      <w:r w:rsidR="007A4E8F" w:rsidRPr="00ED4A45">
        <w:rPr>
          <w:rFonts w:cstheme="minorHAnsi"/>
          <w:sz w:val="24"/>
          <w:szCs w:val="24"/>
        </w:rPr>
        <w:t xml:space="preserve"> </w:t>
      </w:r>
    </w:p>
    <w:p w14:paraId="07E3E8F5" w14:textId="2FA58B00" w:rsidR="00A70141" w:rsidRPr="00ED4A45" w:rsidRDefault="00CC7F45" w:rsidP="00A70141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 xml:space="preserve">Cities can opt into the Team </w:t>
      </w:r>
      <w:r w:rsidR="001D0B0F" w:rsidRPr="00ED4A45">
        <w:rPr>
          <w:rFonts w:cstheme="minorHAnsi"/>
          <w:sz w:val="24"/>
          <w:szCs w:val="24"/>
        </w:rPr>
        <w:t xml:space="preserve">for </w:t>
      </w:r>
      <w:r w:rsidR="00994B1D" w:rsidRPr="00ED4A45">
        <w:rPr>
          <w:rFonts w:cstheme="minorHAnsi"/>
          <w:sz w:val="24"/>
          <w:szCs w:val="24"/>
        </w:rPr>
        <w:t xml:space="preserve">whatever fraction of </w:t>
      </w:r>
      <w:r w:rsidR="00EA2B5D" w:rsidRPr="00ED4A45">
        <w:rPr>
          <w:rFonts w:cstheme="minorHAnsi"/>
          <w:sz w:val="24"/>
          <w:szCs w:val="24"/>
        </w:rPr>
        <w:t>an</w:t>
      </w:r>
      <w:r w:rsidR="00994B1D" w:rsidRPr="00ED4A45">
        <w:rPr>
          <w:rFonts w:cstheme="minorHAnsi"/>
          <w:sz w:val="24"/>
          <w:szCs w:val="24"/>
        </w:rPr>
        <w:t xml:space="preserve"> FTE meets their needs.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994B1D" w:rsidRPr="00ED4A45">
        <w:rPr>
          <w:rFonts w:cstheme="minorHAnsi"/>
          <w:sz w:val="24"/>
          <w:szCs w:val="24"/>
        </w:rPr>
        <w:t xml:space="preserve">HEART will </w:t>
      </w:r>
      <w:r w:rsidR="00D52716" w:rsidRPr="00ED4A45">
        <w:rPr>
          <w:rFonts w:cstheme="minorHAnsi"/>
          <w:sz w:val="24"/>
          <w:szCs w:val="24"/>
        </w:rPr>
        <w:t>hire and train the team and enter into agreements with each jurisdiction individually.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D52716" w:rsidRPr="00ED4A45">
        <w:rPr>
          <w:rFonts w:cstheme="minorHAnsi"/>
          <w:sz w:val="24"/>
          <w:szCs w:val="24"/>
        </w:rPr>
        <w:t xml:space="preserve">In recognition of </w:t>
      </w:r>
      <w:r w:rsidR="00F9405D" w:rsidRPr="00ED4A45">
        <w:rPr>
          <w:rFonts w:cstheme="minorHAnsi"/>
          <w:sz w:val="24"/>
          <w:szCs w:val="24"/>
        </w:rPr>
        <w:t xml:space="preserve">HEART’s </w:t>
      </w:r>
      <w:r w:rsidR="00EF4985" w:rsidRPr="00ED4A45">
        <w:rPr>
          <w:rFonts w:cstheme="minorHAnsi"/>
          <w:sz w:val="24"/>
          <w:szCs w:val="24"/>
        </w:rPr>
        <w:t>substantial commitment</w:t>
      </w:r>
      <w:r w:rsidR="00D52716" w:rsidRPr="00ED4A45">
        <w:rPr>
          <w:rFonts w:cstheme="minorHAnsi"/>
          <w:sz w:val="24"/>
          <w:szCs w:val="24"/>
        </w:rPr>
        <w:t xml:space="preserve"> </w:t>
      </w:r>
      <w:r w:rsidR="00F9405D" w:rsidRPr="00ED4A45">
        <w:rPr>
          <w:rFonts w:cstheme="minorHAnsi"/>
          <w:sz w:val="24"/>
          <w:szCs w:val="24"/>
        </w:rPr>
        <w:t>to</w:t>
      </w:r>
      <w:r w:rsidR="00D52716" w:rsidRPr="00ED4A45">
        <w:rPr>
          <w:rFonts w:cstheme="minorHAnsi"/>
          <w:sz w:val="24"/>
          <w:szCs w:val="24"/>
        </w:rPr>
        <w:t xml:space="preserve"> hir</w:t>
      </w:r>
      <w:r w:rsidR="00EF4985" w:rsidRPr="00ED4A45">
        <w:rPr>
          <w:rFonts w:cstheme="minorHAnsi"/>
          <w:sz w:val="24"/>
          <w:szCs w:val="24"/>
        </w:rPr>
        <w:t>e</w:t>
      </w:r>
      <w:r w:rsidR="00D52716" w:rsidRPr="00ED4A45">
        <w:rPr>
          <w:rFonts w:cstheme="minorHAnsi"/>
          <w:sz w:val="24"/>
          <w:szCs w:val="24"/>
        </w:rPr>
        <w:t xml:space="preserve"> and manag</w:t>
      </w:r>
      <w:r w:rsidR="00FA3A5F" w:rsidRPr="00ED4A45">
        <w:rPr>
          <w:rFonts w:cstheme="minorHAnsi"/>
          <w:sz w:val="24"/>
          <w:szCs w:val="24"/>
        </w:rPr>
        <w:t>e</w:t>
      </w:r>
      <w:r w:rsidR="00D52716" w:rsidRPr="00ED4A45">
        <w:rPr>
          <w:rFonts w:cstheme="minorHAnsi"/>
          <w:sz w:val="24"/>
          <w:szCs w:val="24"/>
        </w:rPr>
        <w:t xml:space="preserve"> staff</w:t>
      </w:r>
      <w:r w:rsidR="004721FD" w:rsidRPr="00ED4A45">
        <w:rPr>
          <w:rFonts w:cstheme="minorHAnsi"/>
          <w:sz w:val="24"/>
          <w:szCs w:val="24"/>
        </w:rPr>
        <w:t xml:space="preserve">, cities will be asked to commit to </w:t>
      </w:r>
      <w:r w:rsidR="004721FD" w:rsidRPr="00ED4A45">
        <w:rPr>
          <w:rFonts w:cstheme="minorHAnsi"/>
          <w:sz w:val="24"/>
          <w:szCs w:val="24"/>
        </w:rPr>
        <w:lastRenderedPageBreak/>
        <w:t>the program for 3 years to provide stability</w:t>
      </w:r>
      <w:r w:rsidR="00F9405D" w:rsidRPr="00ED4A45">
        <w:rPr>
          <w:rFonts w:cstheme="minorHAnsi"/>
          <w:sz w:val="24"/>
          <w:szCs w:val="24"/>
        </w:rPr>
        <w:t xml:space="preserve"> for the Team.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FA3A5F" w:rsidRPr="00ED4A45">
        <w:rPr>
          <w:rFonts w:cstheme="minorHAnsi"/>
          <w:sz w:val="24"/>
          <w:szCs w:val="24"/>
        </w:rPr>
        <w:t>That said, the level of FTE can be adjusted each year</w:t>
      </w:r>
      <w:r w:rsidR="00CC624A" w:rsidRPr="00ED4A45">
        <w:rPr>
          <w:rFonts w:cstheme="minorHAnsi"/>
          <w:sz w:val="24"/>
          <w:szCs w:val="24"/>
        </w:rPr>
        <w:t xml:space="preserve"> if other jurisdictions are interested in picking up more or less hours</w:t>
      </w:r>
      <w:r w:rsidR="00FA3A5F" w:rsidRPr="00ED4A45">
        <w:rPr>
          <w:rFonts w:cstheme="minorHAnsi"/>
          <w:sz w:val="24"/>
          <w:szCs w:val="24"/>
        </w:rPr>
        <w:t>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A70141" w:rsidRPr="00ED4A45">
        <w:rPr>
          <w:rFonts w:cstheme="minorHAnsi"/>
          <w:sz w:val="24"/>
          <w:szCs w:val="24"/>
        </w:rPr>
        <w:t>The hours worked by a Team member can, but do not need to, be on a “regular” schedule.</w:t>
      </w:r>
      <w:r w:rsidR="007A4E8F" w:rsidRPr="00ED4A45">
        <w:rPr>
          <w:rFonts w:cstheme="minorHAnsi"/>
          <w:sz w:val="24"/>
          <w:szCs w:val="24"/>
        </w:rPr>
        <w:t xml:space="preserve"> </w:t>
      </w:r>
      <w:r w:rsidR="00A70141" w:rsidRPr="00ED4A45">
        <w:rPr>
          <w:rFonts w:cstheme="minorHAnsi"/>
          <w:sz w:val="24"/>
          <w:szCs w:val="24"/>
        </w:rPr>
        <w:t>In practice, the requested FTE hours are expected to average out over each program year.</w:t>
      </w:r>
    </w:p>
    <w:p w14:paraId="246B6384" w14:textId="19F1A2A5" w:rsidR="00CC624A" w:rsidRPr="00ED4A45" w:rsidRDefault="00CC624A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>There are many aspects of the program that are still being developed, in close consultation with interested jurisdictions and HEART staff. For more information, please contact</w:t>
      </w:r>
    </w:p>
    <w:p w14:paraId="65F954E7" w14:textId="43B0C99D" w:rsidR="00CC624A" w:rsidRPr="00ED4A45" w:rsidRDefault="00CC624A">
      <w:pPr>
        <w:rPr>
          <w:rFonts w:cstheme="minorHAnsi"/>
          <w:sz w:val="24"/>
          <w:szCs w:val="24"/>
        </w:rPr>
      </w:pPr>
      <w:r w:rsidRPr="00ED4A45">
        <w:rPr>
          <w:rFonts w:cstheme="minorHAnsi"/>
          <w:sz w:val="24"/>
          <w:szCs w:val="24"/>
        </w:rPr>
        <w:t xml:space="preserve">Joshua Abrams, 510.761.6001, </w:t>
      </w:r>
      <w:hyperlink r:id="rId6" w:history="1">
        <w:r w:rsidRPr="00ED4A45">
          <w:rPr>
            <w:rStyle w:val="Hyperlink"/>
            <w:rFonts w:cstheme="minorHAnsi"/>
            <w:sz w:val="24"/>
            <w:szCs w:val="24"/>
          </w:rPr>
          <w:t>abrams@planningcollaborative.com</w:t>
        </w:r>
      </w:hyperlink>
      <w:r w:rsidRPr="00ED4A45">
        <w:rPr>
          <w:rFonts w:cstheme="minorHAnsi"/>
          <w:sz w:val="24"/>
          <w:szCs w:val="24"/>
        </w:rPr>
        <w:br/>
        <w:t xml:space="preserve">Sandy Council, </w:t>
      </w:r>
      <w:dir w:val="ltr">
        <w:r w:rsidRPr="00ED4A45">
          <w:rPr>
            <w:rFonts w:cstheme="minorHAnsi"/>
            <w:sz w:val="24"/>
            <w:szCs w:val="24"/>
          </w:rPr>
          <w:t>(650) 740-4540, sandycouncil24@gmail.com</w:t>
        </w:r>
        <w:r>
          <w:t>‬</w:t>
        </w:r>
        <w:r w:rsidR="00000000">
          <w:t>‬</w:t>
        </w:r>
      </w:dir>
    </w:p>
    <w:p w14:paraId="325C973C" w14:textId="77777777" w:rsidR="00FE06A9" w:rsidRDefault="00FE06A9">
      <w:pPr>
        <w:rPr>
          <w:rFonts w:cstheme="minorHAnsi"/>
          <w:b/>
          <w:bCs/>
          <w:sz w:val="24"/>
          <w:szCs w:val="24"/>
        </w:rPr>
      </w:pPr>
    </w:p>
    <w:p w14:paraId="7FCC1300" w14:textId="0AAD387C" w:rsidR="009647FC" w:rsidRPr="00FE06A9" w:rsidRDefault="00FE06A9">
      <w:pPr>
        <w:rPr>
          <w:rFonts w:cstheme="minorHAnsi"/>
          <w:b/>
          <w:bCs/>
          <w:sz w:val="28"/>
          <w:szCs w:val="28"/>
        </w:rPr>
      </w:pPr>
      <w:r w:rsidRPr="00FE06A9">
        <w:rPr>
          <w:rFonts w:cstheme="minorHAnsi"/>
          <w:b/>
          <w:bCs/>
          <w:sz w:val="28"/>
          <w:szCs w:val="28"/>
        </w:rPr>
        <w:t>Estimated Cost</w:t>
      </w:r>
      <w:r w:rsidR="00B424B8" w:rsidRPr="00FE06A9">
        <w:rPr>
          <w:rFonts w:cstheme="minorHAnsi"/>
          <w:b/>
          <w:bCs/>
          <w:sz w:val="28"/>
          <w:szCs w:val="28"/>
        </w:rPr>
        <w:t xml:space="preserve"> </w:t>
      </w:r>
      <w:r w:rsidR="007349BD" w:rsidRPr="00FE06A9">
        <w:rPr>
          <w:rFonts w:cstheme="minorHAnsi"/>
          <w:b/>
          <w:bCs/>
          <w:sz w:val="28"/>
          <w:szCs w:val="28"/>
        </w:rPr>
        <w:t>(</w:t>
      </w:r>
      <w:r w:rsidR="00CC624A" w:rsidRPr="00FE06A9">
        <w:rPr>
          <w:rFonts w:cstheme="minorHAnsi"/>
          <w:b/>
          <w:bCs/>
          <w:sz w:val="28"/>
          <w:szCs w:val="28"/>
        </w:rPr>
        <w:t xml:space="preserve">Based on </w:t>
      </w:r>
      <w:r w:rsidR="007349BD" w:rsidRPr="00FE06A9">
        <w:rPr>
          <w:rFonts w:cstheme="minorHAnsi"/>
          <w:b/>
          <w:bCs/>
          <w:sz w:val="28"/>
          <w:szCs w:val="28"/>
        </w:rPr>
        <w:t>$90</w:t>
      </w:r>
      <w:r w:rsidR="00CC624A" w:rsidRPr="00FE06A9">
        <w:rPr>
          <w:rFonts w:cstheme="minorHAnsi"/>
          <w:b/>
          <w:bCs/>
          <w:sz w:val="28"/>
          <w:szCs w:val="28"/>
        </w:rPr>
        <w:t xml:space="preserve"> per hour cost for jurisdictions</w:t>
      </w:r>
      <w:r w:rsidR="007349BD" w:rsidRPr="00FE06A9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leGrid"/>
        <w:tblW w:w="96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861"/>
        <w:gridCol w:w="1859"/>
        <w:gridCol w:w="1786"/>
        <w:gridCol w:w="1495"/>
      </w:tblGrid>
      <w:tr w:rsidR="00FE06A9" w:rsidRPr="00ED4A45" w14:paraId="1EF9D59B" w14:textId="77777777" w:rsidTr="00FE06A9">
        <w:tc>
          <w:tcPr>
            <w:tcW w:w="2684" w:type="dxa"/>
            <w:vAlign w:val="bottom"/>
          </w:tcPr>
          <w:p w14:paraId="4B7FFBAA" w14:textId="53382F45" w:rsidR="00FE06A9" w:rsidRPr="00ED4A45" w:rsidRDefault="00FE06A9" w:rsidP="00FE06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 Cost</w:t>
            </w:r>
          </w:p>
        </w:tc>
        <w:tc>
          <w:tcPr>
            <w:tcW w:w="1861" w:type="dxa"/>
            <w:vAlign w:val="bottom"/>
          </w:tcPr>
          <w:p w14:paraId="07E67AE2" w14:textId="48B6B3FE" w:rsidR="00FE06A9" w:rsidRPr="00ED4A45" w:rsidRDefault="00FE06A9" w:rsidP="00FE06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859" w:type="dxa"/>
            <w:vAlign w:val="bottom"/>
          </w:tcPr>
          <w:p w14:paraId="3004E693" w14:textId="135E4645" w:rsidR="00FE06A9" w:rsidRPr="00ED4A45" w:rsidRDefault="00FE06A9" w:rsidP="00FE06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1786" w:type="dxa"/>
            <w:vAlign w:val="bottom"/>
          </w:tcPr>
          <w:p w14:paraId="470E7144" w14:textId="6633A3BA" w:rsidR="00FE06A9" w:rsidRPr="00ED4A45" w:rsidRDefault="00FE06A9" w:rsidP="00FE06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Taxes/Work Comp</w:t>
            </w:r>
          </w:p>
        </w:tc>
        <w:tc>
          <w:tcPr>
            <w:tcW w:w="1495" w:type="dxa"/>
            <w:vAlign w:val="bottom"/>
          </w:tcPr>
          <w:p w14:paraId="101C0BB5" w14:textId="02BDB59A" w:rsidR="00FE06A9" w:rsidRPr="00ED4A45" w:rsidRDefault="00FE06A9" w:rsidP="00FE06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E06A9" w:rsidRPr="00ED4A45" w14:paraId="01345142" w14:textId="77777777" w:rsidTr="00FE06A9">
        <w:tc>
          <w:tcPr>
            <w:tcW w:w="2684" w:type="dxa"/>
            <w:vAlign w:val="bottom"/>
          </w:tcPr>
          <w:p w14:paraId="71844D48" w14:textId="04D064B8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Housing Staff Supervisor</w:t>
            </w:r>
          </w:p>
        </w:tc>
        <w:tc>
          <w:tcPr>
            <w:tcW w:w="1861" w:type="dxa"/>
            <w:vAlign w:val="bottom"/>
          </w:tcPr>
          <w:p w14:paraId="7B95C946" w14:textId="64D08BD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$170,000 </w:t>
            </w:r>
          </w:p>
        </w:tc>
        <w:tc>
          <w:tcPr>
            <w:tcW w:w="1859" w:type="dxa"/>
            <w:vAlign w:val="bottom"/>
          </w:tcPr>
          <w:p w14:paraId="3C578807" w14:textId="2F92A535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12,000 </w:t>
            </w:r>
          </w:p>
        </w:tc>
        <w:tc>
          <w:tcPr>
            <w:tcW w:w="1786" w:type="dxa"/>
            <w:vAlign w:val="bottom"/>
          </w:tcPr>
          <w:p w14:paraId="050A494A" w14:textId="6FE5DCE8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$12,000 </w:t>
            </w:r>
          </w:p>
        </w:tc>
        <w:tc>
          <w:tcPr>
            <w:tcW w:w="1495" w:type="dxa"/>
            <w:vAlign w:val="bottom"/>
          </w:tcPr>
          <w:p w14:paraId="76AA6011" w14:textId="730D56F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$194,000 </w:t>
            </w:r>
          </w:p>
        </w:tc>
      </w:tr>
      <w:tr w:rsidR="00FE06A9" w:rsidRPr="00ED4A45" w14:paraId="3212C79B" w14:textId="77777777" w:rsidTr="00FE06A9">
        <w:tc>
          <w:tcPr>
            <w:tcW w:w="2684" w:type="dxa"/>
            <w:vAlign w:val="bottom"/>
          </w:tcPr>
          <w:p w14:paraId="4F1E05CD" w14:textId="67A97F96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Housing Specialist</w:t>
            </w:r>
          </w:p>
        </w:tc>
        <w:tc>
          <w:tcPr>
            <w:tcW w:w="1861" w:type="dxa"/>
            <w:vAlign w:val="bottom"/>
          </w:tcPr>
          <w:p w14:paraId="4DD1657C" w14:textId="3B42F870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100,000 </w:t>
            </w:r>
          </w:p>
        </w:tc>
        <w:tc>
          <w:tcPr>
            <w:tcW w:w="1859" w:type="dxa"/>
            <w:vAlign w:val="bottom"/>
          </w:tcPr>
          <w:p w14:paraId="752F2D72" w14:textId="2A0F68C5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12,000 </w:t>
            </w:r>
          </w:p>
        </w:tc>
        <w:tc>
          <w:tcPr>
            <w:tcW w:w="1786" w:type="dxa"/>
            <w:vAlign w:val="bottom"/>
          </w:tcPr>
          <w:p w14:paraId="2DEF61BB" w14:textId="4356834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8,500 </w:t>
            </w:r>
          </w:p>
        </w:tc>
        <w:tc>
          <w:tcPr>
            <w:tcW w:w="1495" w:type="dxa"/>
            <w:vAlign w:val="bottom"/>
          </w:tcPr>
          <w:p w14:paraId="53850B63" w14:textId="040A3D46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120,500 </w:t>
            </w:r>
          </w:p>
        </w:tc>
      </w:tr>
      <w:tr w:rsidR="00FE06A9" w:rsidRPr="00ED4A45" w14:paraId="48CE5761" w14:textId="77777777" w:rsidTr="00FE06A9">
        <w:tc>
          <w:tcPr>
            <w:tcW w:w="2684" w:type="dxa"/>
            <w:vAlign w:val="bottom"/>
          </w:tcPr>
          <w:p w14:paraId="15805BB4" w14:textId="22AC40FF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Housing Specialist</w:t>
            </w:r>
          </w:p>
        </w:tc>
        <w:tc>
          <w:tcPr>
            <w:tcW w:w="1861" w:type="dxa"/>
            <w:vAlign w:val="bottom"/>
          </w:tcPr>
          <w:p w14:paraId="784ACC6C" w14:textId="2E7F68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100,000 </w:t>
            </w:r>
          </w:p>
        </w:tc>
        <w:tc>
          <w:tcPr>
            <w:tcW w:w="1859" w:type="dxa"/>
            <w:vAlign w:val="bottom"/>
          </w:tcPr>
          <w:p w14:paraId="689148BD" w14:textId="71E15AC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12,000 </w:t>
            </w:r>
          </w:p>
        </w:tc>
        <w:tc>
          <w:tcPr>
            <w:tcW w:w="1786" w:type="dxa"/>
            <w:vAlign w:val="bottom"/>
          </w:tcPr>
          <w:p w14:paraId="28A05E17" w14:textId="2741525B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8,500 </w:t>
            </w:r>
          </w:p>
        </w:tc>
        <w:tc>
          <w:tcPr>
            <w:tcW w:w="1495" w:type="dxa"/>
            <w:vAlign w:val="bottom"/>
          </w:tcPr>
          <w:p w14:paraId="2B46739F" w14:textId="7EAC5B6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120,500 </w:t>
            </w:r>
          </w:p>
        </w:tc>
      </w:tr>
      <w:tr w:rsidR="00FE06A9" w:rsidRPr="00ED4A45" w14:paraId="133ADF5C" w14:textId="77777777" w:rsidTr="00FE06A9">
        <w:tc>
          <w:tcPr>
            <w:tcW w:w="2684" w:type="dxa"/>
            <w:vAlign w:val="bottom"/>
          </w:tcPr>
          <w:p w14:paraId="79E96F09" w14:textId="353C925B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HEART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Admin Support</w:t>
            </w:r>
          </w:p>
        </w:tc>
        <w:tc>
          <w:tcPr>
            <w:tcW w:w="1861" w:type="dxa"/>
            <w:vAlign w:val="bottom"/>
          </w:tcPr>
          <w:p w14:paraId="0B55AB34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  <w:vAlign w:val="bottom"/>
          </w:tcPr>
          <w:p w14:paraId="709591FA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350E047B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14:paraId="75CEA272" w14:textId="6FC78F96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33,000 </w:t>
            </w:r>
          </w:p>
        </w:tc>
      </w:tr>
      <w:tr w:rsidR="00FE06A9" w:rsidRPr="00ED4A45" w14:paraId="1E40D35B" w14:textId="77777777" w:rsidTr="00FE06A9">
        <w:tc>
          <w:tcPr>
            <w:tcW w:w="2684" w:type="dxa"/>
            <w:vAlign w:val="bottom"/>
          </w:tcPr>
          <w:p w14:paraId="109072F9" w14:textId="55DC6839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ED Oversight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Project Work</w:t>
            </w:r>
          </w:p>
        </w:tc>
        <w:tc>
          <w:tcPr>
            <w:tcW w:w="1861" w:type="dxa"/>
            <w:vAlign w:val="bottom"/>
          </w:tcPr>
          <w:p w14:paraId="1097835E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  <w:vAlign w:val="bottom"/>
          </w:tcPr>
          <w:p w14:paraId="1F975683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0BDE9D42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14:paraId="7643B342" w14:textId="039740E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33,000 </w:t>
            </w:r>
          </w:p>
        </w:tc>
      </w:tr>
      <w:tr w:rsidR="00FE06A9" w:rsidRPr="00ED4A45" w14:paraId="3DBCB16C" w14:textId="77777777" w:rsidTr="00FE06A9">
        <w:tc>
          <w:tcPr>
            <w:tcW w:w="2684" w:type="dxa"/>
            <w:vAlign w:val="bottom"/>
          </w:tcPr>
          <w:p w14:paraId="1ACAB145" w14:textId="5CA2A55A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E/O Insurance</w:t>
            </w:r>
          </w:p>
        </w:tc>
        <w:tc>
          <w:tcPr>
            <w:tcW w:w="1861" w:type="dxa"/>
            <w:vAlign w:val="bottom"/>
          </w:tcPr>
          <w:p w14:paraId="6CFF7091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  <w:vAlign w:val="bottom"/>
          </w:tcPr>
          <w:p w14:paraId="1E8E55FA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5850F7E" w14:textId="77777777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14:paraId="6CB02D09" w14:textId="66AE650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5,000 </w:t>
            </w:r>
          </w:p>
        </w:tc>
      </w:tr>
      <w:tr w:rsidR="00FE06A9" w:rsidRPr="00ED4A45" w14:paraId="2DABA2D4" w14:textId="77777777" w:rsidTr="00FE06A9">
        <w:tc>
          <w:tcPr>
            <w:tcW w:w="2684" w:type="dxa"/>
            <w:vAlign w:val="bottom"/>
          </w:tcPr>
          <w:p w14:paraId="2EFAFC0E" w14:textId="6410D55C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>Contingency</w:t>
            </w:r>
          </w:p>
        </w:tc>
        <w:tc>
          <w:tcPr>
            <w:tcW w:w="1861" w:type="dxa"/>
            <w:vAlign w:val="bottom"/>
          </w:tcPr>
          <w:p w14:paraId="6DA47A6D" w14:textId="54904BEE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vAlign w:val="bottom"/>
          </w:tcPr>
          <w:p w14:paraId="59F9A387" w14:textId="1116F15B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vAlign w:val="bottom"/>
          </w:tcPr>
          <w:p w14:paraId="59035CAA" w14:textId="05E85623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vAlign w:val="bottom"/>
          </w:tcPr>
          <w:p w14:paraId="7106D1CD" w14:textId="6DCAEC5A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55,600 </w:t>
            </w:r>
          </w:p>
        </w:tc>
      </w:tr>
      <w:tr w:rsidR="00FE06A9" w:rsidRPr="00ED4A45" w14:paraId="0A6B42EC" w14:textId="77777777" w:rsidTr="00FE06A9">
        <w:tc>
          <w:tcPr>
            <w:tcW w:w="2684" w:type="dxa"/>
            <w:vAlign w:val="bottom"/>
          </w:tcPr>
          <w:p w14:paraId="2C927483" w14:textId="78E2B706" w:rsidR="00FE06A9" w:rsidRPr="00ED4A45" w:rsidRDefault="00FE06A9" w:rsidP="00FE06A9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Grand Total </w:t>
            </w:r>
          </w:p>
        </w:tc>
        <w:tc>
          <w:tcPr>
            <w:tcW w:w="1861" w:type="dxa"/>
            <w:vAlign w:val="bottom"/>
          </w:tcPr>
          <w:p w14:paraId="098C82BC" w14:textId="54A7D011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$370,000 </w:t>
            </w:r>
          </w:p>
        </w:tc>
        <w:tc>
          <w:tcPr>
            <w:tcW w:w="1859" w:type="dxa"/>
            <w:vAlign w:val="bottom"/>
          </w:tcPr>
          <w:p w14:paraId="6E802229" w14:textId="47914CCD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$36,000 </w:t>
            </w:r>
          </w:p>
        </w:tc>
        <w:tc>
          <w:tcPr>
            <w:tcW w:w="1786" w:type="dxa"/>
            <w:vAlign w:val="bottom"/>
          </w:tcPr>
          <w:p w14:paraId="44AB841E" w14:textId="1E72C616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$29,000 </w:t>
            </w:r>
          </w:p>
        </w:tc>
        <w:tc>
          <w:tcPr>
            <w:tcW w:w="1495" w:type="dxa"/>
            <w:vAlign w:val="bottom"/>
          </w:tcPr>
          <w:p w14:paraId="02F84B3E" w14:textId="311EE338" w:rsidR="00FE06A9" w:rsidRPr="00ED4A45" w:rsidRDefault="00FE06A9" w:rsidP="00FE06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$561,600 </w:t>
            </w:r>
          </w:p>
        </w:tc>
      </w:tr>
    </w:tbl>
    <w:p w14:paraId="3DCF17C2" w14:textId="77777777" w:rsidR="00FE06A9" w:rsidRDefault="00FE06A9">
      <w:pPr>
        <w:rPr>
          <w:rFonts w:cstheme="minorHAnsi"/>
          <w:b/>
          <w:bCs/>
          <w:sz w:val="24"/>
          <w:szCs w:val="24"/>
        </w:rPr>
      </w:pPr>
    </w:p>
    <w:p w14:paraId="7E6AD8F5" w14:textId="65205BBA" w:rsidR="00CC624A" w:rsidRPr="00FE06A9" w:rsidRDefault="00CC624A">
      <w:pPr>
        <w:rPr>
          <w:rFonts w:cstheme="minorHAnsi"/>
          <w:b/>
          <w:bCs/>
          <w:sz w:val="28"/>
          <w:szCs w:val="28"/>
        </w:rPr>
      </w:pPr>
      <w:r w:rsidRPr="00FE06A9">
        <w:rPr>
          <w:rFonts w:cstheme="minorHAnsi"/>
          <w:b/>
          <w:bCs/>
          <w:sz w:val="28"/>
          <w:szCs w:val="28"/>
        </w:rPr>
        <w:t xml:space="preserve">Cost </w:t>
      </w:r>
      <w:r w:rsidR="00ED4A45" w:rsidRPr="00FE06A9">
        <w:rPr>
          <w:rFonts w:cstheme="minorHAnsi"/>
          <w:b/>
          <w:bCs/>
          <w:sz w:val="28"/>
          <w:szCs w:val="28"/>
        </w:rPr>
        <w:t xml:space="preserve">per </w:t>
      </w:r>
      <w:r w:rsidR="00FE06A9">
        <w:rPr>
          <w:rFonts w:cstheme="minorHAnsi"/>
          <w:b/>
          <w:bCs/>
          <w:sz w:val="28"/>
          <w:szCs w:val="28"/>
        </w:rPr>
        <w:t xml:space="preserve">Fraction of a </w:t>
      </w:r>
      <w:r w:rsidR="00ED4A45" w:rsidRPr="00FE06A9">
        <w:rPr>
          <w:rFonts w:cstheme="minorHAnsi"/>
          <w:b/>
          <w:bCs/>
          <w:sz w:val="28"/>
          <w:szCs w:val="28"/>
        </w:rPr>
        <w:t>Full Time Equivalent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4A45" w:rsidRPr="00ED4A45" w14:paraId="2039D4E6" w14:textId="77777777" w:rsidTr="00ED4A45">
        <w:tc>
          <w:tcPr>
            <w:tcW w:w="1870" w:type="dxa"/>
          </w:tcPr>
          <w:p w14:paraId="4DB1E212" w14:textId="1CFA7033" w:rsidR="00ED4A45" w:rsidRPr="00ED4A45" w:rsidRDefault="00ED4A45" w:rsidP="001D53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cstheme="minorHAnsi"/>
                <w:b/>
                <w:bCs/>
                <w:sz w:val="24"/>
                <w:szCs w:val="24"/>
              </w:rPr>
              <w:t>Hours per week</w:t>
            </w:r>
          </w:p>
        </w:tc>
        <w:tc>
          <w:tcPr>
            <w:tcW w:w="1870" w:type="dxa"/>
          </w:tcPr>
          <w:p w14:paraId="3C3A99CA" w14:textId="5C6E7555" w:rsidR="00ED4A45" w:rsidRPr="00ED4A45" w:rsidRDefault="00ED4A45" w:rsidP="001D53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cstheme="minorHAnsi"/>
                <w:b/>
                <w:bCs/>
                <w:sz w:val="24"/>
                <w:szCs w:val="24"/>
              </w:rPr>
              <w:t xml:space="preserve">FTE </w:t>
            </w:r>
          </w:p>
        </w:tc>
        <w:tc>
          <w:tcPr>
            <w:tcW w:w="1870" w:type="dxa"/>
          </w:tcPr>
          <w:p w14:paraId="2F2ABEA3" w14:textId="6A684799" w:rsidR="00ED4A45" w:rsidRPr="00ED4A45" w:rsidRDefault="00ED4A45" w:rsidP="001D53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cstheme="minorHAnsi"/>
                <w:b/>
                <w:bCs/>
                <w:sz w:val="24"/>
                <w:szCs w:val="24"/>
              </w:rPr>
              <w:t xml:space="preserve">Low </w:t>
            </w:r>
          </w:p>
        </w:tc>
        <w:tc>
          <w:tcPr>
            <w:tcW w:w="1870" w:type="dxa"/>
          </w:tcPr>
          <w:p w14:paraId="16F20578" w14:textId="791EE3C5" w:rsidR="00ED4A45" w:rsidRPr="00ED4A45" w:rsidRDefault="00ED4A45" w:rsidP="001D53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cstheme="minorHAnsi"/>
                <w:b/>
                <w:bCs/>
                <w:sz w:val="24"/>
                <w:szCs w:val="24"/>
              </w:rPr>
              <w:t>Cost Based on $90 an hour</w:t>
            </w:r>
          </w:p>
        </w:tc>
        <w:tc>
          <w:tcPr>
            <w:tcW w:w="1870" w:type="dxa"/>
          </w:tcPr>
          <w:p w14:paraId="15E04E68" w14:textId="384A56D5" w:rsidR="00ED4A45" w:rsidRPr="00ED4A45" w:rsidRDefault="00ED4A45" w:rsidP="001D53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4A45">
              <w:rPr>
                <w:rFonts w:cstheme="minorHAnsi"/>
                <w:b/>
                <w:bCs/>
                <w:sz w:val="24"/>
                <w:szCs w:val="24"/>
              </w:rPr>
              <w:t>High</w:t>
            </w:r>
          </w:p>
        </w:tc>
      </w:tr>
      <w:tr w:rsidR="00ED4A45" w:rsidRPr="00ED4A45" w14:paraId="23853298" w14:textId="77777777" w:rsidTr="00ED4A45">
        <w:tc>
          <w:tcPr>
            <w:tcW w:w="1870" w:type="dxa"/>
          </w:tcPr>
          <w:p w14:paraId="65A95085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1870" w:type="dxa"/>
          </w:tcPr>
          <w:p w14:paraId="2B82FDC5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0.2 </w:t>
            </w:r>
          </w:p>
        </w:tc>
        <w:tc>
          <w:tcPr>
            <w:tcW w:w="1870" w:type="dxa"/>
          </w:tcPr>
          <w:p w14:paraId="5B4E4748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$33,000 </w:t>
            </w:r>
          </w:p>
        </w:tc>
        <w:tc>
          <w:tcPr>
            <w:tcW w:w="1870" w:type="dxa"/>
          </w:tcPr>
          <w:p w14:paraId="7141D48F" w14:textId="1E64CBB3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$37,440</w:t>
            </w:r>
          </w:p>
        </w:tc>
        <w:tc>
          <w:tcPr>
            <w:tcW w:w="1870" w:type="dxa"/>
          </w:tcPr>
          <w:p w14:paraId="65117164" w14:textId="5DC88922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$39,500</w:t>
            </w:r>
          </w:p>
        </w:tc>
      </w:tr>
      <w:tr w:rsidR="00ED4A45" w:rsidRPr="00ED4A45" w14:paraId="36EF5446" w14:textId="77777777" w:rsidTr="00ED4A45">
        <w:tc>
          <w:tcPr>
            <w:tcW w:w="1870" w:type="dxa"/>
          </w:tcPr>
          <w:p w14:paraId="47F2A512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42B371B0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 0.4 </w:t>
            </w:r>
          </w:p>
        </w:tc>
        <w:tc>
          <w:tcPr>
            <w:tcW w:w="1870" w:type="dxa"/>
          </w:tcPr>
          <w:p w14:paraId="791D5815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$66,000 </w:t>
            </w:r>
          </w:p>
        </w:tc>
        <w:tc>
          <w:tcPr>
            <w:tcW w:w="1870" w:type="dxa"/>
          </w:tcPr>
          <w:p w14:paraId="450DB4A3" w14:textId="652382FB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$74,880</w:t>
            </w:r>
          </w:p>
        </w:tc>
        <w:tc>
          <w:tcPr>
            <w:tcW w:w="1870" w:type="dxa"/>
          </w:tcPr>
          <w:p w14:paraId="75C91416" w14:textId="058471C8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$79,000</w:t>
            </w:r>
          </w:p>
        </w:tc>
      </w:tr>
      <w:tr w:rsidR="00ED4A45" w:rsidRPr="00ED4A45" w14:paraId="43B6FABE" w14:textId="77777777" w:rsidTr="00ED4A45">
        <w:tc>
          <w:tcPr>
            <w:tcW w:w="1870" w:type="dxa"/>
          </w:tcPr>
          <w:p w14:paraId="1680C82A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14:paraId="658BB8B7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 0.6 </w:t>
            </w:r>
          </w:p>
        </w:tc>
        <w:tc>
          <w:tcPr>
            <w:tcW w:w="1870" w:type="dxa"/>
          </w:tcPr>
          <w:p w14:paraId="3C3A2CEE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$99,000 </w:t>
            </w:r>
          </w:p>
        </w:tc>
        <w:tc>
          <w:tcPr>
            <w:tcW w:w="1870" w:type="dxa"/>
          </w:tcPr>
          <w:p w14:paraId="21263122" w14:textId="2B869589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$112,320</w:t>
            </w:r>
          </w:p>
        </w:tc>
        <w:tc>
          <w:tcPr>
            <w:tcW w:w="1870" w:type="dxa"/>
          </w:tcPr>
          <w:p w14:paraId="1EDA883F" w14:textId="39D7A6C9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$118,500</w:t>
            </w:r>
          </w:p>
        </w:tc>
      </w:tr>
      <w:tr w:rsidR="00ED4A45" w:rsidRPr="00ED4A45" w14:paraId="35F2936C" w14:textId="77777777" w:rsidTr="00ED4A45">
        <w:tc>
          <w:tcPr>
            <w:tcW w:w="1870" w:type="dxa"/>
          </w:tcPr>
          <w:p w14:paraId="5DBE1A99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32 </w:t>
            </w:r>
          </w:p>
        </w:tc>
        <w:tc>
          <w:tcPr>
            <w:tcW w:w="1870" w:type="dxa"/>
          </w:tcPr>
          <w:p w14:paraId="610F35AC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0.8 </w:t>
            </w:r>
          </w:p>
        </w:tc>
        <w:tc>
          <w:tcPr>
            <w:tcW w:w="1870" w:type="dxa"/>
          </w:tcPr>
          <w:p w14:paraId="1F8AFC60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$132,000 </w:t>
            </w:r>
          </w:p>
        </w:tc>
        <w:tc>
          <w:tcPr>
            <w:tcW w:w="1870" w:type="dxa"/>
          </w:tcPr>
          <w:p w14:paraId="5D92A750" w14:textId="31A895C6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$149,760</w:t>
            </w:r>
          </w:p>
        </w:tc>
        <w:tc>
          <w:tcPr>
            <w:tcW w:w="1870" w:type="dxa"/>
          </w:tcPr>
          <w:p w14:paraId="3200B024" w14:textId="51379D19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$158,000</w:t>
            </w:r>
          </w:p>
        </w:tc>
      </w:tr>
      <w:tr w:rsidR="00ED4A45" w:rsidRPr="00ED4A45" w14:paraId="437BF9D4" w14:textId="77777777" w:rsidTr="00ED4A45">
        <w:tc>
          <w:tcPr>
            <w:tcW w:w="1870" w:type="dxa"/>
          </w:tcPr>
          <w:p w14:paraId="360E5CAB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40 </w:t>
            </w:r>
          </w:p>
        </w:tc>
        <w:tc>
          <w:tcPr>
            <w:tcW w:w="1870" w:type="dxa"/>
          </w:tcPr>
          <w:p w14:paraId="6005DC11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1.0 </w:t>
            </w:r>
          </w:p>
        </w:tc>
        <w:tc>
          <w:tcPr>
            <w:tcW w:w="1870" w:type="dxa"/>
          </w:tcPr>
          <w:p w14:paraId="5BD8711C" w14:textId="7777777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 xml:space="preserve">$165,000 </w:t>
            </w:r>
          </w:p>
        </w:tc>
        <w:tc>
          <w:tcPr>
            <w:tcW w:w="1870" w:type="dxa"/>
          </w:tcPr>
          <w:p w14:paraId="7E62B34C" w14:textId="7C5A5CD7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$187,200</w:t>
            </w:r>
          </w:p>
        </w:tc>
        <w:tc>
          <w:tcPr>
            <w:tcW w:w="1870" w:type="dxa"/>
          </w:tcPr>
          <w:p w14:paraId="19781F75" w14:textId="5E29A318" w:rsidR="00ED4A45" w:rsidRPr="00ED4A45" w:rsidRDefault="00ED4A45" w:rsidP="00ED4A45">
            <w:pPr>
              <w:rPr>
                <w:rFonts w:cstheme="minorHAnsi"/>
                <w:sz w:val="24"/>
                <w:szCs w:val="24"/>
              </w:rPr>
            </w:pPr>
            <w:r w:rsidRPr="00ED4A45">
              <w:rPr>
                <w:rFonts w:cstheme="minorHAnsi"/>
                <w:sz w:val="24"/>
                <w:szCs w:val="24"/>
              </w:rPr>
              <w:t>$197,500</w:t>
            </w:r>
          </w:p>
        </w:tc>
      </w:tr>
    </w:tbl>
    <w:p w14:paraId="10BD2F5B" w14:textId="77777777" w:rsidR="00ED4A45" w:rsidRDefault="00ED4A45">
      <w:pPr>
        <w:rPr>
          <w:sz w:val="24"/>
          <w:szCs w:val="24"/>
        </w:rPr>
      </w:pPr>
    </w:p>
    <w:p w14:paraId="717F8845" w14:textId="444E73CC" w:rsidR="00B669AA" w:rsidRDefault="009C53B9">
      <w:pPr>
        <w:rPr>
          <w:sz w:val="24"/>
          <w:szCs w:val="24"/>
        </w:rPr>
      </w:pPr>
      <w:r>
        <w:rPr>
          <w:sz w:val="24"/>
          <w:szCs w:val="24"/>
        </w:rPr>
        <w:t>Startup</w:t>
      </w:r>
      <w:r w:rsidR="00DE3AC7">
        <w:rPr>
          <w:sz w:val="24"/>
          <w:szCs w:val="24"/>
        </w:rPr>
        <w:t xml:space="preserve"> costs such as laptops</w:t>
      </w:r>
      <w:r w:rsidR="007046F5">
        <w:rPr>
          <w:sz w:val="24"/>
          <w:szCs w:val="24"/>
        </w:rPr>
        <w:t>, HEART work stations</w:t>
      </w:r>
      <w:r>
        <w:rPr>
          <w:sz w:val="24"/>
          <w:szCs w:val="24"/>
        </w:rPr>
        <w:t xml:space="preserve"> and program design is being financially supported by the County of San Mateo.</w:t>
      </w:r>
    </w:p>
    <w:sectPr w:rsidR="00B66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A87A" w14:textId="77777777" w:rsidR="00016AB0" w:rsidRDefault="00016AB0" w:rsidP="0042198E">
      <w:pPr>
        <w:spacing w:after="0" w:line="240" w:lineRule="auto"/>
      </w:pPr>
      <w:r>
        <w:separator/>
      </w:r>
    </w:p>
  </w:endnote>
  <w:endnote w:type="continuationSeparator" w:id="0">
    <w:p w14:paraId="113708EC" w14:textId="77777777" w:rsidR="00016AB0" w:rsidRDefault="00016AB0" w:rsidP="0042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219E" w14:textId="77777777" w:rsidR="00016AB0" w:rsidRDefault="00016AB0" w:rsidP="0042198E">
      <w:pPr>
        <w:spacing w:after="0" w:line="240" w:lineRule="auto"/>
      </w:pPr>
      <w:r>
        <w:separator/>
      </w:r>
    </w:p>
  </w:footnote>
  <w:footnote w:type="continuationSeparator" w:id="0">
    <w:p w14:paraId="09548744" w14:textId="77777777" w:rsidR="00016AB0" w:rsidRDefault="00016AB0" w:rsidP="0042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7B44" w14:textId="076C9E96" w:rsidR="00CC624A" w:rsidRDefault="00CC624A" w:rsidP="0042198E">
    <w:pPr>
      <w:pStyle w:val="Header"/>
      <w:jc w:val="center"/>
    </w:pPr>
    <w:r>
      <w:rPr>
        <w:b/>
        <w:bCs/>
        <w:noProof/>
        <w:sz w:val="24"/>
        <w:szCs w:val="24"/>
      </w:rPr>
      <w:drawing>
        <wp:inline distT="0" distB="0" distL="0" distR="0" wp14:anchorId="6D0C8B0D" wp14:editId="153F5229">
          <wp:extent cx="990600" cy="58749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89" cy="6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8E890" w14:textId="39C718D7" w:rsidR="0042198E" w:rsidRDefault="0042198E" w:rsidP="004219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2"/>
    <w:rsid w:val="00016AB0"/>
    <w:rsid w:val="000A3BCB"/>
    <w:rsid w:val="001D0B0F"/>
    <w:rsid w:val="001D536D"/>
    <w:rsid w:val="002E0621"/>
    <w:rsid w:val="0034366A"/>
    <w:rsid w:val="003C1A1A"/>
    <w:rsid w:val="0042198E"/>
    <w:rsid w:val="004721FD"/>
    <w:rsid w:val="004E6463"/>
    <w:rsid w:val="005B3FEF"/>
    <w:rsid w:val="00671A15"/>
    <w:rsid w:val="007046F5"/>
    <w:rsid w:val="007349BD"/>
    <w:rsid w:val="007A4E8F"/>
    <w:rsid w:val="008B0BAC"/>
    <w:rsid w:val="009647FC"/>
    <w:rsid w:val="00994B1D"/>
    <w:rsid w:val="009C53B9"/>
    <w:rsid w:val="009D3D33"/>
    <w:rsid w:val="00A15BF5"/>
    <w:rsid w:val="00A20DBF"/>
    <w:rsid w:val="00A6591C"/>
    <w:rsid w:val="00A70141"/>
    <w:rsid w:val="00AF2833"/>
    <w:rsid w:val="00B35FD5"/>
    <w:rsid w:val="00B424B8"/>
    <w:rsid w:val="00B669AA"/>
    <w:rsid w:val="00BB6F91"/>
    <w:rsid w:val="00BF3B2C"/>
    <w:rsid w:val="00C34F9A"/>
    <w:rsid w:val="00CC624A"/>
    <w:rsid w:val="00CC7F45"/>
    <w:rsid w:val="00CD1110"/>
    <w:rsid w:val="00D320BF"/>
    <w:rsid w:val="00D52716"/>
    <w:rsid w:val="00DB1EB2"/>
    <w:rsid w:val="00DB4108"/>
    <w:rsid w:val="00DE3AC7"/>
    <w:rsid w:val="00EA2B5D"/>
    <w:rsid w:val="00ED4A45"/>
    <w:rsid w:val="00EF4985"/>
    <w:rsid w:val="00F9405D"/>
    <w:rsid w:val="00FA3A5F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89A"/>
  <w15:chartTrackingRefBased/>
  <w15:docId w15:val="{BF7685A6-B83C-4204-B65D-42DD65A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E"/>
  </w:style>
  <w:style w:type="paragraph" w:styleId="Footer">
    <w:name w:val="footer"/>
    <w:basedOn w:val="Normal"/>
    <w:link w:val="FooterChar"/>
    <w:uiPriority w:val="99"/>
    <w:unhideWhenUsed/>
    <w:rsid w:val="004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E"/>
  </w:style>
  <w:style w:type="character" w:styleId="Hyperlink">
    <w:name w:val="Hyperlink"/>
    <w:basedOn w:val="DefaultParagraphFont"/>
    <w:uiPriority w:val="99"/>
    <w:unhideWhenUsed/>
    <w:rsid w:val="00CC6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ams@planningcollaborat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Council</dc:creator>
  <cp:keywords/>
  <dc:description/>
  <cp:lastModifiedBy>Sandy Council</cp:lastModifiedBy>
  <cp:revision>4</cp:revision>
  <dcterms:created xsi:type="dcterms:W3CDTF">2023-03-16T03:41:00Z</dcterms:created>
  <dcterms:modified xsi:type="dcterms:W3CDTF">2023-03-16T15:58:00Z</dcterms:modified>
</cp:coreProperties>
</file>