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45DB" w14:textId="77777777" w:rsidR="009E2A18" w:rsidRDefault="009E2A18" w:rsidP="0063303C">
      <w:pPr>
        <w:contextualSpacing/>
        <w:rPr>
          <w:rFonts w:ascii="Calibri" w:hAnsi="Calibri" w:cs="Calibri"/>
        </w:rPr>
      </w:pPr>
    </w:p>
    <w:p w14:paraId="7DA72C4A" w14:textId="035128F8" w:rsidR="009E2A18" w:rsidRDefault="009E2A18" w:rsidP="009E2A18">
      <w:pPr>
        <w:pBdr>
          <w:top w:val="single" w:sz="4" w:space="1" w:color="auto"/>
          <w:bottom w:val="single" w:sz="4" w:space="1" w:color="auto"/>
        </w:pBdr>
        <w:tabs>
          <w:tab w:val="left" w:pos="1584"/>
          <w:tab w:val="center" w:pos="4680"/>
        </w:tabs>
        <w:jc w:val="center"/>
        <w:rPr>
          <w:rFonts w:ascii="Century Gothic" w:hAnsi="Century Gothic"/>
          <w:b/>
          <w:bCs/>
          <w:sz w:val="52"/>
          <w:szCs w:val="40"/>
        </w:rPr>
      </w:pPr>
      <w:r>
        <w:rPr>
          <w:rFonts w:ascii="Century Gothic" w:hAnsi="Century Gothic"/>
          <w:b/>
          <w:bCs/>
          <w:sz w:val="52"/>
          <w:szCs w:val="40"/>
        </w:rPr>
        <w:t>ADU New Laws Summary - DRAFT</w:t>
      </w:r>
    </w:p>
    <w:p w14:paraId="115B1BDB" w14:textId="0FD50577" w:rsidR="009E2A18" w:rsidRPr="005465AA" w:rsidRDefault="009E2A18" w:rsidP="009E2A18">
      <w:pPr>
        <w:pBdr>
          <w:top w:val="single" w:sz="4" w:space="1" w:color="auto"/>
          <w:bottom w:val="single" w:sz="4" w:space="1" w:color="auto"/>
        </w:pBdr>
        <w:tabs>
          <w:tab w:val="left" w:pos="1584"/>
          <w:tab w:val="center" w:pos="4680"/>
        </w:tabs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January 23, 2020</w:t>
      </w:r>
    </w:p>
    <w:p w14:paraId="35D9BFFD" w14:textId="77777777" w:rsidR="009E2A18" w:rsidRDefault="009E2A18" w:rsidP="0063303C">
      <w:pPr>
        <w:contextualSpacing/>
        <w:rPr>
          <w:rFonts w:ascii="Calibri" w:hAnsi="Calibri" w:cs="Calibri"/>
        </w:rPr>
      </w:pPr>
    </w:p>
    <w:p w14:paraId="44A5016A" w14:textId="45284B33" w:rsidR="008277BC" w:rsidRDefault="008277BC" w:rsidP="0063303C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On January 1, 2020, </w:t>
      </w:r>
      <w:r w:rsidR="007C2A22">
        <w:rPr>
          <w:rFonts w:ascii="Calibri" w:hAnsi="Calibri" w:cs="Calibri"/>
        </w:rPr>
        <w:t>six</w:t>
      </w:r>
      <w:r>
        <w:rPr>
          <w:rFonts w:ascii="Calibri" w:hAnsi="Calibri" w:cs="Calibri"/>
        </w:rPr>
        <w:t xml:space="preserve"> new laws went into effect</w:t>
      </w:r>
      <w:r w:rsidR="00364171">
        <w:rPr>
          <w:rFonts w:ascii="Calibri" w:hAnsi="Calibri" w:cs="Calibri"/>
        </w:rPr>
        <w:t xml:space="preserve"> that </w:t>
      </w:r>
      <w:r>
        <w:rPr>
          <w:rFonts w:ascii="Calibri" w:hAnsi="Calibri" w:cs="Calibri"/>
        </w:rPr>
        <w:t xml:space="preserve">define the maximum standards local jurisdictions can apply to </w:t>
      </w:r>
      <w:r w:rsidR="00364171">
        <w:rPr>
          <w:rFonts w:ascii="Calibri" w:hAnsi="Calibri" w:cs="Calibri"/>
        </w:rPr>
        <w:t>Accessory Dwelling Units (ADUs) and Junior Accessory Dwelling Units (JADUs)</w:t>
      </w:r>
      <w:r w:rsidR="00364171">
        <w:rPr>
          <w:rStyle w:val="FootnoteReference"/>
          <w:rFonts w:ascii="Calibri" w:hAnsi="Calibri" w:cs="Calibri"/>
        </w:rPr>
        <w:footnoteReference w:id="1"/>
      </w:r>
      <w:r w:rsidR="0036417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Special rules apply to four types of ADUs/JADUS</w:t>
      </w:r>
      <w:r w:rsidR="00FE25E6">
        <w:rPr>
          <w:rFonts w:ascii="Calibri" w:hAnsi="Calibri" w:cs="Calibri"/>
        </w:rPr>
        <w:t xml:space="preserve">, listed under </w:t>
      </w:r>
      <w:r w:rsidR="00586E87">
        <w:rPr>
          <w:rFonts w:ascii="Calibri" w:hAnsi="Calibri" w:cs="Calibri"/>
        </w:rPr>
        <w:t>s</w:t>
      </w:r>
      <w:r w:rsidR="00FE25E6">
        <w:rPr>
          <w:rFonts w:ascii="Calibri" w:hAnsi="Calibri" w:cs="Calibri"/>
        </w:rPr>
        <w:t xml:space="preserve">ubsection </w:t>
      </w:r>
      <w:r w:rsidR="007C2A22">
        <w:rPr>
          <w:rFonts w:ascii="Calibri" w:hAnsi="Calibri" w:cs="Calibri"/>
        </w:rPr>
        <w:t>(e)</w:t>
      </w:r>
      <w:r w:rsidR="00FE25E6">
        <w:rPr>
          <w:rFonts w:ascii="Calibri" w:hAnsi="Calibri" w:cs="Calibri"/>
        </w:rPr>
        <w:t xml:space="preserve"> of AB 68</w:t>
      </w:r>
      <w:r>
        <w:rPr>
          <w:rFonts w:ascii="Calibri" w:hAnsi="Calibri" w:cs="Calibri"/>
        </w:rPr>
        <w:t>:</w:t>
      </w:r>
    </w:p>
    <w:p w14:paraId="1614C544" w14:textId="77777777" w:rsidR="00CA0786" w:rsidRDefault="00CA0786" w:rsidP="0063303C">
      <w:pPr>
        <w:contextualSpacing/>
        <w:rPr>
          <w:rFonts w:ascii="Calibri" w:hAnsi="Calibri" w:cs="Calibri"/>
        </w:rPr>
      </w:pPr>
    </w:p>
    <w:p w14:paraId="79858198" w14:textId="3BDE2F1E" w:rsidR="008277BC" w:rsidRDefault="008277BC" w:rsidP="0063303C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8277BC">
        <w:rPr>
          <w:rFonts w:ascii="Calibri" w:hAnsi="Calibri" w:cs="Calibri"/>
        </w:rPr>
        <w:t>conversions of existing space</w:t>
      </w:r>
    </w:p>
    <w:p w14:paraId="7E3E2848" w14:textId="3B6EA3A4" w:rsidR="008277BC" w:rsidRDefault="008277BC" w:rsidP="0063303C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8277BC">
        <w:rPr>
          <w:rFonts w:ascii="Calibri" w:hAnsi="Calibri" w:cs="Calibri"/>
        </w:rPr>
        <w:t>new construction of a detached ADU up to 800 sq ft</w:t>
      </w:r>
      <w:r>
        <w:rPr>
          <w:rFonts w:ascii="Calibri" w:hAnsi="Calibri" w:cs="Calibri"/>
        </w:rPr>
        <w:t xml:space="preserve"> (one</w:t>
      </w:r>
      <w:r w:rsidRPr="008277BC">
        <w:rPr>
          <w:rFonts w:ascii="Calibri" w:hAnsi="Calibri" w:cs="Calibri"/>
        </w:rPr>
        <w:t xml:space="preserve"> JADU also permitted</w:t>
      </w:r>
      <w:r>
        <w:rPr>
          <w:rFonts w:ascii="Calibri" w:hAnsi="Calibri" w:cs="Calibri"/>
        </w:rPr>
        <w:t>)</w:t>
      </w:r>
    </w:p>
    <w:p w14:paraId="2E33249E" w14:textId="45236B8D" w:rsidR="008277BC" w:rsidRDefault="008277BC" w:rsidP="0063303C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8277BC">
        <w:rPr>
          <w:rFonts w:ascii="Calibri" w:hAnsi="Calibri" w:cs="Calibri"/>
        </w:rPr>
        <w:t xml:space="preserve">multifamily with two detached </w:t>
      </w:r>
      <w:r>
        <w:rPr>
          <w:rFonts w:ascii="Calibri" w:hAnsi="Calibri" w:cs="Calibri"/>
        </w:rPr>
        <w:t>ADUs</w:t>
      </w:r>
    </w:p>
    <w:p w14:paraId="5632D7FC" w14:textId="4F8C675A" w:rsidR="008277BC" w:rsidRPr="00CA0786" w:rsidRDefault="008277BC" w:rsidP="0063303C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8277BC">
        <w:rPr>
          <w:rFonts w:ascii="Calibri" w:hAnsi="Calibri" w:cs="Calibri"/>
        </w:rPr>
        <w:t xml:space="preserve">multifamily with one detached </w:t>
      </w:r>
      <w:r>
        <w:rPr>
          <w:rFonts w:ascii="Calibri" w:hAnsi="Calibri" w:cs="Calibri"/>
        </w:rPr>
        <w:t xml:space="preserve">ADU </w:t>
      </w:r>
      <w:r w:rsidRPr="008277BC">
        <w:rPr>
          <w:rFonts w:ascii="Calibri" w:hAnsi="Calibri" w:cs="Calibri"/>
        </w:rPr>
        <w:t xml:space="preserve">and </w:t>
      </w:r>
      <w:r w:rsidR="009B1149">
        <w:rPr>
          <w:rFonts w:ascii="Calibri" w:hAnsi="Calibri" w:cs="Calibri"/>
        </w:rPr>
        <w:t xml:space="preserve">attached </w:t>
      </w:r>
      <w:r w:rsidR="00CA0786">
        <w:rPr>
          <w:rFonts w:ascii="Calibri" w:hAnsi="Calibri" w:cs="Calibri"/>
        </w:rPr>
        <w:t>ADU</w:t>
      </w:r>
      <w:r w:rsidR="009B1149">
        <w:rPr>
          <w:rFonts w:ascii="Calibri" w:hAnsi="Calibri" w:cs="Calibri"/>
        </w:rPr>
        <w:t>s up to 25 percent of existing units</w:t>
      </w:r>
      <w:r w:rsidR="00CA0786">
        <w:rPr>
          <w:rFonts w:ascii="Calibri" w:hAnsi="Calibri" w:cs="Calibri"/>
        </w:rPr>
        <w:t xml:space="preserve"> (</w:t>
      </w:r>
      <w:r w:rsidRPr="008277BC">
        <w:rPr>
          <w:rFonts w:ascii="Calibri" w:hAnsi="Calibri" w:cs="Calibri"/>
        </w:rPr>
        <w:t>within existing non-livable space</w:t>
      </w:r>
      <w:r w:rsidR="009B1149">
        <w:rPr>
          <w:rFonts w:ascii="Calibri" w:hAnsi="Calibri" w:cs="Calibri"/>
        </w:rPr>
        <w:t xml:space="preserve"> like garages or storage areas</w:t>
      </w:r>
      <w:r w:rsidR="00CA0786">
        <w:rPr>
          <w:rFonts w:ascii="Calibri" w:hAnsi="Calibri" w:cs="Calibri"/>
        </w:rPr>
        <w:t>)</w:t>
      </w:r>
    </w:p>
    <w:p w14:paraId="54D6E267" w14:textId="77777777" w:rsidR="00CA0786" w:rsidRDefault="00CA0786" w:rsidP="0063303C">
      <w:pPr>
        <w:contextualSpacing/>
        <w:rPr>
          <w:rFonts w:ascii="Calibri" w:hAnsi="Calibri" w:cs="Calibri"/>
        </w:rPr>
      </w:pPr>
    </w:p>
    <w:p w14:paraId="49261B74" w14:textId="128D6135" w:rsidR="00CA0786" w:rsidRPr="00CA0786" w:rsidRDefault="00CA0786" w:rsidP="0063303C">
      <w:pPr>
        <w:contextualSpacing/>
        <w:rPr>
          <w:rFonts w:ascii="Calibri" w:hAnsi="Calibri" w:cs="Calibri"/>
          <w:b/>
          <w:bCs/>
        </w:rPr>
      </w:pPr>
      <w:r w:rsidRPr="00CA0786">
        <w:rPr>
          <w:rFonts w:ascii="Calibri" w:hAnsi="Calibri" w:cs="Calibri"/>
          <w:b/>
          <w:bCs/>
        </w:rPr>
        <w:t>Overview of New Rules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45"/>
        <w:gridCol w:w="7020"/>
      </w:tblGrid>
      <w:tr w:rsidR="00BD32DC" w14:paraId="244981F4" w14:textId="77777777" w:rsidTr="007C2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433EEAB1" w14:textId="1E9E3287" w:rsidR="00BD32DC" w:rsidRDefault="00BD32DC" w:rsidP="0063303C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Amnesty </w:t>
            </w:r>
          </w:p>
        </w:tc>
        <w:tc>
          <w:tcPr>
            <w:tcW w:w="7020" w:type="dxa"/>
            <w:vAlign w:val="center"/>
          </w:tcPr>
          <w:p w14:paraId="7B0159DC" w14:textId="58022E67" w:rsidR="00BD32DC" w:rsidRPr="00BD32DC" w:rsidRDefault="00BD32DC" w:rsidP="00BD32DC">
            <w:pPr>
              <w:pStyle w:val="ListParagraph"/>
              <w:numPr>
                <w:ilvl w:val="0"/>
                <w:numId w:val="30"/>
              </w:numPr>
              <w:spacing w:after="60"/>
              <w:ind w:right="-250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BD32DC">
              <w:rPr>
                <w:rFonts w:ascii="Calibri" w:hAnsi="Calibri" w:cs="Calibri"/>
                <w:b w:val="0"/>
                <w:bCs w:val="0"/>
              </w:rPr>
              <w:t xml:space="preserve">Owners can request delayed enforcement for five years if no </w:t>
            </w:r>
          </w:p>
          <w:p w14:paraId="5FBE582C" w14:textId="1A6A85B4" w:rsidR="00BD32DC" w:rsidRPr="00BD32DC" w:rsidRDefault="00BD32DC" w:rsidP="00BD32DC">
            <w:pPr>
              <w:pStyle w:val="ListParagraph"/>
              <w:spacing w:after="60"/>
              <w:ind w:right="-250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safety issues</w:t>
            </w:r>
            <w:r w:rsidR="00FE25E6">
              <w:rPr>
                <w:rFonts w:ascii="Calibri" w:hAnsi="Calibri" w:cs="Calibri"/>
                <w:b w:val="0"/>
                <w:bCs w:val="0"/>
              </w:rPr>
              <w:t xml:space="preserve">, </w:t>
            </w:r>
            <w:r>
              <w:rPr>
                <w:rFonts w:ascii="Calibri" w:hAnsi="Calibri" w:cs="Calibri"/>
                <w:b w:val="0"/>
                <w:bCs w:val="0"/>
              </w:rPr>
              <w:t>sunsets 2030</w:t>
            </w:r>
          </w:p>
        </w:tc>
      </w:tr>
      <w:tr w:rsidR="00364171" w14:paraId="4F350D51" w14:textId="77777777" w:rsidTr="007C2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77B5463C" w14:textId="228B375E" w:rsidR="00364171" w:rsidRPr="00CA0786" w:rsidRDefault="00BD32DC" w:rsidP="0063303C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Impact </w:t>
            </w:r>
            <w:r w:rsidR="00364171" w:rsidRPr="00CA0786">
              <w:rPr>
                <w:rFonts w:ascii="Calibri" w:hAnsi="Calibri" w:cs="Calibri"/>
              </w:rPr>
              <w:t>Fees</w:t>
            </w:r>
          </w:p>
        </w:tc>
        <w:tc>
          <w:tcPr>
            <w:tcW w:w="7020" w:type="dxa"/>
            <w:vAlign w:val="center"/>
          </w:tcPr>
          <w:p w14:paraId="0900DE6A" w14:textId="04272A1A" w:rsidR="00364171" w:rsidRPr="00BD32DC" w:rsidRDefault="00CA0786" w:rsidP="0063303C">
            <w:pPr>
              <w:pStyle w:val="ListParagraph"/>
              <w:numPr>
                <w:ilvl w:val="0"/>
                <w:numId w:val="11"/>
              </w:numPr>
              <w:spacing w:after="60"/>
              <w:ind w:right="-2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D32DC">
              <w:rPr>
                <w:rFonts w:ascii="Calibri" w:hAnsi="Calibri" w:cs="Calibri"/>
              </w:rPr>
              <w:t>No</w:t>
            </w:r>
            <w:r w:rsidR="00BD32DC" w:rsidRPr="00BD32DC">
              <w:rPr>
                <w:rFonts w:ascii="Calibri" w:hAnsi="Calibri" w:cs="Calibri"/>
              </w:rPr>
              <w:t xml:space="preserve">ne </w:t>
            </w:r>
            <w:r w:rsidRPr="00BD32DC">
              <w:rPr>
                <w:rFonts w:ascii="Calibri" w:hAnsi="Calibri" w:cs="Calibri"/>
              </w:rPr>
              <w:t>under 750 sq ft</w:t>
            </w:r>
          </w:p>
          <w:p w14:paraId="00545467" w14:textId="110BF8A2" w:rsidR="0063303C" w:rsidRPr="0063303C" w:rsidRDefault="00CA0786" w:rsidP="0063303C">
            <w:pPr>
              <w:pStyle w:val="ListParagraph"/>
              <w:numPr>
                <w:ilvl w:val="0"/>
                <w:numId w:val="11"/>
              </w:numPr>
              <w:spacing w:after="60"/>
              <w:ind w:right="-2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BD32DC">
              <w:rPr>
                <w:rFonts w:ascii="Calibri" w:hAnsi="Calibri" w:cs="Calibri"/>
              </w:rPr>
              <w:t>Proportional</w:t>
            </w:r>
            <w:r w:rsidR="00BD32DC" w:rsidRPr="00BD32DC">
              <w:rPr>
                <w:rFonts w:ascii="Calibri" w:hAnsi="Calibri" w:cs="Calibri"/>
              </w:rPr>
              <w:t xml:space="preserve"> to primary unit </w:t>
            </w:r>
            <w:r w:rsidRPr="00BD32DC">
              <w:rPr>
                <w:rFonts w:ascii="Calibri" w:hAnsi="Calibri" w:cs="Calibri"/>
              </w:rPr>
              <w:t>over 750 sq ft</w:t>
            </w:r>
          </w:p>
        </w:tc>
      </w:tr>
      <w:tr w:rsidR="007C2A22" w14:paraId="6E854A85" w14:textId="77777777" w:rsidTr="007C2A22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414CB61D" w14:textId="42E2DC61" w:rsidR="00364171" w:rsidRPr="00CA0786" w:rsidRDefault="00364171" w:rsidP="0063303C">
            <w:pPr>
              <w:contextualSpacing/>
              <w:rPr>
                <w:rFonts w:ascii="Calibri" w:hAnsi="Calibri" w:cs="Calibri"/>
              </w:rPr>
            </w:pPr>
            <w:r w:rsidRPr="00CA0786">
              <w:rPr>
                <w:rFonts w:ascii="Calibri" w:hAnsi="Calibri" w:cs="Calibri"/>
              </w:rPr>
              <w:t>JADUs</w:t>
            </w:r>
          </w:p>
        </w:tc>
        <w:tc>
          <w:tcPr>
            <w:tcW w:w="7020" w:type="dxa"/>
            <w:vAlign w:val="center"/>
          </w:tcPr>
          <w:p w14:paraId="30395680" w14:textId="075117EF" w:rsidR="0063303C" w:rsidRDefault="0063303C" w:rsidP="0063303C">
            <w:pPr>
              <w:pStyle w:val="ListParagraph"/>
              <w:numPr>
                <w:ilvl w:val="0"/>
                <w:numId w:val="2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 be allowed</w:t>
            </w:r>
          </w:p>
          <w:p w14:paraId="668940F1" w14:textId="66352605" w:rsidR="00075107" w:rsidRDefault="00075107" w:rsidP="0063303C">
            <w:pPr>
              <w:pStyle w:val="ListParagraph"/>
              <w:numPr>
                <w:ilvl w:val="0"/>
                <w:numId w:val="2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Owner occupancy </w:t>
            </w:r>
            <w:r w:rsidR="0063303C">
              <w:t>required</w:t>
            </w:r>
          </w:p>
          <w:p w14:paraId="36F360A2" w14:textId="503A4FCA" w:rsidR="0063303C" w:rsidRPr="0063303C" w:rsidRDefault="00BD32DC" w:rsidP="0063303C">
            <w:pPr>
              <w:pStyle w:val="ListParagraph"/>
              <w:numPr>
                <w:ilvl w:val="0"/>
                <w:numId w:val="2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JADU can be in</w:t>
            </w:r>
            <w:r w:rsidR="00075107">
              <w:t xml:space="preserve"> addition to </w:t>
            </w:r>
            <w:r w:rsidR="0063303C">
              <w:t xml:space="preserve">new detached </w:t>
            </w:r>
            <w:r w:rsidR="00075107">
              <w:t xml:space="preserve">ADU </w:t>
            </w:r>
            <w:r w:rsidR="0063303C" w:rsidRPr="0063303C">
              <w:rPr>
                <w:rFonts w:ascii="Calibri" w:hAnsi="Calibri" w:cs="Calibri"/>
              </w:rPr>
              <w:t>up to 800 sq ft on the same single-family lot, with some limitations</w:t>
            </w:r>
          </w:p>
        </w:tc>
      </w:tr>
      <w:tr w:rsidR="00364171" w14:paraId="3FA12D07" w14:textId="77777777" w:rsidTr="007C2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A88C97B" w14:textId="2EF4842A" w:rsidR="00364171" w:rsidRPr="00CA0786" w:rsidRDefault="00364171" w:rsidP="0063303C">
            <w:pPr>
              <w:contextualSpacing/>
              <w:rPr>
                <w:rFonts w:ascii="Calibri" w:hAnsi="Calibri" w:cs="Calibri"/>
              </w:rPr>
            </w:pPr>
            <w:r w:rsidRPr="00CA0786">
              <w:rPr>
                <w:rFonts w:ascii="Calibri" w:hAnsi="Calibri" w:cs="Calibri"/>
              </w:rPr>
              <w:t>Location</w:t>
            </w:r>
          </w:p>
        </w:tc>
        <w:tc>
          <w:tcPr>
            <w:tcW w:w="7020" w:type="dxa"/>
            <w:vAlign w:val="center"/>
          </w:tcPr>
          <w:p w14:paraId="3CA61C38" w14:textId="6E8BF037" w:rsidR="00364171" w:rsidRPr="00C300B1" w:rsidRDefault="00C300B1" w:rsidP="00C300B1">
            <w:pPr>
              <w:pStyle w:val="ListParagraph"/>
              <w:numPr>
                <w:ilvl w:val="0"/>
                <w:numId w:val="2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</w:rPr>
              <w:t>Allowed in all residential and mixed-use zones with limited exceptions</w:t>
            </w:r>
            <w:r w:rsidR="00FE25E6">
              <w:rPr>
                <w:rFonts w:ascii="Calibri" w:hAnsi="Calibri" w:cs="Calibri"/>
              </w:rPr>
              <w:t xml:space="preserve">, such as </w:t>
            </w:r>
            <w:r>
              <w:rPr>
                <w:rFonts w:ascii="Calibri" w:hAnsi="Calibri" w:cs="Calibri"/>
              </w:rPr>
              <w:t>traffic flow, water, sewer or public safety</w:t>
            </w:r>
          </w:p>
        </w:tc>
      </w:tr>
      <w:tr w:rsidR="00BD32DC" w14:paraId="6CF33E7F" w14:textId="77777777" w:rsidTr="007C2A22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559D6524" w14:textId="64426084" w:rsidR="00BD32DC" w:rsidRPr="00CA0786" w:rsidRDefault="00BD32DC" w:rsidP="0063303C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Lot Size</w:t>
            </w:r>
            <w:r w:rsidR="007C2A22">
              <w:rPr>
                <w:rFonts w:ascii="Calibri" w:hAnsi="Calibri" w:cs="Calibri"/>
              </w:rPr>
              <w:t xml:space="preserve"> &amp; Coverage</w:t>
            </w:r>
          </w:p>
        </w:tc>
        <w:tc>
          <w:tcPr>
            <w:tcW w:w="7020" w:type="dxa"/>
            <w:vAlign w:val="center"/>
          </w:tcPr>
          <w:p w14:paraId="167CDEDF" w14:textId="0733AFF8" w:rsidR="00FE25E6" w:rsidRDefault="001C750D" w:rsidP="00C300B1">
            <w:pPr>
              <w:pStyle w:val="ListParagraph"/>
              <w:numPr>
                <w:ilvl w:val="0"/>
                <w:numId w:val="29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Lot size c</w:t>
            </w:r>
            <w:r w:rsidR="00BD32DC">
              <w:rPr>
                <w:rFonts w:ascii="Calibri" w:hAnsi="Calibri" w:cs="Calibri"/>
              </w:rPr>
              <w:t xml:space="preserve">an no longer </w:t>
            </w:r>
            <w:r w:rsidR="00FE25E6">
              <w:rPr>
                <w:rFonts w:ascii="Calibri" w:hAnsi="Calibri" w:cs="Calibri"/>
              </w:rPr>
              <w:t>be considered for</w:t>
            </w:r>
            <w:r w:rsidR="00BD32DC">
              <w:rPr>
                <w:rFonts w:ascii="Calibri" w:hAnsi="Calibri" w:cs="Calibri"/>
              </w:rPr>
              <w:t xml:space="preserve"> approval</w:t>
            </w:r>
          </w:p>
          <w:p w14:paraId="123DEE7F" w14:textId="4C396D1C" w:rsidR="00BD32DC" w:rsidRDefault="00FE25E6" w:rsidP="00C300B1">
            <w:pPr>
              <w:pStyle w:val="ListParagraph"/>
              <w:numPr>
                <w:ilvl w:val="0"/>
                <w:numId w:val="29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BD32DC">
              <w:rPr>
                <w:rFonts w:ascii="Calibri" w:hAnsi="Calibri" w:cs="Calibri"/>
              </w:rPr>
              <w:t>ot coverage can still be considered if ADU is over 800 sf ft</w:t>
            </w:r>
          </w:p>
        </w:tc>
      </w:tr>
      <w:tr w:rsidR="00BD32DC" w14:paraId="0B227C47" w14:textId="77777777" w:rsidTr="007C2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71B9634A" w14:textId="06E4D715" w:rsidR="00BD32DC" w:rsidRPr="00CA0786" w:rsidRDefault="00BD32DC" w:rsidP="0063303C">
            <w:pPr>
              <w:contextualSpacing/>
              <w:rPr>
                <w:rFonts w:ascii="Calibri" w:hAnsi="Calibri" w:cs="Calibri"/>
              </w:rPr>
            </w:pPr>
            <w:r w:rsidRPr="00CA0786">
              <w:rPr>
                <w:rFonts w:ascii="Calibri" w:hAnsi="Calibri" w:cs="Calibri"/>
              </w:rPr>
              <w:t>Multifamily</w:t>
            </w:r>
          </w:p>
        </w:tc>
        <w:tc>
          <w:tcPr>
            <w:tcW w:w="7020" w:type="dxa"/>
            <w:vAlign w:val="center"/>
          </w:tcPr>
          <w:p w14:paraId="312AE114" w14:textId="758A6433" w:rsidR="00586E87" w:rsidRDefault="00586E87" w:rsidP="00586E87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8277BC">
              <w:rPr>
                <w:rFonts w:ascii="Calibri" w:hAnsi="Calibri" w:cs="Calibri"/>
              </w:rPr>
              <w:t xml:space="preserve">wo detached </w:t>
            </w:r>
            <w:r>
              <w:rPr>
                <w:rFonts w:ascii="Calibri" w:hAnsi="Calibri" w:cs="Calibri"/>
              </w:rPr>
              <w:t xml:space="preserve">ADUs allowed </w:t>
            </w:r>
            <w:r w:rsidR="0051454D">
              <w:rPr>
                <w:rFonts w:ascii="Calibri" w:hAnsi="Calibri" w:cs="Calibri"/>
              </w:rPr>
              <w:t>(most likely new construction)</w:t>
            </w:r>
          </w:p>
          <w:p w14:paraId="70230923" w14:textId="0569A43B" w:rsidR="00BD32DC" w:rsidRPr="00586E87" w:rsidRDefault="00891997" w:rsidP="00586E87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Convert u</w:t>
            </w:r>
            <w:r w:rsidR="0051454D">
              <w:rPr>
                <w:rFonts w:ascii="Calibri" w:hAnsi="Calibri" w:cs="Calibri"/>
              </w:rPr>
              <w:t xml:space="preserve">p </w:t>
            </w:r>
            <w:r w:rsidR="00586E87" w:rsidRPr="008277BC">
              <w:rPr>
                <w:rFonts w:ascii="Calibri" w:hAnsi="Calibri" w:cs="Calibri"/>
              </w:rPr>
              <w:t xml:space="preserve">to 25 percent of </w:t>
            </w:r>
            <w:r>
              <w:rPr>
                <w:rFonts w:ascii="Calibri" w:hAnsi="Calibri" w:cs="Calibri"/>
              </w:rPr>
              <w:t>non-living</w:t>
            </w:r>
            <w:r w:rsidR="0051454D">
              <w:rPr>
                <w:rFonts w:ascii="Calibri" w:hAnsi="Calibri" w:cs="Calibri"/>
              </w:rPr>
              <w:t xml:space="preserve"> space to ADUs </w:t>
            </w:r>
            <w:r w:rsidR="00586E87">
              <w:rPr>
                <w:rFonts w:ascii="Calibri" w:hAnsi="Calibri" w:cs="Calibri"/>
              </w:rPr>
              <w:t xml:space="preserve">(example: a </w:t>
            </w:r>
            <w:r w:rsidR="001C750D" w:rsidRPr="00586E87">
              <w:rPr>
                <w:rFonts w:ascii="Calibri" w:hAnsi="Calibri" w:cs="Calibri"/>
              </w:rPr>
              <w:t>4-unit building would be allowed 1 ADU)</w:t>
            </w:r>
          </w:p>
        </w:tc>
      </w:tr>
      <w:tr w:rsidR="00FE25E6" w14:paraId="280762B4" w14:textId="77777777" w:rsidTr="007C2A22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70366BFE" w14:textId="05B00851" w:rsidR="00364171" w:rsidRPr="00CA0786" w:rsidRDefault="00364171" w:rsidP="0063303C">
            <w:pPr>
              <w:contextualSpacing/>
              <w:rPr>
                <w:rFonts w:ascii="Calibri" w:hAnsi="Calibri" w:cs="Calibri"/>
              </w:rPr>
            </w:pPr>
            <w:r w:rsidRPr="00CA0786">
              <w:rPr>
                <w:rFonts w:ascii="Calibri" w:hAnsi="Calibri" w:cs="Calibri"/>
              </w:rPr>
              <w:t xml:space="preserve">Owner Occupancy </w:t>
            </w:r>
          </w:p>
        </w:tc>
        <w:tc>
          <w:tcPr>
            <w:tcW w:w="7020" w:type="dxa"/>
            <w:vAlign w:val="center"/>
          </w:tcPr>
          <w:p w14:paraId="233E3BF2" w14:textId="5549423C" w:rsidR="00FE25E6" w:rsidRDefault="005C0521" w:rsidP="00C300B1">
            <w:pPr>
              <w:pStyle w:val="ListParagraph"/>
              <w:numPr>
                <w:ilvl w:val="0"/>
                <w:numId w:val="1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 </w:t>
            </w:r>
            <w:r w:rsidR="00FE25E6">
              <w:t xml:space="preserve">required for ADUs built between 2020-2025; </w:t>
            </w:r>
            <w:r w:rsidR="007C2A22">
              <w:t>may be</w:t>
            </w:r>
            <w:r w:rsidR="00FE25E6">
              <w:t xml:space="preserve"> ren</w:t>
            </w:r>
            <w:r w:rsidR="007C2A22">
              <w:t xml:space="preserve">ted </w:t>
            </w:r>
            <w:r w:rsidR="00FE25E6">
              <w:t>separately</w:t>
            </w:r>
          </w:p>
          <w:p w14:paraId="72D9EEB9" w14:textId="6C90E2C7" w:rsidR="00C300B1" w:rsidRPr="00C300B1" w:rsidRDefault="00075107" w:rsidP="007C2A22">
            <w:pPr>
              <w:pStyle w:val="ListParagraph"/>
              <w:numPr>
                <w:ilvl w:val="0"/>
                <w:numId w:val="1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JADUs must be owner occupied</w:t>
            </w:r>
          </w:p>
        </w:tc>
      </w:tr>
      <w:tr w:rsidR="00FE25E6" w14:paraId="184823E5" w14:textId="77777777" w:rsidTr="007C2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3E6260B8" w14:textId="2638881A" w:rsidR="00364171" w:rsidRPr="00CA0786" w:rsidRDefault="00364171" w:rsidP="0063303C">
            <w:pPr>
              <w:contextualSpacing/>
              <w:rPr>
                <w:rFonts w:ascii="Calibri" w:hAnsi="Calibri" w:cs="Calibri"/>
              </w:rPr>
            </w:pPr>
            <w:r w:rsidRPr="00CA0786">
              <w:rPr>
                <w:rFonts w:ascii="Calibri" w:hAnsi="Calibri" w:cs="Calibri"/>
              </w:rPr>
              <w:lastRenderedPageBreak/>
              <w:t>Parking</w:t>
            </w:r>
          </w:p>
        </w:tc>
        <w:tc>
          <w:tcPr>
            <w:tcW w:w="7020" w:type="dxa"/>
            <w:vAlign w:val="center"/>
          </w:tcPr>
          <w:p w14:paraId="7E1A6EDC" w14:textId="6E030AAA" w:rsidR="00075107" w:rsidRDefault="000B4E0C" w:rsidP="000B4E0C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parking if ½ mile of transit, </w:t>
            </w:r>
            <w:r w:rsidR="001C750D">
              <w:t xml:space="preserve">in </w:t>
            </w:r>
            <w:r>
              <w:t xml:space="preserve">historic district, or near car share; potentially one </w:t>
            </w:r>
            <w:r w:rsidR="001C750D">
              <w:t>(</w:t>
            </w:r>
            <w:r>
              <w:t>far from transit, larger than studio)</w:t>
            </w:r>
          </w:p>
          <w:p w14:paraId="26DD80CB" w14:textId="77777777" w:rsidR="00BD32DC" w:rsidRPr="007C2A22" w:rsidRDefault="007C2A22" w:rsidP="0063303C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No</w:t>
            </w:r>
            <w:r w:rsidR="00BD32DC">
              <w:rPr>
                <w:rFonts w:ascii="Calibri" w:hAnsi="Calibri" w:cs="Calibri"/>
              </w:rPr>
              <w:t xml:space="preserve"> replac</w:t>
            </w:r>
            <w:r>
              <w:rPr>
                <w:rFonts w:ascii="Calibri" w:hAnsi="Calibri" w:cs="Calibri"/>
              </w:rPr>
              <w:t>ement</w:t>
            </w:r>
            <w:r w:rsidR="00BD32DC">
              <w:rPr>
                <w:rFonts w:ascii="Calibri" w:hAnsi="Calibri" w:cs="Calibri"/>
              </w:rPr>
              <w:t xml:space="preserve"> parking </w:t>
            </w:r>
            <w:r>
              <w:rPr>
                <w:rFonts w:ascii="Calibri" w:hAnsi="Calibri" w:cs="Calibri"/>
              </w:rPr>
              <w:t>for</w:t>
            </w:r>
            <w:r w:rsidR="00BD32D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garage demolition/conversion</w:t>
            </w:r>
          </w:p>
          <w:p w14:paraId="5F2537B4" w14:textId="39E06146" w:rsidR="007C2A22" w:rsidRPr="00075107" w:rsidRDefault="007C2A22" w:rsidP="001C750D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Tandem </w:t>
            </w:r>
            <w:r w:rsidR="001C750D">
              <w:t>and in setbacks allowed</w:t>
            </w:r>
          </w:p>
        </w:tc>
      </w:tr>
      <w:tr w:rsidR="00FE25E6" w14:paraId="70FE8A16" w14:textId="77777777" w:rsidTr="007C2A22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2295BA3F" w14:textId="0BD1B038" w:rsidR="00364171" w:rsidRPr="00CA0786" w:rsidRDefault="00364171" w:rsidP="0063303C">
            <w:pPr>
              <w:contextualSpacing/>
              <w:rPr>
                <w:rFonts w:ascii="Calibri" w:hAnsi="Calibri" w:cs="Calibri"/>
              </w:rPr>
            </w:pPr>
            <w:r w:rsidRPr="00CA0786">
              <w:rPr>
                <w:rFonts w:ascii="Calibri" w:hAnsi="Calibri" w:cs="Calibri"/>
              </w:rPr>
              <w:t xml:space="preserve">RHNA </w:t>
            </w:r>
          </w:p>
        </w:tc>
        <w:tc>
          <w:tcPr>
            <w:tcW w:w="7020" w:type="dxa"/>
            <w:vAlign w:val="center"/>
          </w:tcPr>
          <w:p w14:paraId="6516C340" w14:textId="751F31CD" w:rsidR="00364171" w:rsidRPr="00075107" w:rsidRDefault="00075107" w:rsidP="0063303C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ADUs count for RHNA (generally, production assumptions should be based on recent trends, but can also be made if cities are taking actions to promote</w:t>
            </w:r>
            <w:r w:rsidR="00586E87">
              <w:t xml:space="preserve"> ADUs</w:t>
            </w:r>
            <w:r>
              <w:t>)</w:t>
            </w:r>
          </w:p>
        </w:tc>
      </w:tr>
      <w:tr w:rsidR="00FE25E6" w14:paraId="0B7B61D8" w14:textId="77777777" w:rsidTr="007C2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7004564A" w14:textId="25BD9E96" w:rsidR="00364171" w:rsidRPr="00CA0786" w:rsidRDefault="00364171" w:rsidP="0063303C">
            <w:pPr>
              <w:contextualSpacing/>
              <w:rPr>
                <w:rFonts w:ascii="Calibri" w:hAnsi="Calibri" w:cs="Calibri"/>
              </w:rPr>
            </w:pPr>
            <w:r w:rsidRPr="00CA0786">
              <w:rPr>
                <w:rFonts w:ascii="Calibri" w:hAnsi="Calibri" w:cs="Calibri"/>
              </w:rPr>
              <w:t>Setbacks</w:t>
            </w:r>
            <w:r w:rsidR="00CA0786">
              <w:rPr>
                <w:rFonts w:ascii="Calibri" w:hAnsi="Calibri" w:cs="Calibri"/>
              </w:rPr>
              <w:t xml:space="preserve"> &amp; Height</w:t>
            </w:r>
          </w:p>
        </w:tc>
        <w:tc>
          <w:tcPr>
            <w:tcW w:w="7020" w:type="dxa"/>
            <w:vAlign w:val="center"/>
          </w:tcPr>
          <w:p w14:paraId="34526AF6" w14:textId="3EAE6EC9" w:rsidR="00075107" w:rsidRDefault="00075107" w:rsidP="0063303C">
            <w:pPr>
              <w:pStyle w:val="ListParagraph"/>
              <w:numPr>
                <w:ilvl w:val="0"/>
                <w:numId w:val="1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ft side or rear setbacks for new construction</w:t>
            </w:r>
          </w:p>
          <w:p w14:paraId="023AA7AB" w14:textId="68F912F2" w:rsidR="00CA0786" w:rsidRDefault="00CA0786" w:rsidP="0063303C">
            <w:pPr>
              <w:pStyle w:val="ListParagraph"/>
              <w:numPr>
                <w:ilvl w:val="0"/>
                <w:numId w:val="1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setback</w:t>
            </w:r>
            <w:r w:rsidR="00075107">
              <w:t>s required</w:t>
            </w:r>
            <w:r>
              <w:t xml:space="preserve"> for conversion</w:t>
            </w:r>
            <w:r w:rsidR="00075107">
              <w:t>s or rebuilds</w:t>
            </w:r>
          </w:p>
          <w:p w14:paraId="5CBC16BC" w14:textId="77777777" w:rsidR="00364171" w:rsidRDefault="00CA0786" w:rsidP="0063303C">
            <w:pPr>
              <w:pStyle w:val="ListParagraph"/>
              <w:numPr>
                <w:ilvl w:val="0"/>
                <w:numId w:val="1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Front setbacks allowed</w:t>
            </w:r>
          </w:p>
          <w:p w14:paraId="716F4F17" w14:textId="105BABCD" w:rsidR="00075107" w:rsidRPr="00CA0786" w:rsidRDefault="00075107" w:rsidP="0063303C">
            <w:pPr>
              <w:pStyle w:val="ListParagraph"/>
              <w:numPr>
                <w:ilvl w:val="0"/>
                <w:numId w:val="1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ft height</w:t>
            </w:r>
          </w:p>
        </w:tc>
      </w:tr>
      <w:tr w:rsidR="007C2A22" w14:paraId="271DFB92" w14:textId="77777777" w:rsidTr="007C2A22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638EA82B" w14:textId="1D561071" w:rsidR="007C2A22" w:rsidRPr="00CA0786" w:rsidRDefault="007C2A22" w:rsidP="0063303C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Short-Term Rentals</w:t>
            </w:r>
          </w:p>
        </w:tc>
        <w:tc>
          <w:tcPr>
            <w:tcW w:w="7020" w:type="dxa"/>
            <w:vAlign w:val="center"/>
          </w:tcPr>
          <w:p w14:paraId="72D66CEF" w14:textId="409ACC73" w:rsidR="007C2A22" w:rsidRDefault="007C2A22" w:rsidP="0063303C">
            <w:pPr>
              <w:pStyle w:val="ListParagraph"/>
              <w:numPr>
                <w:ilvl w:val="0"/>
                <w:numId w:val="2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M</w:t>
            </w:r>
            <w:r w:rsidRPr="00C300B1">
              <w:rPr>
                <w:rFonts w:ascii="Calibri" w:hAnsi="Calibri" w:cs="Calibri"/>
              </w:rPr>
              <w:t xml:space="preserve">ay </w:t>
            </w:r>
            <w:r>
              <w:rPr>
                <w:rFonts w:ascii="Calibri" w:hAnsi="Calibri" w:cs="Calibri"/>
              </w:rPr>
              <w:t xml:space="preserve">be </w:t>
            </w:r>
            <w:r w:rsidRPr="00C300B1">
              <w:rPr>
                <w:rFonts w:ascii="Calibri" w:hAnsi="Calibri" w:cs="Calibri"/>
              </w:rPr>
              <w:t>prohibit</w:t>
            </w:r>
            <w:r>
              <w:rPr>
                <w:rFonts w:ascii="Calibri" w:hAnsi="Calibri" w:cs="Calibri"/>
              </w:rPr>
              <w:t>ed</w:t>
            </w:r>
            <w:r w:rsidRPr="00C300B1">
              <w:rPr>
                <w:rFonts w:ascii="Calibri" w:hAnsi="Calibri" w:cs="Calibri"/>
              </w:rPr>
              <w:t xml:space="preserve"> for fewer than 30 days and require</w:t>
            </w:r>
            <w:r>
              <w:rPr>
                <w:rFonts w:ascii="Calibri" w:hAnsi="Calibri" w:cs="Calibri"/>
              </w:rPr>
              <w:t>d</w:t>
            </w:r>
            <w:r w:rsidR="00586E87">
              <w:rPr>
                <w:rFonts w:ascii="Calibri" w:hAnsi="Calibri" w:cs="Calibri"/>
              </w:rPr>
              <w:t xml:space="preserve"> </w:t>
            </w:r>
            <w:r w:rsidRPr="00C300B1">
              <w:rPr>
                <w:rFonts w:ascii="Calibri" w:hAnsi="Calibri" w:cs="Calibri"/>
              </w:rPr>
              <w:t>if ADU falls under subsection</w:t>
            </w:r>
            <w:r w:rsidR="00586E87">
              <w:rPr>
                <w:rFonts w:ascii="Calibri" w:hAnsi="Calibri" w:cs="Calibri"/>
              </w:rPr>
              <w:t xml:space="preserve"> </w:t>
            </w:r>
            <w:r w:rsidRPr="00C300B1">
              <w:rPr>
                <w:rFonts w:ascii="Calibri" w:hAnsi="Calibri" w:cs="Calibri"/>
              </w:rPr>
              <w:t xml:space="preserve">(e) </w:t>
            </w:r>
          </w:p>
        </w:tc>
      </w:tr>
      <w:tr w:rsidR="001C750D" w14:paraId="1163532C" w14:textId="77777777" w:rsidTr="007C2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3DC9BFD4" w14:textId="38400A23" w:rsidR="00364171" w:rsidRPr="00CA0786" w:rsidRDefault="00364171" w:rsidP="0063303C">
            <w:pPr>
              <w:contextualSpacing/>
              <w:rPr>
                <w:rFonts w:ascii="Calibri" w:hAnsi="Calibri" w:cs="Calibri"/>
              </w:rPr>
            </w:pPr>
            <w:r w:rsidRPr="00CA0786">
              <w:rPr>
                <w:rFonts w:ascii="Calibri" w:hAnsi="Calibri" w:cs="Calibri"/>
              </w:rPr>
              <w:t>Size</w:t>
            </w:r>
          </w:p>
        </w:tc>
        <w:tc>
          <w:tcPr>
            <w:tcW w:w="7020" w:type="dxa"/>
            <w:vAlign w:val="center"/>
          </w:tcPr>
          <w:p w14:paraId="32AAA773" w14:textId="21B5375E" w:rsidR="001C750D" w:rsidRDefault="005C0521" w:rsidP="0063303C">
            <w:pPr>
              <w:pStyle w:val="ListParagraph"/>
              <w:numPr>
                <w:ilvl w:val="0"/>
                <w:numId w:val="2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 xml:space="preserve">At least </w:t>
            </w:r>
            <w:r w:rsidR="001C750D" w:rsidRPr="00BD32DC">
              <w:rPr>
                <w:rFonts w:ascii="Calibri" w:hAnsi="Calibri" w:cs="Calibri"/>
              </w:rPr>
              <w:t xml:space="preserve">850 sq ft </w:t>
            </w:r>
            <w:r w:rsidR="001C750D">
              <w:rPr>
                <w:rFonts w:ascii="Calibri" w:hAnsi="Calibri" w:cs="Calibri"/>
              </w:rPr>
              <w:t xml:space="preserve">for </w:t>
            </w:r>
            <w:r w:rsidR="001C750D" w:rsidRPr="00BD32DC">
              <w:rPr>
                <w:rFonts w:ascii="Calibri" w:hAnsi="Calibri" w:cs="Calibri"/>
              </w:rPr>
              <w:t>1 b</w:t>
            </w:r>
            <w:r w:rsidR="001C750D">
              <w:rPr>
                <w:rFonts w:ascii="Calibri" w:hAnsi="Calibri" w:cs="Calibri"/>
              </w:rPr>
              <w:t xml:space="preserve">d and </w:t>
            </w:r>
            <w:r w:rsidR="001C750D" w:rsidRPr="00BD32DC">
              <w:rPr>
                <w:rFonts w:ascii="Calibri" w:hAnsi="Calibri" w:cs="Calibri"/>
              </w:rPr>
              <w:t>1000 sq ft for 2 b</w:t>
            </w:r>
            <w:r w:rsidR="001C750D">
              <w:rPr>
                <w:rFonts w:ascii="Calibri" w:hAnsi="Calibri" w:cs="Calibri"/>
              </w:rPr>
              <w:t>d detached</w:t>
            </w:r>
          </w:p>
          <w:p w14:paraId="673D7640" w14:textId="5262B79F" w:rsidR="00075107" w:rsidRDefault="00075107" w:rsidP="0063303C">
            <w:pPr>
              <w:pStyle w:val="ListParagraph"/>
              <w:numPr>
                <w:ilvl w:val="0"/>
                <w:numId w:val="2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 w:rsidR="001C750D">
              <w:t xml:space="preserve"> percent</w:t>
            </w:r>
            <w:r>
              <w:t xml:space="preserve"> of main structure for attached</w:t>
            </w:r>
            <w:r w:rsidR="005C0521">
              <w:t xml:space="preserve"> (maybe 800 minimum)</w:t>
            </w:r>
          </w:p>
          <w:p w14:paraId="7FD1096B" w14:textId="0C1F71C2" w:rsidR="00364171" w:rsidRPr="00075107" w:rsidRDefault="00075107" w:rsidP="0063303C">
            <w:pPr>
              <w:pStyle w:val="ListParagraph"/>
              <w:numPr>
                <w:ilvl w:val="0"/>
                <w:numId w:val="2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small as 150 s</w:t>
            </w:r>
            <w:r w:rsidR="001C750D">
              <w:t>q ft</w:t>
            </w:r>
          </w:p>
        </w:tc>
      </w:tr>
      <w:tr w:rsidR="001C750D" w14:paraId="0955CD9B" w14:textId="77777777" w:rsidTr="007C2A22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4E5151A6" w14:textId="4BD4C7E8" w:rsidR="00364171" w:rsidRPr="00CA0786" w:rsidRDefault="001C750D" w:rsidP="0063303C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Timing</w:t>
            </w:r>
            <w:r w:rsidR="00364171" w:rsidRPr="00CA078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&amp; </w:t>
            </w:r>
            <w:r w:rsidR="00364171" w:rsidRPr="00CA0786">
              <w:rPr>
                <w:rFonts w:ascii="Calibri" w:hAnsi="Calibri" w:cs="Calibri"/>
              </w:rPr>
              <w:t>Approval</w:t>
            </w:r>
          </w:p>
        </w:tc>
        <w:tc>
          <w:tcPr>
            <w:tcW w:w="7020" w:type="dxa"/>
            <w:vAlign w:val="center"/>
          </w:tcPr>
          <w:p w14:paraId="42496B57" w14:textId="2F140699" w:rsidR="00075107" w:rsidRDefault="00075107" w:rsidP="0063303C">
            <w:pPr>
              <w:pStyle w:val="ListParagraph"/>
              <w:numPr>
                <w:ilvl w:val="0"/>
                <w:numId w:val="19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days</w:t>
            </w:r>
            <w:r w:rsidR="0063303C">
              <w:t xml:space="preserve"> from submittal of complete application</w:t>
            </w:r>
          </w:p>
          <w:p w14:paraId="15A7C046" w14:textId="5F6C634B" w:rsidR="00075107" w:rsidRDefault="0063303C" w:rsidP="0063303C">
            <w:pPr>
              <w:pStyle w:val="ListParagraph"/>
              <w:numPr>
                <w:ilvl w:val="0"/>
                <w:numId w:val="19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Ministerial approval process </w:t>
            </w:r>
          </w:p>
          <w:p w14:paraId="5F8804D6" w14:textId="17702BEC" w:rsidR="00075107" w:rsidRDefault="00075107" w:rsidP="0063303C">
            <w:pPr>
              <w:pStyle w:val="ListParagraph"/>
              <w:numPr>
                <w:ilvl w:val="0"/>
                <w:numId w:val="19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Appeal permitted (review must be ministerial)</w:t>
            </w:r>
          </w:p>
          <w:p w14:paraId="20B63682" w14:textId="1BDF9FCA" w:rsidR="00364171" w:rsidRPr="00075107" w:rsidRDefault="0063303C" w:rsidP="0063303C">
            <w:pPr>
              <w:pStyle w:val="ListParagraph"/>
              <w:numPr>
                <w:ilvl w:val="0"/>
                <w:numId w:val="19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in conjunction with single-family home, same timeline</w:t>
            </w:r>
          </w:p>
        </w:tc>
      </w:tr>
      <w:tr w:rsidR="001C750D" w14:paraId="0E28560C" w14:textId="77777777" w:rsidTr="007C2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672115CF" w14:textId="66DFFEC4" w:rsidR="00364171" w:rsidRPr="00CA0786" w:rsidRDefault="00364171" w:rsidP="0063303C">
            <w:pPr>
              <w:contextualSpacing/>
              <w:rPr>
                <w:rFonts w:ascii="Calibri" w:hAnsi="Calibri" w:cs="Calibri"/>
              </w:rPr>
            </w:pPr>
            <w:r w:rsidRPr="00CA0786">
              <w:rPr>
                <w:rFonts w:ascii="Calibri" w:hAnsi="Calibri" w:cs="Calibri"/>
              </w:rPr>
              <w:t>Zoning</w:t>
            </w:r>
          </w:p>
        </w:tc>
        <w:tc>
          <w:tcPr>
            <w:tcW w:w="7020" w:type="dxa"/>
            <w:vAlign w:val="center"/>
          </w:tcPr>
          <w:p w14:paraId="6E756A31" w14:textId="4EB0D4C7" w:rsidR="00075107" w:rsidRPr="002E369C" w:rsidRDefault="00586E87" w:rsidP="0063303C">
            <w:pPr>
              <w:pStyle w:val="ListParagraph"/>
              <w:numPr>
                <w:ilvl w:val="0"/>
                <w:numId w:val="2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Correction of</w:t>
            </w:r>
            <w:r w:rsidR="00075107">
              <w:t xml:space="preserve"> nonconforming zoning </w:t>
            </w:r>
            <w:r>
              <w:t xml:space="preserve">not allowed as a condition of approval if ADU falls under subsection (e) </w:t>
            </w:r>
          </w:p>
          <w:p w14:paraId="7B4E83EF" w14:textId="002B39D4" w:rsidR="00364171" w:rsidRPr="00075107" w:rsidRDefault="00075107" w:rsidP="0063303C">
            <w:pPr>
              <w:pStyle w:val="ListParagraph"/>
              <w:numPr>
                <w:ilvl w:val="0"/>
                <w:numId w:val="2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ADUs do not count for density</w:t>
            </w:r>
          </w:p>
        </w:tc>
      </w:tr>
    </w:tbl>
    <w:p w14:paraId="3B0B9553" w14:textId="466C763B" w:rsidR="00364171" w:rsidRDefault="00364171" w:rsidP="0063303C">
      <w:pPr>
        <w:contextualSpacing/>
        <w:rPr>
          <w:rFonts w:ascii="Calibri" w:hAnsi="Calibri" w:cs="Calibri"/>
        </w:rPr>
      </w:pPr>
    </w:p>
    <w:p w14:paraId="62B4DC2F" w14:textId="77777777" w:rsidR="001C750D" w:rsidRDefault="00CA0786" w:rsidP="0063303C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Local ordinances that do not conform to new laws will be declared null and void. Jurisdictions should update their ordinance as soon as possible. </w:t>
      </w:r>
    </w:p>
    <w:p w14:paraId="1112E2A5" w14:textId="77777777" w:rsidR="001C750D" w:rsidRDefault="001C750D" w:rsidP="0063303C">
      <w:pPr>
        <w:contextualSpacing/>
        <w:rPr>
          <w:rFonts w:ascii="Calibri" w:hAnsi="Calibri" w:cs="Calibri"/>
        </w:rPr>
      </w:pPr>
    </w:p>
    <w:p w14:paraId="5B2CE924" w14:textId="70B7B821" w:rsidR="00CA0786" w:rsidRDefault="00CA0786" w:rsidP="0063303C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Once adopted, jurisdictions will have 60 days to provide their new ordinance to HCD for review. While jurisdictions are in the process of updating their ADU ordinance, exempt</w:t>
      </w:r>
      <w:r w:rsidR="0051454D">
        <w:rPr>
          <w:rFonts w:ascii="Calibri" w:hAnsi="Calibri" w:cs="Calibri"/>
        </w:rPr>
        <w:t xml:space="preserve"> from CEQA</w:t>
      </w:r>
      <w:r>
        <w:rPr>
          <w:rFonts w:ascii="Calibri" w:hAnsi="Calibri" w:cs="Calibri"/>
        </w:rPr>
        <w:t xml:space="preserve">. Local ordinances are allowed to be more generous in permitting ADUs than state requirements but cannot be </w:t>
      </w:r>
      <w:r w:rsidR="00586E87">
        <w:rPr>
          <w:rFonts w:ascii="Calibri" w:hAnsi="Calibri" w:cs="Calibri"/>
        </w:rPr>
        <w:t>stricter</w:t>
      </w:r>
      <w:r>
        <w:rPr>
          <w:rFonts w:ascii="Calibri" w:hAnsi="Calibri" w:cs="Calibri"/>
        </w:rPr>
        <w:t>.</w:t>
      </w:r>
    </w:p>
    <w:p w14:paraId="4A00908C" w14:textId="12B61FE8" w:rsidR="00364171" w:rsidRDefault="00364171" w:rsidP="0063303C">
      <w:pPr>
        <w:contextualSpacing/>
        <w:rPr>
          <w:rFonts w:ascii="Calibri" w:hAnsi="Calibri" w:cs="Calibri"/>
        </w:rPr>
      </w:pPr>
    </w:p>
    <w:p w14:paraId="6FF2C0F9" w14:textId="4EE20B6A" w:rsidR="00364171" w:rsidRDefault="00364171" w:rsidP="0063303C">
      <w:pPr>
        <w:contextualSpacing/>
        <w:rPr>
          <w:rFonts w:ascii="Calibri" w:hAnsi="Calibri" w:cs="Calibri"/>
        </w:rPr>
      </w:pPr>
    </w:p>
    <w:p w14:paraId="50DCBE32" w14:textId="3F795217" w:rsidR="00364171" w:rsidRDefault="00364171" w:rsidP="0063303C">
      <w:pPr>
        <w:contextualSpacing/>
        <w:rPr>
          <w:rFonts w:ascii="Calibri" w:hAnsi="Calibri" w:cs="Calibri"/>
        </w:rPr>
      </w:pPr>
    </w:p>
    <w:sectPr w:rsidR="00364171" w:rsidSect="00364171">
      <w:headerReference w:type="default" r:id="rId7"/>
      <w:footerReference w:type="even" r:id="rId8"/>
      <w:footerReference w:type="default" r:id="rId9"/>
      <w:pgSz w:w="12240" w:h="15840"/>
      <w:pgMar w:top="1440" w:right="1440" w:bottom="12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17ABB" w14:textId="77777777" w:rsidR="0040398A" w:rsidRDefault="0040398A" w:rsidP="00364171">
      <w:r>
        <w:separator/>
      </w:r>
    </w:p>
  </w:endnote>
  <w:endnote w:type="continuationSeparator" w:id="0">
    <w:p w14:paraId="3D2AAFFF" w14:textId="77777777" w:rsidR="0040398A" w:rsidRDefault="0040398A" w:rsidP="0036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5849225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C52DC0" w14:textId="10358487" w:rsidR="00586E87" w:rsidRDefault="00586E87" w:rsidP="00F349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D1AC21" w14:textId="77777777" w:rsidR="00586E87" w:rsidRDefault="00586E87" w:rsidP="00586E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588538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1362A1" w14:textId="29727BA7" w:rsidR="00586E87" w:rsidRDefault="00586E87" w:rsidP="00F349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01E6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921A99" w14:textId="77777777" w:rsidR="00586E87" w:rsidRDefault="00586E87" w:rsidP="00586E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C1263" w14:textId="77777777" w:rsidR="0040398A" w:rsidRDefault="0040398A" w:rsidP="00364171">
      <w:r>
        <w:separator/>
      </w:r>
    </w:p>
  </w:footnote>
  <w:footnote w:type="continuationSeparator" w:id="0">
    <w:p w14:paraId="06622F8B" w14:textId="77777777" w:rsidR="0040398A" w:rsidRDefault="0040398A" w:rsidP="00364171">
      <w:r>
        <w:continuationSeparator/>
      </w:r>
    </w:p>
  </w:footnote>
  <w:footnote w:id="1">
    <w:p w14:paraId="0DC5E72E" w14:textId="77777777" w:rsidR="00364171" w:rsidRDefault="00364171" w:rsidP="00364171">
      <w:pPr>
        <w:pStyle w:val="FootnoteText"/>
        <w:rPr>
          <w:rFonts w:ascii="Calibri" w:hAnsi="Calibri" w:cs="Calibri"/>
          <w:sz w:val="16"/>
          <w:szCs w:val="16"/>
        </w:rPr>
      </w:pPr>
      <w:r w:rsidRPr="00423178">
        <w:rPr>
          <w:rStyle w:val="FootnoteReference"/>
          <w:rFonts w:ascii="Calibri" w:hAnsi="Calibri" w:cs="Calibri"/>
          <w:sz w:val="16"/>
          <w:szCs w:val="16"/>
        </w:rPr>
        <w:footnoteRef/>
      </w:r>
      <w:r w:rsidRPr="0042317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 </w:t>
      </w:r>
      <w:r w:rsidRPr="00423178">
        <w:rPr>
          <w:rFonts w:ascii="Calibri" w:hAnsi="Calibri" w:cs="Calibri"/>
          <w:sz w:val="16"/>
          <w:szCs w:val="16"/>
        </w:rPr>
        <w:t xml:space="preserve">An Accessory Dwelling Unit is defined as a housing unit with kitchen facilities, sleeping space, and a separate entrance and address. A Junior </w:t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7C4275D9" w14:textId="63D30EAE" w:rsidR="00364171" w:rsidRDefault="00364171" w:rsidP="00364171">
      <w:pPr>
        <w:pStyle w:val="FootnoteTex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Pr="00423178">
        <w:rPr>
          <w:rFonts w:ascii="Calibri" w:hAnsi="Calibri" w:cs="Calibri"/>
          <w:sz w:val="16"/>
          <w:szCs w:val="16"/>
        </w:rPr>
        <w:t xml:space="preserve">Accessory Dwelling Unit is an </w:t>
      </w:r>
      <w:r w:rsidR="00001E65">
        <w:rPr>
          <w:rFonts w:ascii="Calibri" w:hAnsi="Calibri" w:cs="Calibri"/>
          <w:sz w:val="16"/>
          <w:szCs w:val="16"/>
        </w:rPr>
        <w:t>Accessory Dwelling Unit under 50</w:t>
      </w:r>
      <w:bookmarkStart w:id="0" w:name="_GoBack"/>
      <w:bookmarkEnd w:id="0"/>
      <w:r w:rsidRPr="00423178">
        <w:rPr>
          <w:rFonts w:ascii="Calibri" w:hAnsi="Calibri" w:cs="Calibri"/>
          <w:sz w:val="16"/>
          <w:szCs w:val="16"/>
        </w:rPr>
        <w:t xml:space="preserve">0 sq ft, which must be a conversion of interior space in a house and can, but </w:t>
      </w:r>
    </w:p>
    <w:p w14:paraId="1CAFF122" w14:textId="77777777" w:rsidR="00364171" w:rsidRPr="00423178" w:rsidRDefault="00364171" w:rsidP="00364171">
      <w:pPr>
        <w:pStyle w:val="FootnoteTex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Pr="00423178">
        <w:rPr>
          <w:rFonts w:ascii="Calibri" w:hAnsi="Calibri" w:cs="Calibri"/>
          <w:sz w:val="16"/>
          <w:szCs w:val="16"/>
        </w:rPr>
        <w:t>does not have to, share a bathroom with the existing house.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F3373" w14:textId="3B5B8E9F" w:rsidR="008277BC" w:rsidRPr="008277BC" w:rsidRDefault="0051454D">
    <w:pPr>
      <w:pStyle w:val="Header"/>
      <w:rPr>
        <w:b/>
        <w:bCs/>
        <w:sz w:val="28"/>
        <w:szCs w:val="28"/>
      </w:rPr>
    </w:pPr>
    <w:r w:rsidRPr="00845581">
      <w:rPr>
        <w:bCs/>
        <w:noProof/>
        <w:sz w:val="52"/>
        <w:szCs w:val="40"/>
      </w:rPr>
      <w:drawing>
        <wp:anchor distT="0" distB="0" distL="114300" distR="114300" simplePos="0" relativeHeight="251659264" behindDoc="0" locked="0" layoutInCell="1" allowOverlap="1" wp14:anchorId="20324518" wp14:editId="64425B27">
          <wp:simplePos x="0" y="0"/>
          <wp:positionH relativeFrom="column">
            <wp:posOffset>2289650</wp:posOffset>
          </wp:positionH>
          <wp:positionV relativeFrom="paragraph">
            <wp:posOffset>-281940</wp:posOffset>
          </wp:positionV>
          <wp:extent cx="1188720" cy="661690"/>
          <wp:effectExtent l="0" t="0" r="0" b="5080"/>
          <wp:wrapSquare wrapText="bothSides"/>
          <wp:docPr id="2" name="Picture 2" descr="C:\Users\Joshu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hu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6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77BC" w:rsidRPr="008277BC">
      <w:rPr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5D7"/>
    <w:multiLevelType w:val="hybridMultilevel"/>
    <w:tmpl w:val="C97A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6F61"/>
    <w:multiLevelType w:val="hybridMultilevel"/>
    <w:tmpl w:val="44C4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2638"/>
    <w:multiLevelType w:val="hybridMultilevel"/>
    <w:tmpl w:val="D7AA3CC4"/>
    <w:lvl w:ilvl="0" w:tplc="F2845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6DC5"/>
    <w:multiLevelType w:val="hybridMultilevel"/>
    <w:tmpl w:val="C35C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2B2A"/>
    <w:multiLevelType w:val="hybridMultilevel"/>
    <w:tmpl w:val="0652F3EA"/>
    <w:lvl w:ilvl="0" w:tplc="B49C48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37D43292">
      <w:start w:val="1"/>
      <w:numFmt w:val="lowerLetter"/>
      <w:lvlText w:val="%2."/>
      <w:lvlJc w:val="left"/>
      <w:pPr>
        <w:ind w:left="1440" w:hanging="360"/>
      </w:pPr>
    </w:lvl>
    <w:lvl w:ilvl="2" w:tplc="6EBA422E" w:tentative="1">
      <w:start w:val="1"/>
      <w:numFmt w:val="lowerRoman"/>
      <w:lvlText w:val="%3."/>
      <w:lvlJc w:val="right"/>
      <w:pPr>
        <w:ind w:left="2160" w:hanging="180"/>
      </w:pPr>
    </w:lvl>
    <w:lvl w:ilvl="3" w:tplc="712C1F6C" w:tentative="1">
      <w:start w:val="1"/>
      <w:numFmt w:val="decimal"/>
      <w:lvlText w:val="%4."/>
      <w:lvlJc w:val="left"/>
      <w:pPr>
        <w:ind w:left="2880" w:hanging="360"/>
      </w:pPr>
    </w:lvl>
    <w:lvl w:ilvl="4" w:tplc="FD66F1B8" w:tentative="1">
      <w:start w:val="1"/>
      <w:numFmt w:val="lowerLetter"/>
      <w:lvlText w:val="%5."/>
      <w:lvlJc w:val="left"/>
      <w:pPr>
        <w:ind w:left="3600" w:hanging="360"/>
      </w:pPr>
    </w:lvl>
    <w:lvl w:ilvl="5" w:tplc="BFE8AC56" w:tentative="1">
      <w:start w:val="1"/>
      <w:numFmt w:val="lowerRoman"/>
      <w:lvlText w:val="%6."/>
      <w:lvlJc w:val="right"/>
      <w:pPr>
        <w:ind w:left="4320" w:hanging="180"/>
      </w:pPr>
    </w:lvl>
    <w:lvl w:ilvl="6" w:tplc="EE861CB0" w:tentative="1">
      <w:start w:val="1"/>
      <w:numFmt w:val="decimal"/>
      <w:lvlText w:val="%7."/>
      <w:lvlJc w:val="left"/>
      <w:pPr>
        <w:ind w:left="5040" w:hanging="360"/>
      </w:pPr>
    </w:lvl>
    <w:lvl w:ilvl="7" w:tplc="E3501DAC" w:tentative="1">
      <w:start w:val="1"/>
      <w:numFmt w:val="lowerLetter"/>
      <w:lvlText w:val="%8."/>
      <w:lvlJc w:val="left"/>
      <w:pPr>
        <w:ind w:left="5760" w:hanging="360"/>
      </w:pPr>
    </w:lvl>
    <w:lvl w:ilvl="8" w:tplc="BF268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1359"/>
    <w:multiLevelType w:val="hybridMultilevel"/>
    <w:tmpl w:val="2180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508B"/>
    <w:multiLevelType w:val="hybridMultilevel"/>
    <w:tmpl w:val="2F8092E0"/>
    <w:lvl w:ilvl="0" w:tplc="F2845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E27CC"/>
    <w:multiLevelType w:val="hybridMultilevel"/>
    <w:tmpl w:val="1448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1B6A"/>
    <w:multiLevelType w:val="hybridMultilevel"/>
    <w:tmpl w:val="D61ED0BA"/>
    <w:lvl w:ilvl="0" w:tplc="F2845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D0341"/>
    <w:multiLevelType w:val="hybridMultilevel"/>
    <w:tmpl w:val="0668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3024"/>
    <w:multiLevelType w:val="hybridMultilevel"/>
    <w:tmpl w:val="0242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4110D"/>
    <w:multiLevelType w:val="hybridMultilevel"/>
    <w:tmpl w:val="129E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62E24"/>
    <w:multiLevelType w:val="hybridMultilevel"/>
    <w:tmpl w:val="8E26E50C"/>
    <w:lvl w:ilvl="0" w:tplc="F2845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40137"/>
    <w:multiLevelType w:val="hybridMultilevel"/>
    <w:tmpl w:val="6DF6E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F1873"/>
    <w:multiLevelType w:val="hybridMultilevel"/>
    <w:tmpl w:val="50B23476"/>
    <w:lvl w:ilvl="0" w:tplc="1E40EB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6E26C2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30C08DDA" w:tentative="1">
      <w:start w:val="1"/>
      <w:numFmt w:val="lowerRoman"/>
      <w:lvlText w:val="%3."/>
      <w:lvlJc w:val="right"/>
      <w:pPr>
        <w:ind w:left="2520" w:hanging="180"/>
      </w:pPr>
    </w:lvl>
    <w:lvl w:ilvl="3" w:tplc="84D21078" w:tentative="1">
      <w:start w:val="1"/>
      <w:numFmt w:val="decimal"/>
      <w:lvlText w:val="%4."/>
      <w:lvlJc w:val="left"/>
      <w:pPr>
        <w:ind w:left="3240" w:hanging="360"/>
      </w:pPr>
    </w:lvl>
    <w:lvl w:ilvl="4" w:tplc="2D1283DA" w:tentative="1">
      <w:start w:val="1"/>
      <w:numFmt w:val="lowerLetter"/>
      <w:lvlText w:val="%5."/>
      <w:lvlJc w:val="left"/>
      <w:pPr>
        <w:ind w:left="3960" w:hanging="360"/>
      </w:pPr>
    </w:lvl>
    <w:lvl w:ilvl="5" w:tplc="A05EC48E" w:tentative="1">
      <w:start w:val="1"/>
      <w:numFmt w:val="lowerRoman"/>
      <w:lvlText w:val="%6."/>
      <w:lvlJc w:val="right"/>
      <w:pPr>
        <w:ind w:left="4680" w:hanging="180"/>
      </w:pPr>
    </w:lvl>
    <w:lvl w:ilvl="6" w:tplc="F4889656" w:tentative="1">
      <w:start w:val="1"/>
      <w:numFmt w:val="decimal"/>
      <w:lvlText w:val="%7."/>
      <w:lvlJc w:val="left"/>
      <w:pPr>
        <w:ind w:left="5400" w:hanging="360"/>
      </w:pPr>
    </w:lvl>
    <w:lvl w:ilvl="7" w:tplc="107478E6" w:tentative="1">
      <w:start w:val="1"/>
      <w:numFmt w:val="lowerLetter"/>
      <w:lvlText w:val="%8."/>
      <w:lvlJc w:val="left"/>
      <w:pPr>
        <w:ind w:left="6120" w:hanging="360"/>
      </w:pPr>
    </w:lvl>
    <w:lvl w:ilvl="8" w:tplc="9AB6A7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2728E"/>
    <w:multiLevelType w:val="hybridMultilevel"/>
    <w:tmpl w:val="E3AE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32F5C"/>
    <w:multiLevelType w:val="hybridMultilevel"/>
    <w:tmpl w:val="519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A2B26"/>
    <w:multiLevelType w:val="hybridMultilevel"/>
    <w:tmpl w:val="001444D4"/>
    <w:lvl w:ilvl="0" w:tplc="F2845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909AA"/>
    <w:multiLevelType w:val="hybridMultilevel"/>
    <w:tmpl w:val="CADCD34A"/>
    <w:lvl w:ilvl="0" w:tplc="F2845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10E39"/>
    <w:multiLevelType w:val="hybridMultilevel"/>
    <w:tmpl w:val="B65ED880"/>
    <w:lvl w:ilvl="0" w:tplc="6CF46DB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0E355C"/>
    <w:multiLevelType w:val="hybridMultilevel"/>
    <w:tmpl w:val="9A9E282A"/>
    <w:lvl w:ilvl="0" w:tplc="F2845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D4317"/>
    <w:multiLevelType w:val="hybridMultilevel"/>
    <w:tmpl w:val="F3D60B64"/>
    <w:lvl w:ilvl="0" w:tplc="4AE001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358B5BE">
      <w:start w:val="1"/>
      <w:numFmt w:val="lowerLetter"/>
      <w:lvlText w:val="%2."/>
      <w:lvlJc w:val="left"/>
      <w:pPr>
        <w:ind w:left="1080" w:hanging="360"/>
      </w:pPr>
    </w:lvl>
    <w:lvl w:ilvl="2" w:tplc="CF1ABA08" w:tentative="1">
      <w:start w:val="1"/>
      <w:numFmt w:val="lowerRoman"/>
      <w:lvlText w:val="%3."/>
      <w:lvlJc w:val="right"/>
      <w:pPr>
        <w:ind w:left="1800" w:hanging="180"/>
      </w:pPr>
    </w:lvl>
    <w:lvl w:ilvl="3" w:tplc="63ECCEA8" w:tentative="1">
      <w:start w:val="1"/>
      <w:numFmt w:val="decimal"/>
      <w:lvlText w:val="%4."/>
      <w:lvlJc w:val="left"/>
      <w:pPr>
        <w:ind w:left="2520" w:hanging="360"/>
      </w:pPr>
    </w:lvl>
    <w:lvl w:ilvl="4" w:tplc="BB3EB82A" w:tentative="1">
      <w:start w:val="1"/>
      <w:numFmt w:val="lowerLetter"/>
      <w:lvlText w:val="%5."/>
      <w:lvlJc w:val="left"/>
      <w:pPr>
        <w:ind w:left="3240" w:hanging="360"/>
      </w:pPr>
    </w:lvl>
    <w:lvl w:ilvl="5" w:tplc="A67450A6" w:tentative="1">
      <w:start w:val="1"/>
      <w:numFmt w:val="lowerRoman"/>
      <w:lvlText w:val="%6."/>
      <w:lvlJc w:val="right"/>
      <w:pPr>
        <w:ind w:left="3960" w:hanging="180"/>
      </w:pPr>
    </w:lvl>
    <w:lvl w:ilvl="6" w:tplc="543CE9D0" w:tentative="1">
      <w:start w:val="1"/>
      <w:numFmt w:val="decimal"/>
      <w:lvlText w:val="%7."/>
      <w:lvlJc w:val="left"/>
      <w:pPr>
        <w:ind w:left="4680" w:hanging="360"/>
      </w:pPr>
    </w:lvl>
    <w:lvl w:ilvl="7" w:tplc="57527DCC" w:tentative="1">
      <w:start w:val="1"/>
      <w:numFmt w:val="lowerLetter"/>
      <w:lvlText w:val="%8."/>
      <w:lvlJc w:val="left"/>
      <w:pPr>
        <w:ind w:left="5400" w:hanging="360"/>
      </w:pPr>
    </w:lvl>
    <w:lvl w:ilvl="8" w:tplc="8E3AC3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DA3C0F"/>
    <w:multiLevelType w:val="hybridMultilevel"/>
    <w:tmpl w:val="B2A03784"/>
    <w:lvl w:ilvl="0" w:tplc="F2845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3E28"/>
    <w:multiLevelType w:val="hybridMultilevel"/>
    <w:tmpl w:val="7646E1C8"/>
    <w:lvl w:ilvl="0" w:tplc="F2845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D0428"/>
    <w:multiLevelType w:val="hybridMultilevel"/>
    <w:tmpl w:val="5746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F687F"/>
    <w:multiLevelType w:val="hybridMultilevel"/>
    <w:tmpl w:val="56D0C242"/>
    <w:lvl w:ilvl="0" w:tplc="6CF46D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93962"/>
    <w:multiLevelType w:val="hybridMultilevel"/>
    <w:tmpl w:val="52784360"/>
    <w:lvl w:ilvl="0" w:tplc="F2845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764C4"/>
    <w:multiLevelType w:val="hybridMultilevel"/>
    <w:tmpl w:val="135C110C"/>
    <w:lvl w:ilvl="0" w:tplc="F744A0BE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0261AD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15C602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9B6EE4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95C466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154182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1E65F9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0A252E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BA063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2EF0D7B"/>
    <w:multiLevelType w:val="hybridMultilevel"/>
    <w:tmpl w:val="D1DA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97977"/>
    <w:multiLevelType w:val="hybridMultilevel"/>
    <w:tmpl w:val="50BE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E40F3"/>
    <w:multiLevelType w:val="hybridMultilevel"/>
    <w:tmpl w:val="5662646E"/>
    <w:lvl w:ilvl="0" w:tplc="F2845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27"/>
  </w:num>
  <w:num w:numId="5">
    <w:abstractNumId w:val="28"/>
  </w:num>
  <w:num w:numId="6">
    <w:abstractNumId w:val="11"/>
  </w:num>
  <w:num w:numId="7">
    <w:abstractNumId w:val="13"/>
  </w:num>
  <w:num w:numId="8">
    <w:abstractNumId w:val="7"/>
  </w:num>
  <w:num w:numId="9">
    <w:abstractNumId w:val="15"/>
  </w:num>
  <w:num w:numId="10">
    <w:abstractNumId w:val="19"/>
  </w:num>
  <w:num w:numId="11">
    <w:abstractNumId w:val="25"/>
  </w:num>
  <w:num w:numId="12">
    <w:abstractNumId w:val="16"/>
  </w:num>
  <w:num w:numId="13">
    <w:abstractNumId w:val="8"/>
  </w:num>
  <w:num w:numId="14">
    <w:abstractNumId w:val="29"/>
  </w:num>
  <w:num w:numId="15">
    <w:abstractNumId w:val="17"/>
  </w:num>
  <w:num w:numId="16">
    <w:abstractNumId w:val="10"/>
  </w:num>
  <w:num w:numId="17">
    <w:abstractNumId w:val="20"/>
  </w:num>
  <w:num w:numId="18">
    <w:abstractNumId w:val="9"/>
  </w:num>
  <w:num w:numId="19">
    <w:abstractNumId w:val="6"/>
  </w:num>
  <w:num w:numId="20">
    <w:abstractNumId w:val="24"/>
  </w:num>
  <w:num w:numId="21">
    <w:abstractNumId w:val="23"/>
  </w:num>
  <w:num w:numId="22">
    <w:abstractNumId w:val="1"/>
  </w:num>
  <w:num w:numId="23">
    <w:abstractNumId w:val="2"/>
  </w:num>
  <w:num w:numId="24">
    <w:abstractNumId w:val="3"/>
  </w:num>
  <w:num w:numId="25">
    <w:abstractNumId w:val="18"/>
  </w:num>
  <w:num w:numId="26">
    <w:abstractNumId w:val="0"/>
  </w:num>
  <w:num w:numId="27">
    <w:abstractNumId w:val="22"/>
  </w:num>
  <w:num w:numId="28">
    <w:abstractNumId w:val="5"/>
  </w:num>
  <w:num w:numId="29">
    <w:abstractNumId w:val="30"/>
  </w:num>
  <w:num w:numId="30">
    <w:abstractNumId w:val="1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71"/>
    <w:rsid w:val="00001E65"/>
    <w:rsid w:val="00075107"/>
    <w:rsid w:val="00096BAF"/>
    <w:rsid w:val="000B4E0C"/>
    <w:rsid w:val="000E713F"/>
    <w:rsid w:val="001C750D"/>
    <w:rsid w:val="00276E21"/>
    <w:rsid w:val="00305E7F"/>
    <w:rsid w:val="00364171"/>
    <w:rsid w:val="003C3076"/>
    <w:rsid w:val="0040398A"/>
    <w:rsid w:val="0051454D"/>
    <w:rsid w:val="00556CF9"/>
    <w:rsid w:val="00586E87"/>
    <w:rsid w:val="005C0521"/>
    <w:rsid w:val="0063303C"/>
    <w:rsid w:val="00661978"/>
    <w:rsid w:val="00736E47"/>
    <w:rsid w:val="007B0950"/>
    <w:rsid w:val="007C2A22"/>
    <w:rsid w:val="008277BC"/>
    <w:rsid w:val="00891997"/>
    <w:rsid w:val="00952607"/>
    <w:rsid w:val="009B1149"/>
    <w:rsid w:val="009E2A18"/>
    <w:rsid w:val="009F670E"/>
    <w:rsid w:val="00B057B1"/>
    <w:rsid w:val="00BD32DC"/>
    <w:rsid w:val="00C300B1"/>
    <w:rsid w:val="00C650CA"/>
    <w:rsid w:val="00CA0786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E1FF"/>
  <w15:chartTrackingRefBased/>
  <w15:docId w15:val="{8CA6C32B-6FDA-8D4D-A450-C0F143B5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17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3641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64171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417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6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7BC"/>
  </w:style>
  <w:style w:type="paragraph" w:styleId="Footer">
    <w:name w:val="footer"/>
    <w:basedOn w:val="Normal"/>
    <w:link w:val="FooterChar"/>
    <w:uiPriority w:val="99"/>
    <w:unhideWhenUsed/>
    <w:rsid w:val="00827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7BC"/>
  </w:style>
  <w:style w:type="table" w:styleId="PlainTable1">
    <w:name w:val="Plain Table 1"/>
    <w:basedOn w:val="TableNormal"/>
    <w:uiPriority w:val="41"/>
    <w:rsid w:val="00CA07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86E87"/>
  </w:style>
  <w:style w:type="paragraph" w:styleId="BalloonText">
    <w:name w:val="Balloon Text"/>
    <w:basedOn w:val="Normal"/>
    <w:link w:val="BalloonTextChar"/>
    <w:uiPriority w:val="99"/>
    <w:semiHidden/>
    <w:unhideWhenUsed/>
    <w:rsid w:val="00305E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7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0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Campbell Wood</dc:creator>
  <cp:keywords/>
  <dc:description/>
  <cp:lastModifiedBy>Joshua Abrams</cp:lastModifiedBy>
  <cp:revision>4</cp:revision>
  <dcterms:created xsi:type="dcterms:W3CDTF">2020-01-23T18:23:00Z</dcterms:created>
  <dcterms:modified xsi:type="dcterms:W3CDTF">2020-01-30T21:04:00Z</dcterms:modified>
</cp:coreProperties>
</file>