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645D" w14:textId="77777777" w:rsidR="008C2B83" w:rsidRDefault="00F95DE5">
      <w:r>
        <w:rPr>
          <w:noProof/>
        </w:rPr>
        <w:pict w14:anchorId="2959E87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AC6105C" w14:textId="2B8A44F1" w:rsidR="008C2B83" w:rsidRDefault="007C6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RHNA 6 Housing Element Update Meeting</w:t>
      </w:r>
      <w:r w:rsidR="00E16F31">
        <w:rPr>
          <w:b/>
          <w:sz w:val="32"/>
          <w:szCs w:val="32"/>
        </w:rPr>
        <w:t xml:space="preserve"> </w:t>
      </w:r>
      <w:r w:rsidR="00E16F31" w:rsidRPr="00E16F31">
        <w:rPr>
          <w:b/>
          <w:i/>
          <w:iCs/>
          <w:sz w:val="32"/>
          <w:szCs w:val="32"/>
        </w:rPr>
        <w:t>with Notes</w:t>
      </w:r>
    </w:p>
    <w:p w14:paraId="7B6E8BAF" w14:textId="3DE760C2" w:rsidR="008C2B83" w:rsidRDefault="00EF08C8">
      <w:pPr>
        <w:jc w:val="center"/>
        <w:rPr>
          <w:b/>
        </w:rPr>
      </w:pPr>
      <w:r>
        <w:rPr>
          <w:b/>
        </w:rPr>
        <w:t>September 21</w:t>
      </w:r>
      <w:r w:rsidR="007C61C6">
        <w:rPr>
          <w:b/>
        </w:rPr>
        <w:t>, 2020</w:t>
      </w:r>
    </w:p>
    <w:p w14:paraId="064D5BD7" w14:textId="734EE77A" w:rsidR="008C2B83" w:rsidRPr="00521475" w:rsidRDefault="00F95DE5" w:rsidP="00521475">
      <w:pPr>
        <w:jc w:val="center"/>
      </w:pPr>
      <w:r>
        <w:rPr>
          <w:noProof/>
        </w:rPr>
        <w:pict w14:anchorId="0D51B0B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051188" w14:textId="77777777" w:rsidR="008C2B83" w:rsidRDefault="008C2B83">
      <w:pPr>
        <w:rPr>
          <w:b/>
        </w:rPr>
      </w:pPr>
    </w:p>
    <w:p w14:paraId="797E6C23" w14:textId="77777777" w:rsidR="008C2B83" w:rsidRDefault="007C61C6">
      <w:r>
        <w:rPr>
          <w:b/>
        </w:rPr>
        <w:t>AGENDA</w:t>
      </w:r>
    </w:p>
    <w:p w14:paraId="020783D6" w14:textId="77777777" w:rsidR="008C2B83" w:rsidRDefault="008C2B83">
      <w:pPr>
        <w:rPr>
          <w:i/>
        </w:rPr>
      </w:pPr>
    </w:p>
    <w:p w14:paraId="75596BCD" w14:textId="61E7AFDE" w:rsidR="008C2B83" w:rsidRDefault="007C61C6"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 xml:space="preserve">Welcome and Agenda </w:t>
      </w:r>
    </w:p>
    <w:p w14:paraId="1A36D588" w14:textId="77777777" w:rsidR="00E55307" w:rsidRDefault="00E55307" w:rsidP="00E55307"/>
    <w:p w14:paraId="44AA6F97" w14:textId="18E47B33" w:rsidR="00E55307" w:rsidRDefault="00E55307" w:rsidP="00E55307">
      <w:pPr>
        <w:rPr>
          <w:b/>
        </w:rPr>
      </w:pPr>
      <w:r>
        <w:rPr>
          <w:i/>
        </w:rPr>
        <w:t>1:05 pm</w:t>
      </w:r>
      <w:r>
        <w:tab/>
      </w:r>
      <w:r>
        <w:rPr>
          <w:b/>
        </w:rPr>
        <w:t>I</w:t>
      </w:r>
      <w:r w:rsidR="00084ECD">
        <w:rPr>
          <w:b/>
        </w:rPr>
        <w:t>I</w:t>
      </w:r>
      <w:r>
        <w:rPr>
          <w:b/>
        </w:rPr>
        <w:t>.</w:t>
      </w:r>
      <w:r>
        <w:rPr>
          <w:b/>
        </w:rPr>
        <w:tab/>
        <w:t>Leading with Equity</w:t>
      </w:r>
      <w:r w:rsidR="00E16F31">
        <w:rPr>
          <w:b/>
        </w:rPr>
        <w:t xml:space="preserve"> Overview</w:t>
      </w:r>
      <w:r>
        <w:rPr>
          <w:b/>
        </w:rPr>
        <w:t xml:space="preserve"> </w:t>
      </w:r>
    </w:p>
    <w:p w14:paraId="5987BBA3" w14:textId="2A80C952" w:rsidR="00E55307" w:rsidRDefault="00E55307" w:rsidP="00E55307">
      <w:pPr>
        <w:numPr>
          <w:ilvl w:val="0"/>
          <w:numId w:val="1"/>
        </w:numPr>
        <w:ind w:left="2520"/>
      </w:pPr>
      <w:r>
        <w:t>Why It Matters</w:t>
      </w:r>
      <w:r w:rsidRPr="00E16F31">
        <w:rPr>
          <w:bCs/>
        </w:rPr>
        <w:t xml:space="preserve"> </w:t>
      </w:r>
      <w:r w:rsidR="00E16F31" w:rsidRPr="00E16F31">
        <w:rPr>
          <w:bCs/>
        </w:rPr>
        <w:t>(</w:t>
      </w:r>
      <w:hyperlink r:id="rId7" w:history="1">
        <w:r w:rsidR="00E16F31" w:rsidRPr="00E16F31">
          <w:rPr>
            <w:rStyle w:val="Hyperlink"/>
            <w:bCs/>
          </w:rPr>
          <w:t>Presentation)</w:t>
        </w:r>
      </w:hyperlink>
    </w:p>
    <w:p w14:paraId="05D5C7FC" w14:textId="5532F608" w:rsidR="00E55307" w:rsidRDefault="00E55307" w:rsidP="008377FB">
      <w:pPr>
        <w:pStyle w:val="ListParagraph"/>
        <w:numPr>
          <w:ilvl w:val="0"/>
          <w:numId w:val="4"/>
        </w:numPr>
      </w:pPr>
      <w:r>
        <w:t>History of discrimination</w:t>
      </w:r>
      <w:r w:rsidR="008377FB">
        <w:t xml:space="preserve"> and i</w:t>
      </w:r>
      <w:r>
        <w:t>mpact</w:t>
      </w:r>
      <w:r w:rsidR="008377FB">
        <w:t>s</w:t>
      </w:r>
      <w:r>
        <w:t xml:space="preserve"> on communities of color</w:t>
      </w:r>
    </w:p>
    <w:p w14:paraId="7565CF35" w14:textId="77777777" w:rsidR="00E55307" w:rsidRDefault="00E55307" w:rsidP="00E55307">
      <w:pPr>
        <w:pStyle w:val="ListParagraph"/>
        <w:numPr>
          <w:ilvl w:val="0"/>
          <w:numId w:val="4"/>
        </w:numPr>
      </w:pPr>
      <w:r>
        <w:t xml:space="preserve">Advancing equity in the HE </w:t>
      </w:r>
      <w:proofErr w:type="gramStart"/>
      <w:r>
        <w:t>update</w:t>
      </w:r>
      <w:proofErr w:type="gramEnd"/>
    </w:p>
    <w:p w14:paraId="5DCB1B17" w14:textId="20696665" w:rsidR="00E55307" w:rsidRDefault="00E16F31" w:rsidP="00E55307">
      <w:pPr>
        <w:numPr>
          <w:ilvl w:val="0"/>
          <w:numId w:val="1"/>
        </w:numPr>
        <w:ind w:left="2520"/>
      </w:pPr>
      <w:r>
        <w:t>What is Required: AFFH and Housing Elements (</w:t>
      </w:r>
      <w:hyperlink r:id="rId8" w:history="1">
        <w:r w:rsidRPr="00E16F31">
          <w:rPr>
            <w:rStyle w:val="Hyperlink"/>
          </w:rPr>
          <w:t>Presentation</w:t>
        </w:r>
      </w:hyperlink>
      <w:r>
        <w:t>)</w:t>
      </w:r>
      <w:r w:rsidR="004F5185">
        <w:br/>
      </w:r>
      <w:r w:rsidR="00E55307">
        <w:t>Barbara Kautz, Goldfarb and Lipman</w:t>
      </w:r>
    </w:p>
    <w:p w14:paraId="33C0A7F5" w14:textId="0FE94622" w:rsidR="003671CA" w:rsidRDefault="003671CA" w:rsidP="00DA0D0D">
      <w:pPr>
        <w:numPr>
          <w:ilvl w:val="0"/>
          <w:numId w:val="1"/>
        </w:numPr>
        <w:ind w:left="2520"/>
      </w:pPr>
      <w:r>
        <w:t>Where Are We At?</w:t>
      </w:r>
      <w:r w:rsidR="00DA0D0D">
        <w:t xml:space="preserve"> </w:t>
      </w:r>
    </w:p>
    <w:p w14:paraId="0334405A" w14:textId="6CD712C9" w:rsidR="00E16F31" w:rsidRPr="00E16F31" w:rsidRDefault="00E16F31" w:rsidP="00E16F31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M</w:t>
      </w:r>
      <w:r w:rsidRPr="00E16F31">
        <w:rPr>
          <w:i/>
          <w:iCs/>
        </w:rPr>
        <w:t xml:space="preserve">ore than 50% of respondents said their jurisdiction and community care about equity but still </w:t>
      </w:r>
      <w:r>
        <w:rPr>
          <w:i/>
          <w:iCs/>
        </w:rPr>
        <w:t>have a lot to do</w:t>
      </w:r>
      <w:r w:rsidRPr="00E16F31">
        <w:rPr>
          <w:i/>
          <w:iCs/>
        </w:rPr>
        <w:t>.</w:t>
      </w:r>
    </w:p>
    <w:p w14:paraId="1CC5FC27" w14:textId="2CD1ECF1" w:rsidR="003671CA" w:rsidRDefault="00084ECD" w:rsidP="003671CA">
      <w:pPr>
        <w:numPr>
          <w:ilvl w:val="0"/>
          <w:numId w:val="1"/>
        </w:numPr>
        <w:ind w:left="2520"/>
      </w:pPr>
      <w:r>
        <w:t>Intro to Small Group Exercise</w:t>
      </w:r>
    </w:p>
    <w:p w14:paraId="7A079C7F" w14:textId="77777777" w:rsidR="00E55307" w:rsidRDefault="00E55307" w:rsidP="00E55307">
      <w:pPr>
        <w:ind w:left="2880"/>
      </w:pPr>
    </w:p>
    <w:p w14:paraId="110BA4C2" w14:textId="6CF1D536" w:rsidR="00E55307" w:rsidRPr="00E42403" w:rsidRDefault="00E55307" w:rsidP="00E55307">
      <w:pPr>
        <w:rPr>
          <w:b/>
          <w:bCs/>
        </w:rPr>
      </w:pPr>
      <w:r w:rsidRPr="00E42403">
        <w:rPr>
          <w:i/>
          <w:iCs/>
        </w:rPr>
        <w:t>1:</w:t>
      </w:r>
      <w:r w:rsidR="00084ECD">
        <w:rPr>
          <w:i/>
          <w:iCs/>
        </w:rPr>
        <w:t>30</w:t>
      </w:r>
      <w:r w:rsidRPr="00E42403">
        <w:rPr>
          <w:i/>
          <w:iCs/>
        </w:rPr>
        <w:t xml:space="preserve"> pm</w:t>
      </w:r>
      <w:r>
        <w:tab/>
      </w:r>
      <w:r w:rsidR="00084ECD">
        <w:rPr>
          <w:b/>
          <w:bCs/>
        </w:rPr>
        <w:t>III</w:t>
      </w:r>
      <w:r w:rsidRPr="00E42403">
        <w:rPr>
          <w:b/>
          <w:bCs/>
        </w:rPr>
        <w:t>.</w:t>
      </w:r>
      <w:r w:rsidRPr="00E42403">
        <w:rPr>
          <w:b/>
          <w:bCs/>
        </w:rPr>
        <w:tab/>
        <w:t xml:space="preserve">Small </w:t>
      </w:r>
      <w:r>
        <w:rPr>
          <w:b/>
          <w:bCs/>
        </w:rPr>
        <w:t>G</w:t>
      </w:r>
      <w:r w:rsidRPr="00E42403">
        <w:rPr>
          <w:b/>
          <w:bCs/>
        </w:rPr>
        <w:t>roups</w:t>
      </w:r>
      <w:r>
        <w:rPr>
          <w:b/>
          <w:bCs/>
        </w:rPr>
        <w:t xml:space="preserve"> </w:t>
      </w:r>
      <w:r w:rsidRPr="00E42403">
        <w:rPr>
          <w:b/>
          <w:bCs/>
        </w:rPr>
        <w:t xml:space="preserve">– </w:t>
      </w:r>
      <w:r>
        <w:rPr>
          <w:b/>
          <w:bCs/>
        </w:rPr>
        <w:t>L</w:t>
      </w:r>
      <w:r w:rsidRPr="00E42403">
        <w:rPr>
          <w:b/>
          <w:bCs/>
        </w:rPr>
        <w:t xml:space="preserve">eading with </w:t>
      </w:r>
      <w:r>
        <w:rPr>
          <w:b/>
          <w:bCs/>
        </w:rPr>
        <w:t>E</w:t>
      </w:r>
      <w:r w:rsidRPr="00E42403">
        <w:rPr>
          <w:b/>
          <w:bCs/>
        </w:rPr>
        <w:t xml:space="preserve">quity in the HE </w:t>
      </w:r>
      <w:r>
        <w:rPr>
          <w:b/>
          <w:bCs/>
        </w:rPr>
        <w:t>U</w:t>
      </w:r>
      <w:r w:rsidRPr="00E42403">
        <w:rPr>
          <w:b/>
          <w:bCs/>
        </w:rPr>
        <w:t xml:space="preserve">pdate </w:t>
      </w:r>
      <w:r>
        <w:rPr>
          <w:b/>
          <w:bCs/>
        </w:rPr>
        <w:t>P</w:t>
      </w:r>
      <w:r w:rsidRPr="00E42403">
        <w:rPr>
          <w:b/>
          <w:bCs/>
        </w:rPr>
        <w:t>rocess</w:t>
      </w:r>
    </w:p>
    <w:p w14:paraId="3BE56C94" w14:textId="06C43CCA" w:rsidR="00E16F31" w:rsidRPr="00E16F31" w:rsidRDefault="00E16F31" w:rsidP="00E16F31">
      <w:pPr>
        <w:ind w:left="2160"/>
        <w:rPr>
          <w:i/>
          <w:iCs/>
        </w:rPr>
      </w:pPr>
      <w:r w:rsidRPr="00E16F31">
        <w:rPr>
          <w:i/>
          <w:iCs/>
        </w:rPr>
        <w:t>Three breakout</w:t>
      </w:r>
      <w:r w:rsidR="00E55307" w:rsidRPr="00E16F31">
        <w:rPr>
          <w:i/>
          <w:iCs/>
        </w:rPr>
        <w:t xml:space="preserve"> groups </w:t>
      </w:r>
      <w:r w:rsidRPr="00E16F31">
        <w:rPr>
          <w:i/>
          <w:iCs/>
        </w:rPr>
        <w:t>discussed equity in the following categories</w:t>
      </w:r>
      <w:r w:rsidR="00E55307" w:rsidRPr="00E16F31">
        <w:rPr>
          <w:i/>
          <w:iCs/>
        </w:rPr>
        <w:t>:</w:t>
      </w:r>
    </w:p>
    <w:p w14:paraId="02DF36CD" w14:textId="77777777" w:rsidR="00E55307" w:rsidRDefault="00E55307" w:rsidP="00E55307">
      <w:pPr>
        <w:pStyle w:val="ListParagraph"/>
        <w:numPr>
          <w:ilvl w:val="0"/>
          <w:numId w:val="2"/>
        </w:numPr>
      </w:pPr>
      <w:r>
        <w:t xml:space="preserve">Community outreach and engagement </w:t>
      </w:r>
    </w:p>
    <w:p w14:paraId="4845F904" w14:textId="77777777" w:rsidR="00E55307" w:rsidRDefault="00E55307" w:rsidP="00E55307">
      <w:pPr>
        <w:pStyle w:val="ListParagraph"/>
        <w:numPr>
          <w:ilvl w:val="0"/>
          <w:numId w:val="2"/>
        </w:numPr>
      </w:pPr>
      <w:r>
        <w:t>Sites analysis and inventory</w:t>
      </w:r>
    </w:p>
    <w:p w14:paraId="3F6EDE2E" w14:textId="5E53A4FD" w:rsidR="00E55307" w:rsidRDefault="00084ECD" w:rsidP="00E55307">
      <w:pPr>
        <w:pStyle w:val="ListParagraph"/>
        <w:numPr>
          <w:ilvl w:val="0"/>
          <w:numId w:val="2"/>
        </w:numPr>
      </w:pPr>
      <w:r>
        <w:t>The Housing Element (e</w:t>
      </w:r>
      <w:r w:rsidR="00E55307">
        <w:t xml:space="preserve">valuation of existing element; </w:t>
      </w:r>
      <w:r>
        <w:t xml:space="preserve">analysis of </w:t>
      </w:r>
      <w:r w:rsidR="00E55307">
        <w:t>housing needs</w:t>
      </w:r>
      <w:r>
        <w:t xml:space="preserve"> and constraints; h</w:t>
      </w:r>
      <w:r w:rsidR="00E55307">
        <w:t>ousing goals and policies</w:t>
      </w:r>
      <w:r>
        <w:t>)</w:t>
      </w:r>
    </w:p>
    <w:p w14:paraId="3AF09208" w14:textId="6B832DBA" w:rsidR="00084ECD" w:rsidRPr="00E16F31" w:rsidRDefault="00084ECD" w:rsidP="00E16F31">
      <w:pPr>
        <w:rPr>
          <w:i/>
          <w:iCs/>
        </w:rPr>
      </w:pPr>
    </w:p>
    <w:p w14:paraId="3A1F098F" w14:textId="067DA940" w:rsidR="00084ECD" w:rsidRDefault="00084ECD" w:rsidP="00084ECD">
      <w:pPr>
        <w:rPr>
          <w:b/>
        </w:rPr>
      </w:pPr>
      <w:r>
        <w:rPr>
          <w:i/>
        </w:rPr>
        <w:t>1:55 pm</w:t>
      </w:r>
      <w:r>
        <w:tab/>
      </w:r>
      <w:r>
        <w:rPr>
          <w:b/>
        </w:rPr>
        <w:t>IV.</w:t>
      </w:r>
      <w:r>
        <w:rPr>
          <w:b/>
        </w:rPr>
        <w:tab/>
        <w:t xml:space="preserve">Small Group Reports and Discussion </w:t>
      </w:r>
    </w:p>
    <w:p w14:paraId="1DD2B0C7" w14:textId="5D8DA9A2" w:rsidR="00E16F31" w:rsidRPr="00E16F31" w:rsidRDefault="00E16F31" w:rsidP="00084ECD">
      <w:pPr>
        <w:rPr>
          <w:i/>
          <w:iCs/>
        </w:rPr>
      </w:pPr>
      <w:r>
        <w:tab/>
      </w:r>
      <w:r>
        <w:tab/>
      </w:r>
      <w:r>
        <w:tab/>
      </w:r>
      <w:r w:rsidRPr="00E16F31">
        <w:rPr>
          <w:i/>
          <w:iCs/>
        </w:rPr>
        <w:t>Major takeaways in the report back included:</w:t>
      </w:r>
    </w:p>
    <w:p w14:paraId="4B1EE371" w14:textId="4EEFF9B1" w:rsidR="00E16F31" w:rsidRPr="00E16F31" w:rsidRDefault="00E16F31" w:rsidP="00E16F31">
      <w:pPr>
        <w:pStyle w:val="ListParagraph"/>
        <w:numPr>
          <w:ilvl w:val="0"/>
          <w:numId w:val="2"/>
        </w:numPr>
        <w:rPr>
          <w:i/>
          <w:iCs/>
        </w:rPr>
      </w:pPr>
      <w:r w:rsidRPr="00E16F31">
        <w:rPr>
          <w:i/>
          <w:iCs/>
        </w:rPr>
        <w:t>A diversity of voices is needed to pitch why it matters to participate</w:t>
      </w:r>
    </w:p>
    <w:p w14:paraId="7B084176" w14:textId="58C462A1" w:rsidR="00E16F31" w:rsidRPr="00E16F31" w:rsidRDefault="00E16F31" w:rsidP="00E16F31">
      <w:pPr>
        <w:pStyle w:val="ListParagraph"/>
        <w:numPr>
          <w:ilvl w:val="0"/>
          <w:numId w:val="2"/>
        </w:numPr>
        <w:rPr>
          <w:i/>
          <w:iCs/>
        </w:rPr>
      </w:pPr>
      <w:r w:rsidRPr="00E16F31">
        <w:rPr>
          <w:i/>
          <w:iCs/>
        </w:rPr>
        <w:t>Clarify equity definition and how it translates in housing elements</w:t>
      </w:r>
    </w:p>
    <w:p w14:paraId="469BD177" w14:textId="5A55887C" w:rsidR="00E16F31" w:rsidRPr="00E16F31" w:rsidRDefault="00E16F31" w:rsidP="00E16F31">
      <w:pPr>
        <w:pStyle w:val="ListParagraph"/>
        <w:numPr>
          <w:ilvl w:val="0"/>
          <w:numId w:val="2"/>
        </w:numPr>
        <w:rPr>
          <w:i/>
          <w:iCs/>
        </w:rPr>
      </w:pPr>
      <w:r w:rsidRPr="00E16F31">
        <w:rPr>
          <w:i/>
          <w:iCs/>
        </w:rPr>
        <w:t>Bring in community and NGOs for outreach and provide them funding – consider Oakland community consultant bench model</w:t>
      </w:r>
    </w:p>
    <w:p w14:paraId="35EADE04" w14:textId="3406C5C4" w:rsidR="00E16F31" w:rsidRPr="00E16F31" w:rsidRDefault="00E16F31" w:rsidP="00E16F31">
      <w:pPr>
        <w:pStyle w:val="ListParagraph"/>
        <w:numPr>
          <w:ilvl w:val="0"/>
          <w:numId w:val="2"/>
        </w:numPr>
        <w:rPr>
          <w:i/>
          <w:iCs/>
        </w:rPr>
      </w:pPr>
      <w:r w:rsidRPr="00E16F31">
        <w:rPr>
          <w:i/>
          <w:iCs/>
        </w:rPr>
        <w:t xml:space="preserve">Best practices, tools and ideas for getting those that don’t usually participate to the table </w:t>
      </w:r>
    </w:p>
    <w:p w14:paraId="45637505" w14:textId="53BE85D2" w:rsidR="00084ECD" w:rsidRPr="00E16F31" w:rsidRDefault="00084ECD" w:rsidP="00E16F31">
      <w:pPr>
        <w:rPr>
          <w:i/>
          <w:iCs/>
        </w:rPr>
      </w:pPr>
    </w:p>
    <w:p w14:paraId="138D1976" w14:textId="49B5D89F" w:rsidR="00084ECD" w:rsidRDefault="00084ECD" w:rsidP="00084ECD">
      <w:r>
        <w:rPr>
          <w:i/>
        </w:rPr>
        <w:t>2:10 pm</w:t>
      </w:r>
      <w:r>
        <w:tab/>
      </w:r>
      <w:r>
        <w:rPr>
          <w:b/>
        </w:rPr>
        <w:t>V.</w:t>
      </w:r>
      <w:r>
        <w:rPr>
          <w:b/>
        </w:rPr>
        <w:tab/>
        <w:t>Methodology Committee Update</w:t>
      </w:r>
    </w:p>
    <w:p w14:paraId="0289871F" w14:textId="271672C6" w:rsidR="008C2B83" w:rsidRPr="00084ECD" w:rsidRDefault="008C2B83" w:rsidP="00084ECD">
      <w:pPr>
        <w:pStyle w:val="ListParagraph"/>
        <w:ind w:left="2520"/>
        <w:rPr>
          <w:i/>
          <w:iCs/>
        </w:rPr>
      </w:pPr>
    </w:p>
    <w:p w14:paraId="71116D2D" w14:textId="1055B3AC" w:rsidR="008C2B83" w:rsidRDefault="00084ECD">
      <w:r>
        <w:rPr>
          <w:i/>
        </w:rPr>
        <w:t>2</w:t>
      </w:r>
      <w:r w:rsidR="007C61C6">
        <w:rPr>
          <w:i/>
        </w:rPr>
        <w:t>:</w:t>
      </w:r>
      <w:r>
        <w:rPr>
          <w:i/>
        </w:rPr>
        <w:t>20</w:t>
      </w:r>
      <w:r w:rsidR="007C61C6">
        <w:rPr>
          <w:i/>
        </w:rPr>
        <w:t xml:space="preserve"> pm</w:t>
      </w:r>
      <w:r w:rsidR="007C61C6">
        <w:tab/>
      </w:r>
      <w:r>
        <w:rPr>
          <w:b/>
        </w:rPr>
        <w:t>VI</w:t>
      </w:r>
      <w:r w:rsidR="007C61C6">
        <w:rPr>
          <w:b/>
        </w:rPr>
        <w:t>.</w:t>
      </w:r>
      <w:r w:rsidR="007C61C6">
        <w:rPr>
          <w:b/>
        </w:rPr>
        <w:tab/>
        <w:t>Announcements</w:t>
      </w:r>
    </w:p>
    <w:p w14:paraId="46A7E446" w14:textId="7935ECB0" w:rsidR="00EF08C8" w:rsidRDefault="00EF08C8" w:rsidP="00084ECD">
      <w:pPr>
        <w:ind w:left="2880"/>
      </w:pPr>
    </w:p>
    <w:p w14:paraId="4EC0FB50" w14:textId="189A10EA" w:rsidR="008C2B83" w:rsidRDefault="007C61C6">
      <w:pPr>
        <w:rPr>
          <w:b/>
          <w:bCs/>
        </w:rPr>
      </w:pPr>
      <w:r>
        <w:rPr>
          <w:i/>
        </w:rPr>
        <w:t>2:</w:t>
      </w:r>
      <w:r w:rsidR="00BF028C">
        <w:rPr>
          <w:i/>
        </w:rPr>
        <w:t>25</w:t>
      </w:r>
      <w:r>
        <w:rPr>
          <w:i/>
        </w:rPr>
        <w:t xml:space="preserve"> pm</w:t>
      </w:r>
      <w:r>
        <w:t xml:space="preserve"> </w:t>
      </w:r>
      <w:r>
        <w:tab/>
      </w:r>
      <w:r w:rsidR="00BF028C" w:rsidRPr="00BF028C">
        <w:rPr>
          <w:b/>
          <w:bCs/>
        </w:rPr>
        <w:t>VII.</w:t>
      </w:r>
      <w:r w:rsidRPr="00BF028C">
        <w:rPr>
          <w:b/>
          <w:bCs/>
        </w:rPr>
        <w:tab/>
      </w:r>
      <w:r w:rsidR="00BF028C" w:rsidRPr="00BF028C">
        <w:rPr>
          <w:b/>
          <w:bCs/>
        </w:rPr>
        <w:t xml:space="preserve">Schedule Look-ahead </w:t>
      </w:r>
      <w:r w:rsidR="00BF028C">
        <w:rPr>
          <w:b/>
          <w:bCs/>
        </w:rPr>
        <w:t>/ Next Steps</w:t>
      </w:r>
    </w:p>
    <w:p w14:paraId="6987A39E" w14:textId="139CD099" w:rsidR="00BF028C" w:rsidRDefault="00BF028C">
      <w:pPr>
        <w:rPr>
          <w:b/>
          <w:bCs/>
        </w:rPr>
      </w:pPr>
    </w:p>
    <w:p w14:paraId="1914292E" w14:textId="02DDC76C" w:rsidR="00C05BF3" w:rsidRPr="00E16F31" w:rsidRDefault="00BF028C" w:rsidP="0069308D">
      <w:pPr>
        <w:rPr>
          <w:i/>
          <w:iCs/>
        </w:rPr>
      </w:pPr>
      <w:r w:rsidRPr="00BF028C">
        <w:rPr>
          <w:i/>
          <w:iCs/>
        </w:rPr>
        <w:t>2:30 pm</w:t>
      </w:r>
      <w:r w:rsidRPr="00BF028C">
        <w:rPr>
          <w:i/>
          <w:iCs/>
        </w:rPr>
        <w:tab/>
      </w:r>
      <w:r w:rsidRPr="00BF028C">
        <w:rPr>
          <w:i/>
          <w:iCs/>
        </w:rPr>
        <w:tab/>
        <w:t>Close</w:t>
      </w:r>
    </w:p>
    <w:sectPr w:rsidR="00C05BF3" w:rsidRPr="00E16F3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40BE" w14:textId="77777777" w:rsidR="00F95DE5" w:rsidRDefault="00F95DE5">
      <w:pPr>
        <w:spacing w:line="240" w:lineRule="auto"/>
      </w:pPr>
      <w:r>
        <w:separator/>
      </w:r>
    </w:p>
  </w:endnote>
  <w:endnote w:type="continuationSeparator" w:id="0">
    <w:p w14:paraId="12CC83CA" w14:textId="77777777" w:rsidR="00F95DE5" w:rsidRDefault="00F9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823B" w14:textId="77777777" w:rsidR="00F95DE5" w:rsidRDefault="00F95DE5">
      <w:pPr>
        <w:spacing w:line="240" w:lineRule="auto"/>
      </w:pPr>
      <w:r>
        <w:separator/>
      </w:r>
    </w:p>
  </w:footnote>
  <w:footnote w:type="continuationSeparator" w:id="0">
    <w:p w14:paraId="06B1C5F5" w14:textId="77777777" w:rsidR="00F95DE5" w:rsidRDefault="00F9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4498" w14:textId="77777777" w:rsidR="008C2B83" w:rsidRDefault="007C61C6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2E3D2E" wp14:editId="6B321DC1">
          <wp:simplePos x="0" y="0"/>
          <wp:positionH relativeFrom="column">
            <wp:posOffset>1879600</wp:posOffset>
          </wp:positionH>
          <wp:positionV relativeFrom="paragraph">
            <wp:posOffset>20955</wp:posOffset>
          </wp:positionV>
          <wp:extent cx="2028825" cy="4610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6453"/>
                  <a:stretch/>
                </pic:blipFill>
                <pic:spPr bwMode="auto">
                  <a:xfrm>
                    <a:off x="0" y="0"/>
                    <a:ext cx="2028825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07D50A4" w14:textId="77777777" w:rsidR="008C2B83" w:rsidRDefault="008C2B83">
    <w:pPr>
      <w:rPr>
        <w:b/>
        <w:color w:val="47BEE6"/>
      </w:rPr>
    </w:pPr>
  </w:p>
  <w:p w14:paraId="028B59C1" w14:textId="77777777" w:rsidR="008C2B83" w:rsidRDefault="008C2B83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6BF0"/>
    <w:multiLevelType w:val="hybridMultilevel"/>
    <w:tmpl w:val="452AEA12"/>
    <w:lvl w:ilvl="0" w:tplc="CF36C0F4">
      <w:start w:val="2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0E4"/>
    <w:multiLevelType w:val="hybridMultilevel"/>
    <w:tmpl w:val="CB66C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E51E7"/>
    <w:multiLevelType w:val="hybridMultilevel"/>
    <w:tmpl w:val="BBC6113A"/>
    <w:lvl w:ilvl="0" w:tplc="CF36C0F4">
      <w:start w:val="2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C72D77"/>
    <w:multiLevelType w:val="multilevel"/>
    <w:tmpl w:val="C78A75F0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318D3A1B"/>
    <w:multiLevelType w:val="hybridMultilevel"/>
    <w:tmpl w:val="B5C003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3217F1"/>
    <w:multiLevelType w:val="hybridMultilevel"/>
    <w:tmpl w:val="397A4B24"/>
    <w:lvl w:ilvl="0" w:tplc="CF36C0F4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151572"/>
    <w:multiLevelType w:val="hybridMultilevel"/>
    <w:tmpl w:val="B39035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82D01B9"/>
    <w:multiLevelType w:val="hybridMultilevel"/>
    <w:tmpl w:val="329E6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6475"/>
    <w:multiLevelType w:val="hybridMultilevel"/>
    <w:tmpl w:val="2EA279F6"/>
    <w:lvl w:ilvl="0" w:tplc="CF36C0F4">
      <w:start w:val="2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247D78"/>
    <w:multiLevelType w:val="hybridMultilevel"/>
    <w:tmpl w:val="700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45A"/>
    <w:multiLevelType w:val="hybridMultilevel"/>
    <w:tmpl w:val="329E6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C1116"/>
    <w:multiLevelType w:val="hybridMultilevel"/>
    <w:tmpl w:val="6CF6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3"/>
    <w:rsid w:val="00084ECD"/>
    <w:rsid w:val="000C17F9"/>
    <w:rsid w:val="000C3234"/>
    <w:rsid w:val="002B4106"/>
    <w:rsid w:val="002D7802"/>
    <w:rsid w:val="003671CA"/>
    <w:rsid w:val="004F5185"/>
    <w:rsid w:val="00507C4C"/>
    <w:rsid w:val="00521475"/>
    <w:rsid w:val="0068399E"/>
    <w:rsid w:val="0069308D"/>
    <w:rsid w:val="006C5E59"/>
    <w:rsid w:val="00770314"/>
    <w:rsid w:val="007C61C6"/>
    <w:rsid w:val="008377FB"/>
    <w:rsid w:val="008C2B83"/>
    <w:rsid w:val="00A3092D"/>
    <w:rsid w:val="00A60D02"/>
    <w:rsid w:val="00AC651B"/>
    <w:rsid w:val="00B8442F"/>
    <w:rsid w:val="00BF028C"/>
    <w:rsid w:val="00C05BF3"/>
    <w:rsid w:val="00D369D3"/>
    <w:rsid w:val="00D62663"/>
    <w:rsid w:val="00D86B03"/>
    <w:rsid w:val="00DA0D0D"/>
    <w:rsid w:val="00E110A5"/>
    <w:rsid w:val="00E16F31"/>
    <w:rsid w:val="00E42403"/>
    <w:rsid w:val="00E55307"/>
    <w:rsid w:val="00EF08C8"/>
    <w:rsid w:val="00F17986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8677"/>
  <w15:docId w15:val="{1783E1F2-600B-2149-A915-7C9BDD2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2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8C"/>
  </w:style>
  <w:style w:type="paragraph" w:styleId="Footer">
    <w:name w:val="footer"/>
    <w:basedOn w:val="Normal"/>
    <w:link w:val="FooterChar"/>
    <w:uiPriority w:val="99"/>
    <w:unhideWhenUsed/>
    <w:rsid w:val="00BF02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8C"/>
  </w:style>
  <w:style w:type="character" w:styleId="FollowedHyperlink">
    <w:name w:val="FollowedHyperlink"/>
    <w:basedOn w:val="DefaultParagraphFont"/>
    <w:uiPriority w:val="99"/>
    <w:semiHidden/>
    <w:unhideWhenUsed/>
    <w:rsid w:val="00E55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elements.com/documents-mainmenu-3/housing-elements/rhna-6-2022-2030/1152-leading-with-equity-in-housing-elements-presentation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housing-elements/rhna-6-2022-2030/1152-leading-with-equity-in-housing-elements-presentation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Brandi Campbell Wood</cp:lastModifiedBy>
  <cp:revision>2</cp:revision>
  <dcterms:created xsi:type="dcterms:W3CDTF">2020-09-23T22:48:00Z</dcterms:created>
  <dcterms:modified xsi:type="dcterms:W3CDTF">2020-09-23T22:48:00Z</dcterms:modified>
</cp:coreProperties>
</file>