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E11F" w14:textId="18447255" w:rsidR="00D25635" w:rsidRPr="00067077" w:rsidRDefault="00DC16E6" w:rsidP="00067077">
      <w:pPr>
        <w:tabs>
          <w:tab w:val="left" w:pos="1440"/>
        </w:tabs>
        <w:rPr>
          <w:b/>
          <w:bCs/>
          <w:color w:val="0B5095"/>
          <w:sz w:val="44"/>
          <w:szCs w:val="44"/>
        </w:rPr>
      </w:pPr>
      <w:bookmarkStart w:id="0" w:name="_GoBack"/>
      <w:bookmarkEnd w:id="0"/>
      <w:r>
        <w:rPr>
          <w:b/>
          <w:bCs/>
          <w:color w:val="C0504D" w:themeColor="accent2"/>
          <w:sz w:val="44"/>
          <w:szCs w:val="44"/>
        </w:rPr>
        <w:t xml:space="preserve">DRAFT </w:t>
      </w:r>
      <w:r w:rsidR="003B70CF" w:rsidRPr="007120F5">
        <w:rPr>
          <w:b/>
          <w:bCs/>
          <w:color w:val="0B5095"/>
          <w:sz w:val="44"/>
          <w:szCs w:val="44"/>
        </w:rPr>
        <w:t xml:space="preserve">Town of </w:t>
      </w:r>
      <w:r w:rsidR="00853231" w:rsidRPr="007120F5">
        <w:rPr>
          <w:b/>
          <w:bCs/>
          <w:color w:val="0B5095"/>
          <w:sz w:val="44"/>
          <w:szCs w:val="44"/>
        </w:rPr>
        <w:t>Hillsborough</w:t>
      </w:r>
    </w:p>
    <w:p w14:paraId="2C51B4C2" w14:textId="7ED20EBB" w:rsidR="006B18C9" w:rsidRPr="00067077" w:rsidRDefault="0027789E" w:rsidP="00067077">
      <w:pPr>
        <w:tabs>
          <w:tab w:val="left" w:pos="1440"/>
        </w:tabs>
        <w:rPr>
          <w:bCs/>
          <w:color w:val="0B5095"/>
          <w:sz w:val="40"/>
          <w:szCs w:val="28"/>
        </w:rPr>
      </w:pPr>
      <w:r w:rsidRPr="00067077">
        <w:rPr>
          <w:bCs/>
          <w:color w:val="0B5095"/>
          <w:sz w:val="40"/>
          <w:szCs w:val="28"/>
        </w:rPr>
        <w:t xml:space="preserve">Housing Needs </w:t>
      </w:r>
      <w:r w:rsidR="00067077" w:rsidRPr="00067077">
        <w:rPr>
          <w:bCs/>
          <w:color w:val="0B5095"/>
          <w:sz w:val="40"/>
          <w:szCs w:val="28"/>
        </w:rPr>
        <w:t>Assessment</w:t>
      </w:r>
    </w:p>
    <w:p w14:paraId="0EA97988" w14:textId="2371DA3B" w:rsidR="009B205F" w:rsidRDefault="009B205F" w:rsidP="00067077"/>
    <w:p w14:paraId="3EC23246" w14:textId="77777777" w:rsidR="001A5CD6" w:rsidRPr="00ED0B04" w:rsidRDefault="001A5CD6" w:rsidP="00067077">
      <w:pPr>
        <w:pStyle w:val="heading10"/>
        <w:rPr>
          <w:bCs/>
          <w:color w:val="0B5095"/>
        </w:rPr>
      </w:pPr>
      <w:r w:rsidRPr="00ED0B04">
        <w:rPr>
          <w:bCs/>
          <w:color w:val="0B5095"/>
        </w:rPr>
        <w:t xml:space="preserve">Income Categories </w:t>
      </w:r>
    </w:p>
    <w:p w14:paraId="5AC85DCB" w14:textId="76536040" w:rsidR="001A5CD6" w:rsidRPr="00BB0775" w:rsidRDefault="001A5CD6" w:rsidP="00C30273">
      <w:pPr>
        <w:pStyle w:val="21ElementsText"/>
      </w:pPr>
      <w:r>
        <w:t xml:space="preserve">The </w:t>
      </w:r>
      <w:r w:rsidR="00ED0B04">
        <w:t xml:space="preserve">U.S. </w:t>
      </w:r>
      <w:r>
        <w:t>Department of Housing and Urban Development (HUD)</w:t>
      </w:r>
      <w:r w:rsidRPr="00BB0775">
        <w:t xml:space="preserve"> </w:t>
      </w:r>
      <w:r w:rsidR="00ED0B04">
        <w:rPr>
          <w:szCs w:val="22"/>
        </w:rPr>
        <w:t xml:space="preserve">and the California Department of Housing and Community Development (HCD) </w:t>
      </w:r>
      <w:r w:rsidR="00ED0B04">
        <w:t>use</w:t>
      </w:r>
      <w:r>
        <w:t xml:space="preserve"> </w:t>
      </w:r>
      <w:r w:rsidRPr="00BB0775">
        <w:t xml:space="preserve">household income categories </w:t>
      </w:r>
      <w:r>
        <w:t xml:space="preserve">to </w:t>
      </w:r>
      <w:r w:rsidR="00DC16E6">
        <w:t xml:space="preserve">help standardize analysis of housing needs. </w:t>
      </w:r>
      <w:r>
        <w:t xml:space="preserve">The </w:t>
      </w:r>
      <w:r w:rsidR="0051150B">
        <w:t xml:space="preserve">income </w:t>
      </w:r>
      <w:r>
        <w:t>categories are summarized below</w:t>
      </w:r>
      <w:r w:rsidR="0051150B">
        <w:t xml:space="preserve"> and are based on a household’s percentage of San Mateo County’s Area Median Income (AMI).</w:t>
      </w:r>
      <w:r>
        <w:t xml:space="preserve"> </w:t>
      </w:r>
    </w:p>
    <w:p w14:paraId="53C30D63" w14:textId="77777777" w:rsidR="001A5CD6" w:rsidRPr="00997AD9" w:rsidRDefault="001A5CD6" w:rsidP="00067077">
      <w:pPr>
        <w:tabs>
          <w:tab w:val="left" w:pos="1440"/>
        </w:tabs>
        <w:rPr>
          <w:sz w:val="14"/>
        </w:rPr>
      </w:pPr>
    </w:p>
    <w:tbl>
      <w:tblPr>
        <w:tblW w:w="6880" w:type="dxa"/>
        <w:tblInd w:w="93" w:type="dxa"/>
        <w:tblLook w:val="04A0" w:firstRow="1" w:lastRow="0" w:firstColumn="1" w:lastColumn="0" w:noHBand="0" w:noVBand="1"/>
      </w:tblPr>
      <w:tblGrid>
        <w:gridCol w:w="3340"/>
        <w:gridCol w:w="3540"/>
      </w:tblGrid>
      <w:tr w:rsidR="001A5CD6" w:rsidRPr="007C2918" w14:paraId="353EB15D" w14:textId="77777777" w:rsidTr="003708D3">
        <w:trPr>
          <w:trHeight w:val="300"/>
        </w:trPr>
        <w:tc>
          <w:tcPr>
            <w:tcW w:w="3340" w:type="dxa"/>
            <w:tcBorders>
              <w:top w:val="nil"/>
              <w:left w:val="nil"/>
              <w:bottom w:val="nil"/>
              <w:right w:val="nil"/>
            </w:tcBorders>
            <w:shd w:val="clear" w:color="000000" w:fill="000000"/>
            <w:noWrap/>
            <w:vAlign w:val="bottom"/>
            <w:hideMark/>
          </w:tcPr>
          <w:p w14:paraId="7CE5643B" w14:textId="77777777" w:rsidR="001A5CD6" w:rsidRPr="000D4D2F" w:rsidRDefault="001A5CD6" w:rsidP="000D4D2F">
            <w:pPr>
              <w:rPr>
                <w:rFonts w:eastAsia="Times New Roman" w:cs="Times New Roman"/>
                <w:b/>
                <w:bCs/>
                <w:color w:val="FFFFFF"/>
                <w:sz w:val="20"/>
                <w:szCs w:val="20"/>
              </w:rPr>
            </w:pPr>
            <w:r w:rsidRPr="000D4D2F">
              <w:rPr>
                <w:rFonts w:eastAsia="Times New Roman" w:cs="Times New Roman"/>
                <w:b/>
                <w:bCs/>
                <w:color w:val="FFFFFF"/>
                <w:sz w:val="20"/>
                <w:szCs w:val="20"/>
              </w:rPr>
              <w:t>Income Category Definitions</w:t>
            </w:r>
          </w:p>
        </w:tc>
        <w:tc>
          <w:tcPr>
            <w:tcW w:w="3540" w:type="dxa"/>
            <w:tcBorders>
              <w:top w:val="nil"/>
              <w:left w:val="nil"/>
              <w:right w:val="nil"/>
            </w:tcBorders>
            <w:shd w:val="clear" w:color="000000" w:fill="000000"/>
            <w:noWrap/>
            <w:vAlign w:val="bottom"/>
            <w:hideMark/>
          </w:tcPr>
          <w:p w14:paraId="07432067" w14:textId="77777777" w:rsidR="001A5CD6" w:rsidRPr="000D4D2F" w:rsidRDefault="001A5CD6" w:rsidP="000D4D2F">
            <w:pPr>
              <w:rPr>
                <w:rFonts w:eastAsia="Times New Roman" w:cs="Times New Roman"/>
                <w:b/>
                <w:bCs/>
                <w:color w:val="FFFFFF"/>
                <w:sz w:val="20"/>
                <w:szCs w:val="20"/>
              </w:rPr>
            </w:pPr>
            <w:r w:rsidRPr="000D4D2F">
              <w:rPr>
                <w:rFonts w:eastAsia="Times New Roman" w:cs="Times New Roman"/>
                <w:b/>
                <w:bCs/>
                <w:color w:val="FFFFFF"/>
                <w:sz w:val="20"/>
                <w:szCs w:val="20"/>
              </w:rPr>
              <w:t> </w:t>
            </w:r>
          </w:p>
        </w:tc>
      </w:tr>
      <w:tr w:rsidR="001A5CD6" w:rsidRPr="007C2918" w14:paraId="43A7A2A0" w14:textId="77777777" w:rsidTr="003708D3">
        <w:trPr>
          <w:trHeight w:val="300"/>
        </w:trPr>
        <w:tc>
          <w:tcPr>
            <w:tcW w:w="3340" w:type="dxa"/>
            <w:tcBorders>
              <w:top w:val="nil"/>
              <w:left w:val="nil"/>
              <w:bottom w:val="nil"/>
              <w:right w:val="single" w:sz="4" w:space="0" w:color="auto"/>
            </w:tcBorders>
            <w:shd w:val="clear" w:color="auto" w:fill="auto"/>
            <w:noWrap/>
            <w:vAlign w:val="bottom"/>
            <w:hideMark/>
          </w:tcPr>
          <w:p w14:paraId="7FC120A4" w14:textId="77777777" w:rsidR="00ED0B04" w:rsidRPr="003708D3" w:rsidRDefault="00ED0B04" w:rsidP="00DC16E6">
            <w:pPr>
              <w:spacing w:line="360" w:lineRule="auto"/>
              <w:rPr>
                <w:rFonts w:eastAsia="Times New Roman" w:cs="Times New Roman"/>
                <w:color w:val="000000"/>
                <w:sz w:val="6"/>
                <w:szCs w:val="18"/>
              </w:rPr>
            </w:pPr>
          </w:p>
          <w:p w14:paraId="4126FB20"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Extremely Low</w:t>
            </w:r>
          </w:p>
        </w:tc>
        <w:tc>
          <w:tcPr>
            <w:tcW w:w="3540" w:type="dxa"/>
            <w:tcBorders>
              <w:top w:val="nil"/>
              <w:left w:val="single" w:sz="4" w:space="0" w:color="auto"/>
              <w:bottom w:val="nil"/>
              <w:right w:val="nil"/>
            </w:tcBorders>
            <w:shd w:val="clear" w:color="auto" w:fill="auto"/>
            <w:noWrap/>
            <w:vAlign w:val="bottom"/>
            <w:hideMark/>
          </w:tcPr>
          <w:p w14:paraId="0F7CD943" w14:textId="7B803012" w:rsidR="001A5CD6" w:rsidRPr="007C2918" w:rsidRDefault="00ED0B04" w:rsidP="00DC16E6">
            <w:pPr>
              <w:spacing w:line="360" w:lineRule="auto"/>
              <w:rPr>
                <w:rFonts w:eastAsia="Times New Roman" w:cs="Times New Roman"/>
                <w:color w:val="000000"/>
                <w:sz w:val="18"/>
                <w:szCs w:val="18"/>
              </w:rPr>
            </w:pPr>
            <w:r>
              <w:rPr>
                <w:rFonts w:eastAsia="Times New Roman" w:cs="Times New Roman"/>
                <w:color w:val="000000"/>
                <w:sz w:val="18"/>
                <w:szCs w:val="18"/>
              </w:rPr>
              <w:t>B</w:t>
            </w:r>
            <w:r w:rsidR="001A5CD6" w:rsidRPr="007C2918">
              <w:rPr>
                <w:rFonts w:eastAsia="Times New Roman" w:cs="Times New Roman"/>
                <w:color w:val="000000"/>
                <w:sz w:val="18"/>
                <w:szCs w:val="18"/>
              </w:rPr>
              <w:t xml:space="preserve">elow 30% of </w:t>
            </w:r>
            <w:r w:rsidR="001A5CD6">
              <w:rPr>
                <w:rFonts w:eastAsia="Times New Roman" w:cs="Times New Roman"/>
                <w:color w:val="000000"/>
                <w:sz w:val="18"/>
                <w:szCs w:val="18"/>
              </w:rPr>
              <w:t xml:space="preserve">area </w:t>
            </w:r>
            <w:r w:rsidR="001A5CD6" w:rsidRPr="007C2918">
              <w:rPr>
                <w:rFonts w:eastAsia="Times New Roman" w:cs="Times New Roman"/>
                <w:color w:val="000000"/>
                <w:sz w:val="18"/>
                <w:szCs w:val="18"/>
              </w:rPr>
              <w:t>median</w:t>
            </w:r>
            <w:r w:rsidR="001A5CD6">
              <w:rPr>
                <w:rFonts w:eastAsia="Times New Roman" w:cs="Times New Roman"/>
                <w:color w:val="000000"/>
                <w:sz w:val="18"/>
                <w:szCs w:val="18"/>
              </w:rPr>
              <w:t xml:space="preserve"> income </w:t>
            </w:r>
          </w:p>
        </w:tc>
      </w:tr>
      <w:tr w:rsidR="001A5CD6" w:rsidRPr="007C2918" w14:paraId="194F7C78" w14:textId="77777777" w:rsidTr="003708D3">
        <w:trPr>
          <w:trHeight w:val="300"/>
        </w:trPr>
        <w:tc>
          <w:tcPr>
            <w:tcW w:w="3340" w:type="dxa"/>
            <w:tcBorders>
              <w:top w:val="nil"/>
              <w:left w:val="nil"/>
              <w:bottom w:val="nil"/>
              <w:right w:val="single" w:sz="4" w:space="0" w:color="auto"/>
            </w:tcBorders>
            <w:shd w:val="clear" w:color="auto" w:fill="auto"/>
            <w:noWrap/>
            <w:vAlign w:val="bottom"/>
            <w:hideMark/>
          </w:tcPr>
          <w:p w14:paraId="1116B250"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Very Low</w:t>
            </w:r>
          </w:p>
        </w:tc>
        <w:tc>
          <w:tcPr>
            <w:tcW w:w="3540" w:type="dxa"/>
            <w:tcBorders>
              <w:top w:val="nil"/>
              <w:left w:val="single" w:sz="4" w:space="0" w:color="auto"/>
              <w:bottom w:val="nil"/>
              <w:right w:val="nil"/>
            </w:tcBorders>
            <w:shd w:val="clear" w:color="auto" w:fill="auto"/>
            <w:noWrap/>
            <w:vAlign w:val="bottom"/>
            <w:hideMark/>
          </w:tcPr>
          <w:p w14:paraId="2EC366E7"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 xml:space="preserve">30%-50% of </w:t>
            </w:r>
            <w:r>
              <w:rPr>
                <w:rFonts w:eastAsia="Times New Roman" w:cs="Times New Roman"/>
                <w:color w:val="000000"/>
                <w:sz w:val="18"/>
                <w:szCs w:val="18"/>
              </w:rPr>
              <w:t xml:space="preserve">area </w:t>
            </w:r>
            <w:r w:rsidRPr="007C2918">
              <w:rPr>
                <w:rFonts w:eastAsia="Times New Roman" w:cs="Times New Roman"/>
                <w:color w:val="000000"/>
                <w:sz w:val="18"/>
                <w:szCs w:val="18"/>
              </w:rPr>
              <w:t>median</w:t>
            </w:r>
            <w:r>
              <w:rPr>
                <w:rFonts w:eastAsia="Times New Roman" w:cs="Times New Roman"/>
                <w:color w:val="000000"/>
                <w:sz w:val="18"/>
                <w:szCs w:val="18"/>
              </w:rPr>
              <w:t xml:space="preserve"> income</w:t>
            </w:r>
          </w:p>
        </w:tc>
      </w:tr>
      <w:tr w:rsidR="001A5CD6" w:rsidRPr="007C2918" w14:paraId="33298F3F" w14:textId="77777777" w:rsidTr="003708D3">
        <w:trPr>
          <w:trHeight w:val="300"/>
        </w:trPr>
        <w:tc>
          <w:tcPr>
            <w:tcW w:w="3340" w:type="dxa"/>
            <w:tcBorders>
              <w:top w:val="nil"/>
              <w:left w:val="nil"/>
              <w:bottom w:val="nil"/>
              <w:right w:val="single" w:sz="4" w:space="0" w:color="auto"/>
            </w:tcBorders>
            <w:shd w:val="clear" w:color="auto" w:fill="auto"/>
            <w:noWrap/>
            <w:vAlign w:val="bottom"/>
            <w:hideMark/>
          </w:tcPr>
          <w:p w14:paraId="1966C530"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Low</w:t>
            </w:r>
          </w:p>
        </w:tc>
        <w:tc>
          <w:tcPr>
            <w:tcW w:w="3540" w:type="dxa"/>
            <w:tcBorders>
              <w:top w:val="nil"/>
              <w:left w:val="single" w:sz="4" w:space="0" w:color="auto"/>
              <w:bottom w:val="nil"/>
              <w:right w:val="nil"/>
            </w:tcBorders>
            <w:shd w:val="clear" w:color="auto" w:fill="auto"/>
            <w:noWrap/>
            <w:vAlign w:val="bottom"/>
            <w:hideMark/>
          </w:tcPr>
          <w:p w14:paraId="16A781C1"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 xml:space="preserve">50%-80% of </w:t>
            </w:r>
            <w:r>
              <w:rPr>
                <w:rFonts w:eastAsia="Times New Roman" w:cs="Times New Roman"/>
                <w:color w:val="000000"/>
                <w:sz w:val="18"/>
                <w:szCs w:val="18"/>
              </w:rPr>
              <w:t xml:space="preserve">area </w:t>
            </w:r>
            <w:r w:rsidRPr="007C2918">
              <w:rPr>
                <w:rFonts w:eastAsia="Times New Roman" w:cs="Times New Roman"/>
                <w:color w:val="000000"/>
                <w:sz w:val="18"/>
                <w:szCs w:val="18"/>
              </w:rPr>
              <w:t>median</w:t>
            </w:r>
            <w:r>
              <w:rPr>
                <w:rFonts w:eastAsia="Times New Roman" w:cs="Times New Roman"/>
                <w:color w:val="000000"/>
                <w:sz w:val="18"/>
                <w:szCs w:val="18"/>
              </w:rPr>
              <w:t xml:space="preserve"> income</w:t>
            </w:r>
          </w:p>
        </w:tc>
      </w:tr>
      <w:tr w:rsidR="001A5CD6" w:rsidRPr="007C2918" w14:paraId="3901A50A" w14:textId="77777777" w:rsidTr="003708D3">
        <w:trPr>
          <w:trHeight w:val="300"/>
        </w:trPr>
        <w:tc>
          <w:tcPr>
            <w:tcW w:w="3340" w:type="dxa"/>
            <w:tcBorders>
              <w:top w:val="nil"/>
              <w:left w:val="nil"/>
              <w:bottom w:val="nil"/>
              <w:right w:val="single" w:sz="4" w:space="0" w:color="auto"/>
            </w:tcBorders>
            <w:shd w:val="clear" w:color="auto" w:fill="auto"/>
            <w:noWrap/>
            <w:vAlign w:val="bottom"/>
            <w:hideMark/>
          </w:tcPr>
          <w:p w14:paraId="5C693E53"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Moderate</w:t>
            </w:r>
          </w:p>
        </w:tc>
        <w:tc>
          <w:tcPr>
            <w:tcW w:w="3540" w:type="dxa"/>
            <w:tcBorders>
              <w:top w:val="nil"/>
              <w:left w:val="single" w:sz="4" w:space="0" w:color="auto"/>
              <w:bottom w:val="nil"/>
              <w:right w:val="nil"/>
            </w:tcBorders>
            <w:shd w:val="clear" w:color="auto" w:fill="auto"/>
            <w:noWrap/>
            <w:vAlign w:val="bottom"/>
            <w:hideMark/>
          </w:tcPr>
          <w:p w14:paraId="4C88D935"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 xml:space="preserve">80%-120% of </w:t>
            </w:r>
            <w:r>
              <w:rPr>
                <w:rFonts w:eastAsia="Times New Roman" w:cs="Times New Roman"/>
                <w:color w:val="000000"/>
                <w:sz w:val="18"/>
                <w:szCs w:val="18"/>
              </w:rPr>
              <w:t xml:space="preserve">area </w:t>
            </w:r>
            <w:r w:rsidRPr="007C2918">
              <w:rPr>
                <w:rFonts w:eastAsia="Times New Roman" w:cs="Times New Roman"/>
                <w:color w:val="000000"/>
                <w:sz w:val="18"/>
                <w:szCs w:val="18"/>
              </w:rPr>
              <w:t>median</w:t>
            </w:r>
            <w:r>
              <w:rPr>
                <w:rFonts w:eastAsia="Times New Roman" w:cs="Times New Roman"/>
                <w:color w:val="000000"/>
                <w:sz w:val="18"/>
                <w:szCs w:val="18"/>
              </w:rPr>
              <w:t xml:space="preserve"> income</w:t>
            </w:r>
          </w:p>
        </w:tc>
      </w:tr>
      <w:tr w:rsidR="001A5CD6" w:rsidRPr="007C2918" w14:paraId="25BCC974" w14:textId="77777777" w:rsidTr="003708D3">
        <w:trPr>
          <w:trHeight w:val="300"/>
        </w:trPr>
        <w:tc>
          <w:tcPr>
            <w:tcW w:w="3340" w:type="dxa"/>
            <w:tcBorders>
              <w:top w:val="nil"/>
              <w:left w:val="nil"/>
              <w:bottom w:val="nil"/>
              <w:right w:val="single" w:sz="4" w:space="0" w:color="auto"/>
            </w:tcBorders>
            <w:shd w:val="clear" w:color="auto" w:fill="auto"/>
            <w:noWrap/>
            <w:vAlign w:val="bottom"/>
            <w:hideMark/>
          </w:tcPr>
          <w:p w14:paraId="0F2541DC"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Above Moderate</w:t>
            </w:r>
          </w:p>
        </w:tc>
        <w:tc>
          <w:tcPr>
            <w:tcW w:w="3540" w:type="dxa"/>
            <w:tcBorders>
              <w:top w:val="nil"/>
              <w:left w:val="single" w:sz="4" w:space="0" w:color="auto"/>
              <w:bottom w:val="nil"/>
              <w:right w:val="nil"/>
            </w:tcBorders>
            <w:shd w:val="clear" w:color="auto" w:fill="auto"/>
            <w:noWrap/>
            <w:vAlign w:val="bottom"/>
            <w:hideMark/>
          </w:tcPr>
          <w:p w14:paraId="235C4481" w14:textId="77777777" w:rsidR="001A5CD6" w:rsidRPr="007C2918" w:rsidRDefault="001A5CD6" w:rsidP="00DC16E6">
            <w:pPr>
              <w:spacing w:line="360" w:lineRule="auto"/>
              <w:rPr>
                <w:rFonts w:eastAsia="Times New Roman" w:cs="Times New Roman"/>
                <w:color w:val="000000"/>
                <w:sz w:val="18"/>
                <w:szCs w:val="18"/>
              </w:rPr>
            </w:pPr>
            <w:r w:rsidRPr="007C2918">
              <w:rPr>
                <w:rFonts w:eastAsia="Times New Roman" w:cs="Times New Roman"/>
                <w:color w:val="000000"/>
                <w:sz w:val="18"/>
                <w:szCs w:val="18"/>
              </w:rPr>
              <w:t xml:space="preserve">Above 120% of </w:t>
            </w:r>
            <w:r>
              <w:rPr>
                <w:rFonts w:eastAsia="Times New Roman" w:cs="Times New Roman"/>
                <w:color w:val="000000"/>
                <w:sz w:val="18"/>
                <w:szCs w:val="18"/>
              </w:rPr>
              <w:t xml:space="preserve">area </w:t>
            </w:r>
            <w:r w:rsidRPr="007C2918">
              <w:rPr>
                <w:rFonts w:eastAsia="Times New Roman" w:cs="Times New Roman"/>
                <w:color w:val="000000"/>
                <w:sz w:val="18"/>
                <w:szCs w:val="18"/>
              </w:rPr>
              <w:t>median</w:t>
            </w:r>
            <w:r>
              <w:rPr>
                <w:rFonts w:eastAsia="Times New Roman" w:cs="Times New Roman"/>
                <w:color w:val="000000"/>
                <w:sz w:val="18"/>
                <w:szCs w:val="18"/>
              </w:rPr>
              <w:t xml:space="preserve"> income</w:t>
            </w:r>
          </w:p>
        </w:tc>
      </w:tr>
    </w:tbl>
    <w:p w14:paraId="568930A5" w14:textId="77777777" w:rsidR="001A5CD6" w:rsidRPr="00ED0B04" w:rsidRDefault="001A5CD6" w:rsidP="00067077">
      <w:pPr>
        <w:tabs>
          <w:tab w:val="left" w:pos="1440"/>
        </w:tabs>
        <w:rPr>
          <w:sz w:val="18"/>
        </w:rPr>
      </w:pPr>
    </w:p>
    <w:p w14:paraId="681C0B0C" w14:textId="349E0CEF" w:rsidR="001A5CD6" w:rsidRPr="00D4795C" w:rsidRDefault="00ED0B04" w:rsidP="00067077">
      <w:pPr>
        <w:pStyle w:val="21ElementsText"/>
        <w:rPr>
          <w:rStyle w:val="CharacterStyle13"/>
          <w:rFonts w:asciiTheme="minorHAnsi" w:hAnsiTheme="minorHAnsi"/>
          <w:spacing w:val="6"/>
          <w:sz w:val="24"/>
        </w:rPr>
      </w:pPr>
      <w:r>
        <w:t>HCD</w:t>
      </w:r>
      <w:r w:rsidR="001A5CD6" w:rsidRPr="00D4795C">
        <w:t xml:space="preserve"> uses these categories, sometimes with minor adjustments, to establish the annual income limits for San Mateo County, </w:t>
      </w:r>
      <w:r>
        <w:t>as shown in the table below.</w:t>
      </w:r>
    </w:p>
    <w:p w14:paraId="706EFCAA" w14:textId="77777777" w:rsidR="002C7068" w:rsidRPr="00ED0B04" w:rsidRDefault="002C7068" w:rsidP="002C7068">
      <w:pPr>
        <w:outlineLvl w:val="0"/>
        <w:rPr>
          <w:sz w:val="16"/>
          <w:u w:val="single"/>
        </w:rPr>
      </w:pPr>
    </w:p>
    <w:tbl>
      <w:tblPr>
        <w:tblW w:w="8460" w:type="dxa"/>
        <w:tblInd w:w="93" w:type="dxa"/>
        <w:tblLook w:val="04A0" w:firstRow="1" w:lastRow="0" w:firstColumn="1" w:lastColumn="0" w:noHBand="0" w:noVBand="1"/>
      </w:tblPr>
      <w:tblGrid>
        <w:gridCol w:w="2536"/>
        <w:gridCol w:w="1056"/>
        <w:gridCol w:w="1056"/>
        <w:gridCol w:w="1212"/>
        <w:gridCol w:w="1300"/>
        <w:gridCol w:w="1300"/>
      </w:tblGrid>
      <w:tr w:rsidR="002C7068" w:rsidRPr="00A24756" w14:paraId="490DD317" w14:textId="77777777" w:rsidTr="00D346EB">
        <w:trPr>
          <w:trHeight w:val="300"/>
        </w:trPr>
        <w:tc>
          <w:tcPr>
            <w:tcW w:w="5860" w:type="dxa"/>
            <w:gridSpan w:val="4"/>
            <w:tcBorders>
              <w:top w:val="nil"/>
              <w:left w:val="nil"/>
              <w:bottom w:val="nil"/>
              <w:right w:val="nil"/>
            </w:tcBorders>
            <w:shd w:val="clear" w:color="000000" w:fill="000000"/>
            <w:noWrap/>
            <w:vAlign w:val="bottom"/>
            <w:hideMark/>
          </w:tcPr>
          <w:p w14:paraId="6CDFEE48" w14:textId="77777777" w:rsidR="002C7068" w:rsidRPr="00A24756" w:rsidRDefault="002C7068" w:rsidP="00D346EB">
            <w:pPr>
              <w:rPr>
                <w:rFonts w:eastAsia="Times New Roman" w:cs="Times New Roman"/>
                <w:b/>
                <w:bCs/>
                <w:color w:val="FFFFFF"/>
                <w:sz w:val="20"/>
                <w:szCs w:val="20"/>
              </w:rPr>
            </w:pPr>
            <w:r>
              <w:rPr>
                <w:rFonts w:eastAsia="Times New Roman" w:cs="Times New Roman"/>
                <w:b/>
                <w:bCs/>
                <w:color w:val="FFFFFF"/>
                <w:sz w:val="20"/>
                <w:szCs w:val="20"/>
              </w:rPr>
              <w:t>San Mateo County Income Limits (</w:t>
            </w:r>
            <w:r w:rsidRPr="00A24756">
              <w:rPr>
                <w:rFonts w:eastAsia="Times New Roman" w:cs="Times New Roman"/>
                <w:b/>
                <w:bCs/>
                <w:color w:val="FFFFFF"/>
                <w:sz w:val="20"/>
                <w:szCs w:val="20"/>
              </w:rPr>
              <w:t>2013</w:t>
            </w:r>
            <w:r>
              <w:rPr>
                <w:rFonts w:eastAsia="Times New Roman" w:cs="Times New Roman"/>
                <w:b/>
                <w:bCs/>
                <w:color w:val="FFFFFF"/>
                <w:sz w:val="20"/>
                <w:szCs w:val="20"/>
              </w:rPr>
              <w:t>)</w:t>
            </w:r>
          </w:p>
        </w:tc>
        <w:tc>
          <w:tcPr>
            <w:tcW w:w="1300" w:type="dxa"/>
            <w:tcBorders>
              <w:top w:val="nil"/>
              <w:left w:val="nil"/>
              <w:bottom w:val="nil"/>
              <w:right w:val="nil"/>
            </w:tcBorders>
            <w:shd w:val="clear" w:color="000000" w:fill="000000"/>
            <w:noWrap/>
            <w:vAlign w:val="bottom"/>
            <w:hideMark/>
          </w:tcPr>
          <w:p w14:paraId="65C528FB" w14:textId="77777777" w:rsidR="002C7068" w:rsidRPr="00A24756" w:rsidRDefault="002C7068" w:rsidP="00D346EB">
            <w:pPr>
              <w:rPr>
                <w:rFonts w:ascii="Calibri" w:eastAsia="Times New Roman" w:hAnsi="Calibri" w:cs="Times New Roman"/>
                <w:color w:val="000000"/>
              </w:rPr>
            </w:pPr>
            <w:r w:rsidRPr="00A24756">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14:paraId="57C20384" w14:textId="77777777" w:rsidR="002C7068" w:rsidRPr="00A24756" w:rsidRDefault="002C7068" w:rsidP="00D346EB">
            <w:pPr>
              <w:rPr>
                <w:rFonts w:ascii="Calibri" w:eastAsia="Times New Roman" w:hAnsi="Calibri" w:cs="Times New Roman"/>
                <w:color w:val="000000"/>
              </w:rPr>
            </w:pPr>
            <w:r w:rsidRPr="00A24756">
              <w:rPr>
                <w:rFonts w:ascii="Calibri" w:eastAsia="Times New Roman" w:hAnsi="Calibri" w:cs="Times New Roman"/>
                <w:color w:val="000000"/>
              </w:rPr>
              <w:t> </w:t>
            </w:r>
          </w:p>
        </w:tc>
      </w:tr>
      <w:tr w:rsidR="002C7068" w:rsidRPr="00A24756" w14:paraId="7BF4D918" w14:textId="77777777" w:rsidTr="00D346EB">
        <w:trPr>
          <w:trHeight w:val="320"/>
        </w:trPr>
        <w:tc>
          <w:tcPr>
            <w:tcW w:w="2536" w:type="dxa"/>
            <w:tcBorders>
              <w:top w:val="nil"/>
              <w:left w:val="nil"/>
              <w:right w:val="nil"/>
            </w:tcBorders>
            <w:shd w:val="clear" w:color="auto" w:fill="auto"/>
            <w:noWrap/>
            <w:vAlign w:val="bottom"/>
            <w:hideMark/>
          </w:tcPr>
          <w:p w14:paraId="32680807" w14:textId="77777777" w:rsidR="002C7068" w:rsidRPr="00A24756" w:rsidRDefault="002C7068" w:rsidP="00D346EB">
            <w:pPr>
              <w:rPr>
                <w:rFonts w:eastAsia="Times New Roman" w:cs="Times New Roman"/>
                <w:color w:val="000000"/>
                <w:sz w:val="18"/>
                <w:szCs w:val="18"/>
              </w:rPr>
            </w:pPr>
          </w:p>
        </w:tc>
        <w:tc>
          <w:tcPr>
            <w:tcW w:w="5924" w:type="dxa"/>
            <w:gridSpan w:val="5"/>
            <w:tcBorders>
              <w:top w:val="nil"/>
              <w:left w:val="nil"/>
              <w:right w:val="nil"/>
            </w:tcBorders>
            <w:shd w:val="clear" w:color="auto" w:fill="auto"/>
            <w:noWrap/>
            <w:vAlign w:val="bottom"/>
            <w:hideMark/>
          </w:tcPr>
          <w:p w14:paraId="5C08B2E2" w14:textId="77777777" w:rsidR="002C7068" w:rsidRPr="003708D3" w:rsidRDefault="002C7068" w:rsidP="00D346EB">
            <w:pPr>
              <w:jc w:val="center"/>
              <w:rPr>
                <w:rFonts w:eastAsia="Times New Roman" w:cs="Times New Roman"/>
                <w:b/>
                <w:bCs/>
                <w:color w:val="000000"/>
                <w:sz w:val="4"/>
                <w:szCs w:val="18"/>
              </w:rPr>
            </w:pPr>
            <w:r>
              <w:rPr>
                <w:rFonts w:eastAsia="Times New Roman" w:cs="Times New Roman"/>
                <w:b/>
                <w:bCs/>
                <w:color w:val="000000"/>
                <w:sz w:val="4"/>
                <w:szCs w:val="18"/>
              </w:rPr>
              <w:t>(</w:t>
            </w:r>
          </w:p>
          <w:p w14:paraId="54C366BC" w14:textId="77777777" w:rsidR="002C7068" w:rsidRDefault="002C7068" w:rsidP="00D346EB">
            <w:pPr>
              <w:spacing w:line="240" w:lineRule="auto"/>
              <w:jc w:val="center"/>
              <w:rPr>
                <w:rFonts w:eastAsia="Times New Roman" w:cs="Times New Roman"/>
                <w:b/>
                <w:bCs/>
                <w:color w:val="000000"/>
                <w:sz w:val="18"/>
                <w:szCs w:val="18"/>
              </w:rPr>
            </w:pPr>
            <w:r w:rsidRPr="00A24756">
              <w:rPr>
                <w:rFonts w:eastAsia="Times New Roman" w:cs="Times New Roman"/>
                <w:b/>
                <w:bCs/>
                <w:color w:val="000000"/>
                <w:sz w:val="18"/>
                <w:szCs w:val="18"/>
              </w:rPr>
              <w:t xml:space="preserve">Number of Persons </w:t>
            </w:r>
            <w:r>
              <w:rPr>
                <w:rFonts w:eastAsia="Times New Roman" w:cs="Times New Roman"/>
                <w:b/>
                <w:bCs/>
                <w:color w:val="000000"/>
                <w:sz w:val="18"/>
                <w:szCs w:val="18"/>
              </w:rPr>
              <w:t>Per</w:t>
            </w:r>
            <w:r w:rsidRPr="00A24756">
              <w:rPr>
                <w:rFonts w:eastAsia="Times New Roman" w:cs="Times New Roman"/>
                <w:b/>
                <w:bCs/>
                <w:color w:val="000000"/>
                <w:sz w:val="18"/>
                <w:szCs w:val="18"/>
              </w:rPr>
              <w:t xml:space="preserve"> Household</w:t>
            </w:r>
          </w:p>
          <w:p w14:paraId="674923F2" w14:textId="77777777" w:rsidR="002C7068" w:rsidRPr="00A24756" w:rsidRDefault="002C7068" w:rsidP="00D346EB">
            <w:pPr>
              <w:spacing w:line="240" w:lineRule="auto"/>
              <w:jc w:val="center"/>
              <w:rPr>
                <w:rFonts w:eastAsia="Times New Roman" w:cs="Times New Roman"/>
                <w:b/>
                <w:bCs/>
                <w:color w:val="000000"/>
                <w:sz w:val="18"/>
                <w:szCs w:val="18"/>
              </w:rPr>
            </w:pPr>
            <w:r w:rsidRPr="000D4D2F">
              <w:rPr>
                <w:rFonts w:eastAsia="Times New Roman" w:cs="Times New Roman"/>
                <w:bCs/>
                <w:color w:val="000000"/>
                <w:sz w:val="18"/>
                <w:szCs w:val="18"/>
              </w:rPr>
              <w:t>(Maximum Income)</w:t>
            </w:r>
          </w:p>
        </w:tc>
      </w:tr>
      <w:tr w:rsidR="002C7068" w:rsidRPr="000D4D2F" w14:paraId="645B3525" w14:textId="77777777" w:rsidTr="00D346EB">
        <w:trPr>
          <w:trHeight w:val="376"/>
        </w:trPr>
        <w:tc>
          <w:tcPr>
            <w:tcW w:w="2536" w:type="dxa"/>
            <w:tcBorders>
              <w:left w:val="nil"/>
              <w:bottom w:val="single" w:sz="4" w:space="0" w:color="auto"/>
              <w:right w:val="nil"/>
            </w:tcBorders>
            <w:shd w:val="clear" w:color="auto" w:fill="auto"/>
            <w:noWrap/>
            <w:vAlign w:val="bottom"/>
            <w:hideMark/>
          </w:tcPr>
          <w:p w14:paraId="7B397A48" w14:textId="77777777" w:rsidR="002C7068" w:rsidRPr="000D4D2F" w:rsidRDefault="002C7068" w:rsidP="00D346EB">
            <w:pPr>
              <w:rPr>
                <w:rFonts w:eastAsia="Times New Roman" w:cs="Times New Roman"/>
                <w:b/>
                <w:bCs/>
                <w:color w:val="000000"/>
                <w:sz w:val="18"/>
                <w:szCs w:val="18"/>
              </w:rPr>
            </w:pPr>
            <w:r w:rsidRPr="000D4D2F">
              <w:rPr>
                <w:rFonts w:eastAsia="Times New Roman" w:cs="Times New Roman"/>
                <w:b/>
                <w:bCs/>
                <w:color w:val="000000"/>
                <w:sz w:val="18"/>
                <w:szCs w:val="18"/>
              </w:rPr>
              <w:t>Income Category</w:t>
            </w:r>
            <w:r>
              <w:rPr>
                <w:rFonts w:eastAsia="Times New Roman" w:cs="Times New Roman"/>
                <w:b/>
                <w:bCs/>
                <w:color w:val="000000"/>
                <w:sz w:val="18"/>
                <w:szCs w:val="18"/>
              </w:rPr>
              <w:t xml:space="preserve"> </w:t>
            </w:r>
          </w:p>
        </w:tc>
        <w:tc>
          <w:tcPr>
            <w:tcW w:w="1056" w:type="dxa"/>
            <w:tcBorders>
              <w:left w:val="nil"/>
              <w:bottom w:val="single" w:sz="4" w:space="0" w:color="auto"/>
              <w:right w:val="nil"/>
            </w:tcBorders>
            <w:shd w:val="clear" w:color="auto" w:fill="auto"/>
            <w:noWrap/>
            <w:vAlign w:val="bottom"/>
            <w:hideMark/>
          </w:tcPr>
          <w:p w14:paraId="67151311" w14:textId="77777777" w:rsidR="002C7068" w:rsidRPr="000D4D2F" w:rsidRDefault="002C7068" w:rsidP="00D346EB">
            <w:pPr>
              <w:jc w:val="right"/>
              <w:rPr>
                <w:rFonts w:eastAsia="Times New Roman" w:cs="Times New Roman"/>
                <w:b/>
                <w:color w:val="000000"/>
                <w:sz w:val="18"/>
                <w:szCs w:val="18"/>
              </w:rPr>
            </w:pPr>
            <w:r w:rsidRPr="000D4D2F">
              <w:rPr>
                <w:rFonts w:eastAsia="Times New Roman" w:cs="Times New Roman"/>
                <w:b/>
                <w:color w:val="000000"/>
                <w:sz w:val="18"/>
                <w:szCs w:val="18"/>
              </w:rPr>
              <w:t>1</w:t>
            </w:r>
          </w:p>
        </w:tc>
        <w:tc>
          <w:tcPr>
            <w:tcW w:w="1056" w:type="dxa"/>
            <w:tcBorders>
              <w:left w:val="nil"/>
              <w:bottom w:val="single" w:sz="4" w:space="0" w:color="auto"/>
              <w:right w:val="nil"/>
            </w:tcBorders>
            <w:shd w:val="clear" w:color="auto" w:fill="auto"/>
            <w:noWrap/>
            <w:vAlign w:val="bottom"/>
            <w:hideMark/>
          </w:tcPr>
          <w:p w14:paraId="2E895735" w14:textId="77777777" w:rsidR="002C7068" w:rsidRPr="000D4D2F" w:rsidRDefault="002C7068" w:rsidP="00D346EB">
            <w:pPr>
              <w:jc w:val="right"/>
              <w:rPr>
                <w:rFonts w:eastAsia="Times New Roman" w:cs="Times New Roman"/>
                <w:b/>
                <w:color w:val="000000"/>
                <w:sz w:val="18"/>
                <w:szCs w:val="18"/>
              </w:rPr>
            </w:pPr>
            <w:r w:rsidRPr="000D4D2F">
              <w:rPr>
                <w:rFonts w:eastAsia="Times New Roman" w:cs="Times New Roman"/>
                <w:b/>
                <w:color w:val="000000"/>
                <w:sz w:val="18"/>
                <w:szCs w:val="18"/>
              </w:rPr>
              <w:t>2</w:t>
            </w:r>
          </w:p>
        </w:tc>
        <w:tc>
          <w:tcPr>
            <w:tcW w:w="1212" w:type="dxa"/>
            <w:tcBorders>
              <w:left w:val="nil"/>
              <w:bottom w:val="single" w:sz="4" w:space="0" w:color="auto"/>
              <w:right w:val="nil"/>
            </w:tcBorders>
            <w:shd w:val="clear" w:color="auto" w:fill="auto"/>
            <w:noWrap/>
            <w:vAlign w:val="bottom"/>
            <w:hideMark/>
          </w:tcPr>
          <w:p w14:paraId="65E35289" w14:textId="77777777" w:rsidR="002C7068" w:rsidRPr="000D4D2F" w:rsidRDefault="002C7068" w:rsidP="00D346EB">
            <w:pPr>
              <w:jc w:val="right"/>
              <w:rPr>
                <w:rFonts w:eastAsia="Times New Roman" w:cs="Times New Roman"/>
                <w:b/>
                <w:color w:val="000000"/>
                <w:sz w:val="18"/>
                <w:szCs w:val="18"/>
              </w:rPr>
            </w:pPr>
            <w:r w:rsidRPr="000D4D2F">
              <w:rPr>
                <w:rFonts w:eastAsia="Times New Roman" w:cs="Times New Roman"/>
                <w:b/>
                <w:color w:val="000000"/>
                <w:sz w:val="18"/>
                <w:szCs w:val="18"/>
              </w:rPr>
              <w:t>3</w:t>
            </w:r>
          </w:p>
        </w:tc>
        <w:tc>
          <w:tcPr>
            <w:tcW w:w="1300" w:type="dxa"/>
            <w:tcBorders>
              <w:left w:val="nil"/>
              <w:bottom w:val="single" w:sz="4" w:space="0" w:color="auto"/>
              <w:right w:val="nil"/>
            </w:tcBorders>
            <w:shd w:val="clear" w:color="auto" w:fill="auto"/>
            <w:noWrap/>
            <w:vAlign w:val="bottom"/>
            <w:hideMark/>
          </w:tcPr>
          <w:p w14:paraId="5CE23A25" w14:textId="77777777" w:rsidR="002C7068" w:rsidRPr="000D4D2F" w:rsidRDefault="002C7068" w:rsidP="00D346EB">
            <w:pPr>
              <w:jc w:val="right"/>
              <w:rPr>
                <w:rFonts w:eastAsia="Times New Roman" w:cs="Times New Roman"/>
                <w:b/>
                <w:color w:val="000000"/>
                <w:sz w:val="18"/>
                <w:szCs w:val="18"/>
              </w:rPr>
            </w:pPr>
            <w:r w:rsidRPr="000D4D2F">
              <w:rPr>
                <w:rFonts w:eastAsia="Times New Roman" w:cs="Times New Roman"/>
                <w:b/>
                <w:color w:val="000000"/>
                <w:sz w:val="18"/>
                <w:szCs w:val="18"/>
              </w:rPr>
              <w:t>4</w:t>
            </w:r>
          </w:p>
        </w:tc>
        <w:tc>
          <w:tcPr>
            <w:tcW w:w="1300" w:type="dxa"/>
            <w:tcBorders>
              <w:left w:val="nil"/>
              <w:bottom w:val="single" w:sz="4" w:space="0" w:color="auto"/>
              <w:right w:val="nil"/>
            </w:tcBorders>
            <w:shd w:val="clear" w:color="auto" w:fill="auto"/>
            <w:noWrap/>
            <w:vAlign w:val="bottom"/>
            <w:hideMark/>
          </w:tcPr>
          <w:p w14:paraId="6DDD7841" w14:textId="77777777" w:rsidR="002C7068" w:rsidRPr="000D4D2F" w:rsidRDefault="002C7068" w:rsidP="00D346EB">
            <w:pPr>
              <w:jc w:val="right"/>
              <w:rPr>
                <w:rFonts w:eastAsia="Times New Roman" w:cs="Times New Roman"/>
                <w:b/>
                <w:color w:val="000000"/>
                <w:sz w:val="18"/>
                <w:szCs w:val="18"/>
              </w:rPr>
            </w:pPr>
            <w:r w:rsidRPr="000D4D2F">
              <w:rPr>
                <w:rFonts w:eastAsia="Times New Roman" w:cs="Times New Roman"/>
                <w:b/>
                <w:color w:val="000000"/>
                <w:sz w:val="18"/>
                <w:szCs w:val="18"/>
              </w:rPr>
              <w:t>5</w:t>
            </w:r>
          </w:p>
        </w:tc>
      </w:tr>
      <w:tr w:rsidR="002C7068" w:rsidRPr="00A24756" w14:paraId="0D6B21C1" w14:textId="77777777" w:rsidTr="00D346EB">
        <w:trPr>
          <w:trHeight w:val="300"/>
        </w:trPr>
        <w:tc>
          <w:tcPr>
            <w:tcW w:w="2536" w:type="dxa"/>
            <w:tcBorders>
              <w:top w:val="nil"/>
              <w:left w:val="nil"/>
              <w:bottom w:val="single" w:sz="4" w:space="0" w:color="808080"/>
              <w:right w:val="nil"/>
            </w:tcBorders>
            <w:shd w:val="clear" w:color="auto" w:fill="auto"/>
            <w:noWrap/>
            <w:vAlign w:val="bottom"/>
            <w:hideMark/>
          </w:tcPr>
          <w:p w14:paraId="1A12BD10" w14:textId="77777777" w:rsidR="002C7068" w:rsidRPr="000D4D2F" w:rsidRDefault="002C7068" w:rsidP="00D346EB">
            <w:pPr>
              <w:spacing w:line="360" w:lineRule="auto"/>
              <w:rPr>
                <w:rFonts w:eastAsia="Times New Roman" w:cs="Times New Roman"/>
                <w:color w:val="000000"/>
                <w:sz w:val="12"/>
                <w:szCs w:val="18"/>
              </w:rPr>
            </w:pPr>
          </w:p>
          <w:p w14:paraId="5BEBC283" w14:textId="77777777" w:rsidR="002C7068" w:rsidRPr="00A24756" w:rsidRDefault="002C7068" w:rsidP="00D346EB">
            <w:pPr>
              <w:spacing w:line="360" w:lineRule="auto"/>
              <w:rPr>
                <w:rFonts w:eastAsia="Times New Roman" w:cs="Times New Roman"/>
                <w:color w:val="000000"/>
                <w:sz w:val="18"/>
                <w:szCs w:val="18"/>
              </w:rPr>
            </w:pPr>
            <w:r w:rsidRPr="00A24756">
              <w:rPr>
                <w:rFonts w:eastAsia="Times New Roman" w:cs="Times New Roman"/>
                <w:color w:val="000000"/>
                <w:sz w:val="18"/>
                <w:szCs w:val="18"/>
              </w:rPr>
              <w:t>Extremely Low</w:t>
            </w:r>
          </w:p>
        </w:tc>
        <w:tc>
          <w:tcPr>
            <w:tcW w:w="1056" w:type="dxa"/>
            <w:tcBorders>
              <w:top w:val="single" w:sz="4" w:space="0" w:color="auto"/>
              <w:left w:val="nil"/>
              <w:bottom w:val="single" w:sz="4" w:space="0" w:color="808080"/>
              <w:right w:val="nil"/>
            </w:tcBorders>
            <w:shd w:val="clear" w:color="auto" w:fill="auto"/>
            <w:noWrap/>
            <w:vAlign w:val="bottom"/>
            <w:hideMark/>
          </w:tcPr>
          <w:p w14:paraId="7E92022A"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$23,750</w:t>
            </w:r>
          </w:p>
        </w:tc>
        <w:tc>
          <w:tcPr>
            <w:tcW w:w="1056" w:type="dxa"/>
            <w:tcBorders>
              <w:top w:val="single" w:sz="4" w:space="0" w:color="auto"/>
              <w:left w:val="nil"/>
              <w:bottom w:val="single" w:sz="4" w:space="0" w:color="808080"/>
              <w:right w:val="nil"/>
            </w:tcBorders>
            <w:shd w:val="clear" w:color="auto" w:fill="auto"/>
            <w:noWrap/>
            <w:vAlign w:val="bottom"/>
            <w:hideMark/>
          </w:tcPr>
          <w:p w14:paraId="4269F8A6"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$27,150</w:t>
            </w:r>
          </w:p>
        </w:tc>
        <w:tc>
          <w:tcPr>
            <w:tcW w:w="1212" w:type="dxa"/>
            <w:tcBorders>
              <w:top w:val="single" w:sz="4" w:space="0" w:color="auto"/>
              <w:left w:val="nil"/>
              <w:bottom w:val="single" w:sz="4" w:space="0" w:color="808080"/>
              <w:right w:val="nil"/>
            </w:tcBorders>
            <w:shd w:val="clear" w:color="auto" w:fill="auto"/>
            <w:noWrap/>
            <w:vAlign w:val="bottom"/>
            <w:hideMark/>
          </w:tcPr>
          <w:p w14:paraId="7674C7A7"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$30,550</w:t>
            </w:r>
          </w:p>
        </w:tc>
        <w:tc>
          <w:tcPr>
            <w:tcW w:w="1300" w:type="dxa"/>
            <w:tcBorders>
              <w:top w:val="single" w:sz="4" w:space="0" w:color="auto"/>
              <w:left w:val="nil"/>
              <w:bottom w:val="nil"/>
              <w:right w:val="nil"/>
            </w:tcBorders>
            <w:shd w:val="clear" w:color="auto" w:fill="auto"/>
            <w:noWrap/>
            <w:vAlign w:val="bottom"/>
            <w:hideMark/>
          </w:tcPr>
          <w:p w14:paraId="791C3937" w14:textId="77777777" w:rsidR="002C7068" w:rsidRPr="00A24756" w:rsidRDefault="002C7068" w:rsidP="00D346EB">
            <w:pPr>
              <w:spacing w:line="360" w:lineRule="auto"/>
              <w:jc w:val="right"/>
              <w:rPr>
                <w:rFonts w:ascii="Calibri" w:eastAsia="Times New Roman" w:hAnsi="Calibri" w:cs="Times New Roman"/>
                <w:color w:val="000000"/>
              </w:rPr>
            </w:pPr>
            <w:r w:rsidRPr="00A24756">
              <w:rPr>
                <w:rFonts w:eastAsia="Times New Roman" w:cs="Times New Roman"/>
                <w:color w:val="000000"/>
                <w:sz w:val="18"/>
                <w:szCs w:val="18"/>
              </w:rPr>
              <w:t>$33,950</w:t>
            </w:r>
          </w:p>
        </w:tc>
        <w:tc>
          <w:tcPr>
            <w:tcW w:w="1300" w:type="dxa"/>
            <w:tcBorders>
              <w:top w:val="single" w:sz="4" w:space="0" w:color="auto"/>
              <w:left w:val="nil"/>
              <w:bottom w:val="single" w:sz="4" w:space="0" w:color="auto"/>
              <w:right w:val="nil"/>
            </w:tcBorders>
            <w:shd w:val="clear" w:color="auto" w:fill="auto"/>
            <w:noWrap/>
            <w:vAlign w:val="bottom"/>
            <w:hideMark/>
          </w:tcPr>
          <w:p w14:paraId="4ACBF462" w14:textId="77777777" w:rsidR="002C7068" w:rsidRPr="00A24756" w:rsidRDefault="002C7068" w:rsidP="00D346EB">
            <w:pPr>
              <w:spacing w:line="360" w:lineRule="auto"/>
              <w:jc w:val="right"/>
              <w:rPr>
                <w:rFonts w:ascii="Calibri" w:eastAsia="Times New Roman" w:hAnsi="Calibri" w:cs="Times New Roman"/>
                <w:color w:val="000000"/>
              </w:rPr>
            </w:pPr>
            <w:r w:rsidRPr="00A24756">
              <w:rPr>
                <w:rFonts w:eastAsia="Times New Roman" w:cs="Times New Roman"/>
                <w:color w:val="000000"/>
                <w:sz w:val="18"/>
                <w:szCs w:val="18"/>
              </w:rPr>
              <w:t>$36,650</w:t>
            </w:r>
          </w:p>
        </w:tc>
      </w:tr>
      <w:tr w:rsidR="002C7068" w:rsidRPr="00A24756" w14:paraId="1AB366C0" w14:textId="77777777" w:rsidTr="00D346EB">
        <w:trPr>
          <w:trHeight w:val="300"/>
        </w:trPr>
        <w:tc>
          <w:tcPr>
            <w:tcW w:w="2536" w:type="dxa"/>
            <w:tcBorders>
              <w:top w:val="nil"/>
              <w:left w:val="nil"/>
              <w:bottom w:val="single" w:sz="4" w:space="0" w:color="808080"/>
              <w:right w:val="nil"/>
            </w:tcBorders>
            <w:shd w:val="clear" w:color="auto" w:fill="auto"/>
            <w:noWrap/>
            <w:vAlign w:val="bottom"/>
            <w:hideMark/>
          </w:tcPr>
          <w:p w14:paraId="61FAADE5" w14:textId="77777777" w:rsidR="002C7068" w:rsidRPr="00A24756" w:rsidRDefault="002C7068" w:rsidP="00D346EB">
            <w:pPr>
              <w:spacing w:line="360" w:lineRule="auto"/>
              <w:rPr>
                <w:rFonts w:eastAsia="Times New Roman" w:cs="Times New Roman"/>
                <w:color w:val="000000"/>
                <w:sz w:val="18"/>
                <w:szCs w:val="18"/>
              </w:rPr>
            </w:pPr>
            <w:r w:rsidRPr="00A24756">
              <w:rPr>
                <w:rFonts w:eastAsia="Times New Roman" w:cs="Times New Roman"/>
                <w:color w:val="000000"/>
                <w:sz w:val="18"/>
                <w:szCs w:val="18"/>
              </w:rPr>
              <w:t>Very Low</w:t>
            </w:r>
          </w:p>
        </w:tc>
        <w:tc>
          <w:tcPr>
            <w:tcW w:w="1056" w:type="dxa"/>
            <w:tcBorders>
              <w:top w:val="nil"/>
              <w:left w:val="nil"/>
              <w:bottom w:val="single" w:sz="4" w:space="0" w:color="808080"/>
              <w:right w:val="nil"/>
            </w:tcBorders>
            <w:shd w:val="clear" w:color="auto" w:fill="auto"/>
            <w:noWrap/>
            <w:vAlign w:val="bottom"/>
            <w:hideMark/>
          </w:tcPr>
          <w:p w14:paraId="68EE20A7"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$39,600</w:t>
            </w:r>
          </w:p>
        </w:tc>
        <w:tc>
          <w:tcPr>
            <w:tcW w:w="1056" w:type="dxa"/>
            <w:tcBorders>
              <w:top w:val="nil"/>
              <w:left w:val="nil"/>
              <w:bottom w:val="single" w:sz="4" w:space="0" w:color="808080"/>
              <w:right w:val="nil"/>
            </w:tcBorders>
            <w:shd w:val="clear" w:color="auto" w:fill="auto"/>
            <w:noWrap/>
            <w:vAlign w:val="bottom"/>
            <w:hideMark/>
          </w:tcPr>
          <w:p w14:paraId="1267872E"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$42,250</w:t>
            </w:r>
          </w:p>
        </w:tc>
        <w:tc>
          <w:tcPr>
            <w:tcW w:w="1212" w:type="dxa"/>
            <w:tcBorders>
              <w:top w:val="nil"/>
              <w:left w:val="nil"/>
              <w:bottom w:val="single" w:sz="4" w:space="0" w:color="808080"/>
              <w:right w:val="nil"/>
            </w:tcBorders>
            <w:shd w:val="clear" w:color="auto" w:fill="auto"/>
            <w:noWrap/>
            <w:vAlign w:val="bottom"/>
            <w:hideMark/>
          </w:tcPr>
          <w:p w14:paraId="28B9A164"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$50,900</w:t>
            </w:r>
          </w:p>
        </w:tc>
        <w:tc>
          <w:tcPr>
            <w:tcW w:w="1300" w:type="dxa"/>
            <w:tcBorders>
              <w:top w:val="single" w:sz="4" w:space="0" w:color="auto"/>
              <w:left w:val="nil"/>
              <w:bottom w:val="single" w:sz="4" w:space="0" w:color="auto"/>
              <w:right w:val="nil"/>
            </w:tcBorders>
            <w:shd w:val="clear" w:color="auto" w:fill="auto"/>
            <w:noWrap/>
            <w:vAlign w:val="bottom"/>
            <w:hideMark/>
          </w:tcPr>
          <w:p w14:paraId="74713D36"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$56,550</w:t>
            </w:r>
          </w:p>
        </w:tc>
        <w:tc>
          <w:tcPr>
            <w:tcW w:w="1300" w:type="dxa"/>
            <w:tcBorders>
              <w:top w:val="nil"/>
              <w:left w:val="nil"/>
              <w:bottom w:val="single" w:sz="4" w:space="0" w:color="auto"/>
              <w:right w:val="nil"/>
            </w:tcBorders>
            <w:shd w:val="clear" w:color="auto" w:fill="auto"/>
            <w:noWrap/>
            <w:vAlign w:val="bottom"/>
            <w:hideMark/>
          </w:tcPr>
          <w:p w14:paraId="37463030"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$61,050</w:t>
            </w:r>
          </w:p>
        </w:tc>
      </w:tr>
      <w:tr w:rsidR="002C7068" w:rsidRPr="00A24756" w14:paraId="7C9AC972" w14:textId="77777777" w:rsidTr="00D346EB">
        <w:trPr>
          <w:trHeight w:val="300"/>
        </w:trPr>
        <w:tc>
          <w:tcPr>
            <w:tcW w:w="2536" w:type="dxa"/>
            <w:tcBorders>
              <w:top w:val="nil"/>
              <w:left w:val="nil"/>
              <w:bottom w:val="single" w:sz="4" w:space="0" w:color="808080"/>
              <w:right w:val="nil"/>
            </w:tcBorders>
            <w:shd w:val="clear" w:color="auto" w:fill="auto"/>
            <w:noWrap/>
            <w:vAlign w:val="bottom"/>
            <w:hideMark/>
          </w:tcPr>
          <w:p w14:paraId="6F7987E6" w14:textId="77777777" w:rsidR="002C7068" w:rsidRPr="00A24756" w:rsidRDefault="002C7068" w:rsidP="00D346EB">
            <w:pPr>
              <w:spacing w:line="360" w:lineRule="auto"/>
              <w:rPr>
                <w:rFonts w:eastAsia="Times New Roman" w:cs="Times New Roman"/>
                <w:color w:val="000000"/>
                <w:sz w:val="18"/>
                <w:szCs w:val="18"/>
              </w:rPr>
            </w:pPr>
            <w:r w:rsidRPr="00A24756">
              <w:rPr>
                <w:rFonts w:eastAsia="Times New Roman" w:cs="Times New Roman"/>
                <w:color w:val="000000"/>
                <w:sz w:val="18"/>
                <w:szCs w:val="18"/>
              </w:rPr>
              <w:t>Lower Income</w:t>
            </w:r>
          </w:p>
        </w:tc>
        <w:tc>
          <w:tcPr>
            <w:tcW w:w="1056" w:type="dxa"/>
            <w:tcBorders>
              <w:top w:val="nil"/>
              <w:left w:val="nil"/>
              <w:bottom w:val="single" w:sz="4" w:space="0" w:color="808080"/>
              <w:right w:val="nil"/>
            </w:tcBorders>
            <w:shd w:val="clear" w:color="auto" w:fill="auto"/>
            <w:noWrap/>
            <w:vAlign w:val="bottom"/>
            <w:hideMark/>
          </w:tcPr>
          <w:p w14:paraId="245F6C95"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$63,350</w:t>
            </w:r>
          </w:p>
        </w:tc>
        <w:tc>
          <w:tcPr>
            <w:tcW w:w="1056" w:type="dxa"/>
            <w:tcBorders>
              <w:top w:val="nil"/>
              <w:left w:val="nil"/>
              <w:bottom w:val="single" w:sz="4" w:space="0" w:color="808080"/>
              <w:right w:val="nil"/>
            </w:tcBorders>
            <w:shd w:val="clear" w:color="auto" w:fill="auto"/>
            <w:noWrap/>
            <w:vAlign w:val="bottom"/>
            <w:hideMark/>
          </w:tcPr>
          <w:p w14:paraId="7BD54480"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$72,400</w:t>
            </w:r>
          </w:p>
        </w:tc>
        <w:tc>
          <w:tcPr>
            <w:tcW w:w="1212" w:type="dxa"/>
            <w:tcBorders>
              <w:top w:val="nil"/>
              <w:left w:val="nil"/>
              <w:bottom w:val="single" w:sz="4" w:space="0" w:color="808080"/>
              <w:right w:val="nil"/>
            </w:tcBorders>
            <w:shd w:val="clear" w:color="auto" w:fill="auto"/>
            <w:noWrap/>
            <w:vAlign w:val="bottom"/>
            <w:hideMark/>
          </w:tcPr>
          <w:p w14:paraId="3FB1E16E"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$81,450</w:t>
            </w:r>
          </w:p>
        </w:tc>
        <w:tc>
          <w:tcPr>
            <w:tcW w:w="1300" w:type="dxa"/>
            <w:tcBorders>
              <w:top w:val="nil"/>
              <w:left w:val="nil"/>
              <w:bottom w:val="single" w:sz="4" w:space="0" w:color="auto"/>
              <w:right w:val="nil"/>
            </w:tcBorders>
            <w:shd w:val="clear" w:color="auto" w:fill="auto"/>
            <w:noWrap/>
            <w:vAlign w:val="bottom"/>
            <w:hideMark/>
          </w:tcPr>
          <w:p w14:paraId="2622076A"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$90,500</w:t>
            </w:r>
          </w:p>
        </w:tc>
        <w:tc>
          <w:tcPr>
            <w:tcW w:w="1300" w:type="dxa"/>
            <w:tcBorders>
              <w:top w:val="nil"/>
              <w:left w:val="nil"/>
              <w:bottom w:val="single" w:sz="4" w:space="0" w:color="auto"/>
              <w:right w:val="nil"/>
            </w:tcBorders>
            <w:shd w:val="clear" w:color="auto" w:fill="auto"/>
            <w:noWrap/>
            <w:vAlign w:val="bottom"/>
            <w:hideMark/>
          </w:tcPr>
          <w:p w14:paraId="028327CE"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$97,700</w:t>
            </w:r>
          </w:p>
        </w:tc>
      </w:tr>
      <w:tr w:rsidR="002C7068" w:rsidRPr="00A24756" w14:paraId="0D06DB85" w14:textId="77777777" w:rsidTr="00D346EB">
        <w:trPr>
          <w:trHeight w:val="300"/>
        </w:trPr>
        <w:tc>
          <w:tcPr>
            <w:tcW w:w="2536" w:type="dxa"/>
            <w:tcBorders>
              <w:top w:val="nil"/>
              <w:left w:val="nil"/>
              <w:bottom w:val="single" w:sz="4" w:space="0" w:color="auto"/>
              <w:right w:val="nil"/>
            </w:tcBorders>
            <w:shd w:val="clear" w:color="auto" w:fill="auto"/>
            <w:noWrap/>
            <w:vAlign w:val="bottom"/>
            <w:hideMark/>
          </w:tcPr>
          <w:p w14:paraId="592F22C9" w14:textId="77777777" w:rsidR="002C7068" w:rsidRPr="00A24756" w:rsidRDefault="002C7068" w:rsidP="00D346EB">
            <w:pPr>
              <w:spacing w:line="360" w:lineRule="auto"/>
              <w:rPr>
                <w:rFonts w:eastAsia="Times New Roman" w:cs="Times New Roman"/>
                <w:color w:val="000000"/>
                <w:sz w:val="18"/>
                <w:szCs w:val="18"/>
              </w:rPr>
            </w:pPr>
            <w:r w:rsidRPr="00A24756">
              <w:rPr>
                <w:rFonts w:eastAsia="Times New Roman" w:cs="Times New Roman"/>
                <w:color w:val="000000"/>
                <w:sz w:val="18"/>
                <w:szCs w:val="18"/>
              </w:rPr>
              <w:t>Median Income</w:t>
            </w:r>
          </w:p>
        </w:tc>
        <w:tc>
          <w:tcPr>
            <w:tcW w:w="1056" w:type="dxa"/>
            <w:tcBorders>
              <w:top w:val="nil"/>
              <w:left w:val="nil"/>
              <w:bottom w:val="single" w:sz="4" w:space="0" w:color="auto"/>
              <w:right w:val="nil"/>
            </w:tcBorders>
            <w:shd w:val="clear" w:color="auto" w:fill="auto"/>
            <w:noWrap/>
            <w:vAlign w:val="bottom"/>
            <w:hideMark/>
          </w:tcPr>
          <w:p w14:paraId="00565A0E"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$72,100</w:t>
            </w:r>
          </w:p>
        </w:tc>
        <w:tc>
          <w:tcPr>
            <w:tcW w:w="1056" w:type="dxa"/>
            <w:tcBorders>
              <w:top w:val="nil"/>
              <w:left w:val="nil"/>
              <w:bottom w:val="single" w:sz="4" w:space="0" w:color="auto"/>
              <w:right w:val="nil"/>
            </w:tcBorders>
            <w:shd w:val="clear" w:color="auto" w:fill="auto"/>
            <w:noWrap/>
            <w:vAlign w:val="bottom"/>
            <w:hideMark/>
          </w:tcPr>
          <w:p w14:paraId="0BC9872F"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$82,400</w:t>
            </w:r>
          </w:p>
        </w:tc>
        <w:tc>
          <w:tcPr>
            <w:tcW w:w="1212" w:type="dxa"/>
            <w:tcBorders>
              <w:top w:val="nil"/>
              <w:left w:val="nil"/>
              <w:bottom w:val="single" w:sz="4" w:space="0" w:color="auto"/>
              <w:right w:val="nil"/>
            </w:tcBorders>
            <w:shd w:val="clear" w:color="auto" w:fill="auto"/>
            <w:noWrap/>
            <w:vAlign w:val="bottom"/>
            <w:hideMark/>
          </w:tcPr>
          <w:p w14:paraId="4D53BD1D"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$92,700</w:t>
            </w:r>
          </w:p>
        </w:tc>
        <w:tc>
          <w:tcPr>
            <w:tcW w:w="1300" w:type="dxa"/>
            <w:tcBorders>
              <w:top w:val="nil"/>
              <w:left w:val="nil"/>
              <w:bottom w:val="single" w:sz="4" w:space="0" w:color="auto"/>
              <w:right w:val="nil"/>
            </w:tcBorders>
            <w:shd w:val="clear" w:color="auto" w:fill="auto"/>
            <w:noWrap/>
            <w:vAlign w:val="bottom"/>
            <w:hideMark/>
          </w:tcPr>
          <w:p w14:paraId="208ADBBE"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$103,000</w:t>
            </w:r>
          </w:p>
        </w:tc>
        <w:tc>
          <w:tcPr>
            <w:tcW w:w="1300" w:type="dxa"/>
            <w:tcBorders>
              <w:top w:val="nil"/>
              <w:left w:val="nil"/>
              <w:bottom w:val="single" w:sz="4" w:space="0" w:color="auto"/>
              <w:right w:val="nil"/>
            </w:tcBorders>
            <w:shd w:val="clear" w:color="auto" w:fill="auto"/>
            <w:noWrap/>
            <w:vAlign w:val="bottom"/>
            <w:hideMark/>
          </w:tcPr>
          <w:p w14:paraId="0A1CC6E4"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$111,250</w:t>
            </w:r>
          </w:p>
        </w:tc>
      </w:tr>
      <w:tr w:rsidR="002C7068" w:rsidRPr="00A24756" w14:paraId="32457179" w14:textId="77777777" w:rsidTr="00D346EB">
        <w:trPr>
          <w:trHeight w:val="300"/>
        </w:trPr>
        <w:tc>
          <w:tcPr>
            <w:tcW w:w="2536" w:type="dxa"/>
            <w:tcBorders>
              <w:top w:val="nil"/>
              <w:left w:val="nil"/>
              <w:bottom w:val="single" w:sz="4" w:space="0" w:color="auto"/>
              <w:right w:val="nil"/>
            </w:tcBorders>
            <w:shd w:val="clear" w:color="auto" w:fill="auto"/>
            <w:noWrap/>
            <w:vAlign w:val="bottom"/>
            <w:hideMark/>
          </w:tcPr>
          <w:p w14:paraId="5B2023C1" w14:textId="77777777" w:rsidR="002C7068" w:rsidRPr="00A24756" w:rsidRDefault="002C7068" w:rsidP="00D346EB">
            <w:pPr>
              <w:spacing w:line="360" w:lineRule="auto"/>
              <w:rPr>
                <w:rFonts w:eastAsia="Times New Roman" w:cs="Times New Roman"/>
                <w:color w:val="000000"/>
                <w:sz w:val="18"/>
                <w:szCs w:val="18"/>
              </w:rPr>
            </w:pPr>
            <w:r w:rsidRPr="00A24756">
              <w:rPr>
                <w:rFonts w:eastAsia="Times New Roman" w:cs="Times New Roman"/>
                <w:color w:val="000000"/>
                <w:sz w:val="18"/>
                <w:szCs w:val="18"/>
              </w:rPr>
              <w:t>Moderate Income</w:t>
            </w:r>
          </w:p>
        </w:tc>
        <w:tc>
          <w:tcPr>
            <w:tcW w:w="1056" w:type="dxa"/>
            <w:tcBorders>
              <w:top w:val="nil"/>
              <w:left w:val="nil"/>
              <w:bottom w:val="single" w:sz="4" w:space="0" w:color="auto"/>
              <w:right w:val="nil"/>
            </w:tcBorders>
            <w:shd w:val="clear" w:color="auto" w:fill="auto"/>
            <w:noWrap/>
            <w:vAlign w:val="bottom"/>
            <w:hideMark/>
          </w:tcPr>
          <w:p w14:paraId="7B0883EB"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$86,500</w:t>
            </w:r>
          </w:p>
        </w:tc>
        <w:tc>
          <w:tcPr>
            <w:tcW w:w="1056" w:type="dxa"/>
            <w:tcBorders>
              <w:top w:val="nil"/>
              <w:left w:val="nil"/>
              <w:bottom w:val="single" w:sz="4" w:space="0" w:color="auto"/>
              <w:right w:val="nil"/>
            </w:tcBorders>
            <w:shd w:val="clear" w:color="auto" w:fill="auto"/>
            <w:noWrap/>
            <w:vAlign w:val="bottom"/>
            <w:hideMark/>
          </w:tcPr>
          <w:p w14:paraId="10B9C24A"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$98,900</w:t>
            </w:r>
          </w:p>
        </w:tc>
        <w:tc>
          <w:tcPr>
            <w:tcW w:w="1212" w:type="dxa"/>
            <w:tcBorders>
              <w:top w:val="nil"/>
              <w:left w:val="nil"/>
              <w:bottom w:val="single" w:sz="4" w:space="0" w:color="auto"/>
              <w:right w:val="nil"/>
            </w:tcBorders>
            <w:shd w:val="clear" w:color="auto" w:fill="auto"/>
            <w:noWrap/>
            <w:vAlign w:val="bottom"/>
            <w:hideMark/>
          </w:tcPr>
          <w:p w14:paraId="415F445C"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$111,250</w:t>
            </w:r>
          </w:p>
        </w:tc>
        <w:tc>
          <w:tcPr>
            <w:tcW w:w="1300" w:type="dxa"/>
            <w:tcBorders>
              <w:top w:val="nil"/>
              <w:left w:val="nil"/>
              <w:bottom w:val="single" w:sz="4" w:space="0" w:color="auto"/>
              <w:right w:val="nil"/>
            </w:tcBorders>
            <w:shd w:val="clear" w:color="auto" w:fill="auto"/>
            <w:noWrap/>
            <w:vAlign w:val="bottom"/>
            <w:hideMark/>
          </w:tcPr>
          <w:p w14:paraId="7ECE4F17"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$123,600</w:t>
            </w:r>
          </w:p>
        </w:tc>
        <w:tc>
          <w:tcPr>
            <w:tcW w:w="1300" w:type="dxa"/>
            <w:tcBorders>
              <w:top w:val="nil"/>
              <w:left w:val="nil"/>
              <w:bottom w:val="single" w:sz="4" w:space="0" w:color="auto"/>
              <w:right w:val="nil"/>
            </w:tcBorders>
            <w:shd w:val="clear" w:color="auto" w:fill="auto"/>
            <w:noWrap/>
            <w:vAlign w:val="bottom"/>
            <w:hideMark/>
          </w:tcPr>
          <w:p w14:paraId="4BBD251C" w14:textId="77777777" w:rsidR="002C7068" w:rsidRPr="00A24756" w:rsidRDefault="002C7068" w:rsidP="00D346EB">
            <w:pPr>
              <w:spacing w:line="360" w:lineRule="auto"/>
              <w:jc w:val="right"/>
              <w:rPr>
                <w:rFonts w:eastAsia="Times New Roman" w:cs="Times New Roman"/>
                <w:color w:val="000000"/>
                <w:sz w:val="18"/>
                <w:szCs w:val="18"/>
              </w:rPr>
            </w:pPr>
            <w:r w:rsidRPr="00A24756">
              <w:rPr>
                <w:rFonts w:eastAsia="Times New Roman" w:cs="Times New Roman"/>
                <w:color w:val="000000"/>
                <w:sz w:val="18"/>
                <w:szCs w:val="18"/>
              </w:rPr>
              <w:t>$133,500</w:t>
            </w:r>
          </w:p>
        </w:tc>
      </w:tr>
      <w:tr w:rsidR="002C7068" w:rsidRPr="00A24756" w14:paraId="1D04A531" w14:textId="77777777" w:rsidTr="00D346EB">
        <w:trPr>
          <w:trHeight w:val="300"/>
        </w:trPr>
        <w:tc>
          <w:tcPr>
            <w:tcW w:w="8460" w:type="dxa"/>
            <w:gridSpan w:val="6"/>
            <w:tcBorders>
              <w:top w:val="single" w:sz="4" w:space="0" w:color="auto"/>
              <w:left w:val="nil"/>
              <w:right w:val="nil"/>
            </w:tcBorders>
            <w:shd w:val="clear" w:color="auto" w:fill="auto"/>
            <w:noWrap/>
            <w:vAlign w:val="bottom"/>
            <w:hideMark/>
          </w:tcPr>
          <w:p w14:paraId="2D1F01AE" w14:textId="77777777" w:rsidR="002C7068" w:rsidRPr="000D4D2F" w:rsidRDefault="002C7068" w:rsidP="00D346EB">
            <w:pPr>
              <w:spacing w:line="240" w:lineRule="auto"/>
              <w:rPr>
                <w:rFonts w:eastAsia="Times New Roman" w:cs="Times New Roman"/>
                <w:iCs/>
                <w:color w:val="000000"/>
                <w:sz w:val="8"/>
                <w:szCs w:val="16"/>
              </w:rPr>
            </w:pPr>
          </w:p>
          <w:p w14:paraId="19903812" w14:textId="77777777" w:rsidR="002C7068" w:rsidRPr="009C5AFE" w:rsidRDefault="002C7068" w:rsidP="00D346EB">
            <w:pPr>
              <w:spacing w:line="240" w:lineRule="auto"/>
              <w:rPr>
                <w:rFonts w:eastAsia="Times New Roman" w:cs="Times New Roman"/>
                <w:iCs/>
                <w:color w:val="000000"/>
                <w:sz w:val="10"/>
                <w:szCs w:val="16"/>
              </w:rPr>
            </w:pPr>
          </w:p>
          <w:p w14:paraId="4CC3C56F" w14:textId="77777777" w:rsidR="002C7068" w:rsidRPr="0064792B" w:rsidRDefault="002C7068" w:rsidP="00D346EB">
            <w:pPr>
              <w:spacing w:line="240" w:lineRule="auto"/>
              <w:rPr>
                <w:rFonts w:eastAsia="Times New Roman" w:cs="Times New Roman"/>
                <w:iCs/>
                <w:color w:val="000000"/>
                <w:sz w:val="18"/>
                <w:szCs w:val="16"/>
              </w:rPr>
            </w:pPr>
            <w:r w:rsidRPr="0064792B">
              <w:rPr>
                <w:rFonts w:eastAsia="Times New Roman" w:cs="Times New Roman"/>
                <w:iCs/>
                <w:color w:val="000000"/>
                <w:sz w:val="18"/>
                <w:szCs w:val="16"/>
              </w:rPr>
              <w:t xml:space="preserve">Source: HCD State Income Limits 2013 and State CDBG and HOME Income Limits also available at </w:t>
            </w:r>
            <w:hyperlink r:id="rId9" w:history="1">
              <w:r w:rsidRPr="0064792B">
                <w:rPr>
                  <w:rStyle w:val="Hyperlink"/>
                  <w:rFonts w:eastAsia="Times New Roman" w:cs="Times New Roman"/>
                  <w:iCs/>
                  <w:sz w:val="18"/>
                  <w:szCs w:val="16"/>
                </w:rPr>
                <w:t>http://www.hcd.ca.gov/hpd/hrc/rep/state/incNote.html</w:t>
              </w:r>
            </w:hyperlink>
          </w:p>
          <w:p w14:paraId="0D7A0453" w14:textId="77777777" w:rsidR="002C7068" w:rsidRPr="000D4D2F" w:rsidRDefault="002C7068" w:rsidP="00D346EB">
            <w:pPr>
              <w:spacing w:line="240" w:lineRule="auto"/>
              <w:rPr>
                <w:rFonts w:eastAsia="Times New Roman" w:cs="Times New Roman"/>
                <w:color w:val="000000"/>
                <w:sz w:val="18"/>
                <w:szCs w:val="18"/>
              </w:rPr>
            </w:pPr>
          </w:p>
        </w:tc>
      </w:tr>
    </w:tbl>
    <w:p w14:paraId="564215C0" w14:textId="77777777" w:rsidR="002C7068" w:rsidRPr="00997AD9" w:rsidRDefault="002C7068" w:rsidP="002C7068">
      <w:pPr>
        <w:pStyle w:val="heading10"/>
        <w:rPr>
          <w:sz w:val="20"/>
        </w:rPr>
      </w:pPr>
    </w:p>
    <w:p w14:paraId="2A4D3565" w14:textId="77777777" w:rsidR="00DC16E6" w:rsidRDefault="00DC16E6">
      <w:pPr>
        <w:spacing w:line="240" w:lineRule="auto"/>
        <w:rPr>
          <w:b/>
          <w:color w:val="0B5095"/>
          <w:sz w:val="28"/>
          <w:szCs w:val="28"/>
        </w:rPr>
      </w:pPr>
      <w:r>
        <w:rPr>
          <w:color w:val="0B5095"/>
        </w:rPr>
        <w:br w:type="page"/>
      </w:r>
    </w:p>
    <w:p w14:paraId="2F6B6D46" w14:textId="691373C5" w:rsidR="00D25635" w:rsidRPr="00997AD9" w:rsidRDefault="00D25635" w:rsidP="00997AD9">
      <w:pPr>
        <w:pStyle w:val="heading10"/>
        <w:rPr>
          <w:color w:val="0B5095"/>
        </w:rPr>
      </w:pPr>
      <w:r w:rsidRPr="00997AD9">
        <w:rPr>
          <w:color w:val="0B5095"/>
        </w:rPr>
        <w:lastRenderedPageBreak/>
        <w:t>General Demographics</w:t>
      </w:r>
      <w:r w:rsidR="006C4E74">
        <w:rPr>
          <w:color w:val="0B5095"/>
        </w:rPr>
        <w:t xml:space="preserve"> and Projections</w:t>
      </w:r>
    </w:p>
    <w:p w14:paraId="106446D1" w14:textId="1D26D938" w:rsidR="0051150B" w:rsidRDefault="0051150B" w:rsidP="001F7485">
      <w:r w:rsidRPr="00163159">
        <w:t xml:space="preserve">According to California Department of Finance (DOF) estimates, </w:t>
      </w:r>
      <w:r w:rsidR="00853231" w:rsidRPr="00163159">
        <w:t>Hillsborough</w:t>
      </w:r>
      <w:r w:rsidRPr="00163159">
        <w:t xml:space="preserve"> had a January 2013 population of </w:t>
      </w:r>
      <w:r w:rsidR="001F7485" w:rsidRPr="00163159">
        <w:t xml:space="preserve">11,115 </w:t>
      </w:r>
      <w:r w:rsidRPr="00163159">
        <w:t>residents. T</w:t>
      </w:r>
      <w:r w:rsidR="006B62C3" w:rsidRPr="00163159">
        <w:t xml:space="preserve">he most recent census estimates </w:t>
      </w:r>
      <w:r w:rsidRPr="00163159">
        <w:t xml:space="preserve">are </w:t>
      </w:r>
      <w:r w:rsidR="006B62C3" w:rsidRPr="00163159">
        <w:t>from July 2012</w:t>
      </w:r>
      <w:r w:rsidRPr="00163159">
        <w:t xml:space="preserve">, and show a population for </w:t>
      </w:r>
      <w:r w:rsidR="00853231" w:rsidRPr="00163159">
        <w:t>Hillsborough</w:t>
      </w:r>
      <w:r w:rsidRPr="00163159">
        <w:t xml:space="preserve"> of </w:t>
      </w:r>
      <w:r w:rsidR="001F7485" w:rsidRPr="00163159">
        <w:t xml:space="preserve">11,144 </w:t>
      </w:r>
      <w:r w:rsidRPr="00163159">
        <w:t>residents</w:t>
      </w:r>
      <w:r w:rsidR="00D25635" w:rsidRPr="00163159">
        <w:t>.</w:t>
      </w:r>
      <w:r w:rsidR="001F7485" w:rsidRPr="00163159">
        <w:t xml:space="preserve"> According to census data, Hillsborough did not grow at all from 2000 to 2010</w:t>
      </w:r>
      <w:r w:rsidR="00D424A2" w:rsidRPr="00163159">
        <w:t>, and in fact has grown very little since 1990</w:t>
      </w:r>
      <w:r w:rsidR="001F7485" w:rsidRPr="00163159">
        <w:t>. The Association of Bay Area Governments (ABAG) predicts Hillsborough’s growth will accelerate over the next two decades, bringing the population total up to 13,000 in 2030.</w:t>
      </w:r>
      <w:r w:rsidR="00D424A2" w:rsidRPr="00163159">
        <w:t xml:space="preserve"> </w:t>
      </w:r>
      <w:r w:rsidR="00DC16E6" w:rsidRPr="00163159">
        <w:t>Population projections provide a snapshot of future trends based on assumptions about development capacity, demographic changes and economic conditions. Population counts, estimates and projections are shown in the table below.</w:t>
      </w:r>
      <w:r w:rsidR="00547E58">
        <w:rPr>
          <w:rStyle w:val="FootnoteReference"/>
        </w:rPr>
        <w:footnoteReference w:id="1"/>
      </w:r>
    </w:p>
    <w:p w14:paraId="68FEA360" w14:textId="77777777" w:rsidR="00163159" w:rsidRPr="00163159" w:rsidRDefault="00163159" w:rsidP="001F7485">
      <w:pPr>
        <w:rPr>
          <w:sz w:val="14"/>
        </w:rPr>
      </w:pPr>
    </w:p>
    <w:p w14:paraId="717B4727" w14:textId="77777777" w:rsidR="002B0964" w:rsidRPr="00163159" w:rsidRDefault="002B0964" w:rsidP="002B0964">
      <w:pPr>
        <w:autoSpaceDE w:val="0"/>
        <w:autoSpaceDN w:val="0"/>
        <w:adjustRightInd w:val="0"/>
        <w:rPr>
          <w:rFonts w:ascii="Arial" w:hAnsi="Arial" w:cs="Arial"/>
          <w:sz w:val="2"/>
          <w:szCs w:val="20"/>
        </w:rPr>
      </w:pPr>
    </w:p>
    <w:p w14:paraId="4FA72E62" w14:textId="77777777" w:rsidR="002B0964" w:rsidRPr="00B4447B" w:rsidRDefault="002B0964" w:rsidP="002B0964">
      <w:pPr>
        <w:autoSpaceDE w:val="0"/>
        <w:autoSpaceDN w:val="0"/>
        <w:adjustRightInd w:val="0"/>
        <w:rPr>
          <w:rFonts w:ascii="Arial" w:hAnsi="Arial" w:cs="Arial"/>
          <w:sz w:val="2"/>
          <w:szCs w:val="20"/>
        </w:rPr>
      </w:pPr>
    </w:p>
    <w:tbl>
      <w:tblPr>
        <w:tblW w:w="8227" w:type="dxa"/>
        <w:tblInd w:w="71" w:type="dxa"/>
        <w:tblLayout w:type="fixed"/>
        <w:tblLook w:val="04A0" w:firstRow="1" w:lastRow="0" w:firstColumn="1" w:lastColumn="0" w:noHBand="0" w:noVBand="1"/>
      </w:tblPr>
      <w:tblGrid>
        <w:gridCol w:w="22"/>
        <w:gridCol w:w="2535"/>
        <w:gridCol w:w="949"/>
        <w:gridCol w:w="900"/>
        <w:gridCol w:w="1308"/>
        <w:gridCol w:w="348"/>
        <w:gridCol w:w="870"/>
        <w:gridCol w:w="430"/>
        <w:gridCol w:w="865"/>
      </w:tblGrid>
      <w:tr w:rsidR="002B0964" w:rsidRPr="00A24756" w14:paraId="2D99B313" w14:textId="77777777" w:rsidTr="002B0964">
        <w:trPr>
          <w:gridBefore w:val="1"/>
          <w:wBefore w:w="22" w:type="dxa"/>
          <w:trHeight w:val="300"/>
        </w:trPr>
        <w:tc>
          <w:tcPr>
            <w:tcW w:w="6040" w:type="dxa"/>
            <w:gridSpan w:val="5"/>
            <w:tcBorders>
              <w:top w:val="nil"/>
              <w:left w:val="nil"/>
              <w:bottom w:val="nil"/>
              <w:right w:val="nil"/>
            </w:tcBorders>
            <w:shd w:val="clear" w:color="000000" w:fill="000000"/>
            <w:noWrap/>
            <w:vAlign w:val="bottom"/>
            <w:hideMark/>
          </w:tcPr>
          <w:p w14:paraId="5BAB4C1A" w14:textId="77777777" w:rsidR="002B0964" w:rsidRPr="00A24756" w:rsidRDefault="002B0964" w:rsidP="002B0964">
            <w:pPr>
              <w:ind w:right="-1193"/>
              <w:rPr>
                <w:rFonts w:eastAsia="Times New Roman" w:cs="Times New Roman"/>
                <w:b/>
                <w:bCs/>
                <w:color w:val="FFFFFF"/>
                <w:sz w:val="20"/>
                <w:szCs w:val="20"/>
              </w:rPr>
            </w:pPr>
            <w:r>
              <w:rPr>
                <w:rFonts w:eastAsia="Times New Roman" w:cs="Times New Roman"/>
                <w:b/>
                <w:bCs/>
                <w:color w:val="FFFFFF"/>
                <w:sz w:val="20"/>
                <w:szCs w:val="20"/>
              </w:rPr>
              <w:t>San Mateo County and Cities Population Change (2000-2030)</w:t>
            </w:r>
          </w:p>
        </w:tc>
        <w:tc>
          <w:tcPr>
            <w:tcW w:w="1300" w:type="dxa"/>
            <w:gridSpan w:val="2"/>
            <w:tcBorders>
              <w:top w:val="nil"/>
              <w:left w:val="nil"/>
              <w:bottom w:val="nil"/>
              <w:right w:val="nil"/>
            </w:tcBorders>
            <w:shd w:val="clear" w:color="000000" w:fill="000000"/>
            <w:noWrap/>
            <w:vAlign w:val="bottom"/>
            <w:hideMark/>
          </w:tcPr>
          <w:p w14:paraId="55936DDE" w14:textId="77777777" w:rsidR="002B0964" w:rsidRPr="00A24756" w:rsidRDefault="002B0964" w:rsidP="002B0964">
            <w:pPr>
              <w:rPr>
                <w:rFonts w:ascii="Calibri" w:eastAsia="Times New Roman" w:hAnsi="Calibri" w:cs="Times New Roman"/>
                <w:color w:val="000000"/>
              </w:rPr>
            </w:pPr>
            <w:r w:rsidRPr="00A24756">
              <w:rPr>
                <w:rFonts w:ascii="Calibri" w:eastAsia="Times New Roman" w:hAnsi="Calibri" w:cs="Times New Roman"/>
                <w:color w:val="000000"/>
              </w:rPr>
              <w:t> </w:t>
            </w:r>
          </w:p>
        </w:tc>
        <w:tc>
          <w:tcPr>
            <w:tcW w:w="865" w:type="dxa"/>
            <w:tcBorders>
              <w:top w:val="nil"/>
              <w:left w:val="nil"/>
              <w:bottom w:val="nil"/>
              <w:right w:val="nil"/>
            </w:tcBorders>
            <w:shd w:val="clear" w:color="000000" w:fill="000000"/>
            <w:noWrap/>
            <w:vAlign w:val="bottom"/>
            <w:hideMark/>
          </w:tcPr>
          <w:p w14:paraId="13EAB11F" w14:textId="77777777" w:rsidR="002B0964" w:rsidRPr="00A24756" w:rsidRDefault="002B0964" w:rsidP="002B0964">
            <w:pPr>
              <w:rPr>
                <w:rFonts w:ascii="Calibri" w:eastAsia="Times New Roman" w:hAnsi="Calibri" w:cs="Times New Roman"/>
                <w:color w:val="000000"/>
              </w:rPr>
            </w:pPr>
            <w:r w:rsidRPr="00A24756">
              <w:rPr>
                <w:rFonts w:ascii="Calibri" w:eastAsia="Times New Roman" w:hAnsi="Calibri" w:cs="Times New Roman"/>
                <w:color w:val="000000"/>
              </w:rPr>
              <w:t> </w:t>
            </w:r>
          </w:p>
        </w:tc>
      </w:tr>
      <w:tr w:rsidR="002B0964" w14:paraId="78F63C72" w14:textId="77777777" w:rsidTr="002B0964">
        <w:tblPrEx>
          <w:tblCellMar>
            <w:left w:w="115" w:type="dxa"/>
            <w:right w:w="115" w:type="dxa"/>
          </w:tblCellMar>
          <w:tblLook w:val="0000" w:firstRow="0" w:lastRow="0" w:firstColumn="0" w:lastColumn="0" w:noHBand="0" w:noVBand="0"/>
        </w:tblPrEx>
        <w:trPr>
          <w:trHeight w:val="603"/>
        </w:trPr>
        <w:tc>
          <w:tcPr>
            <w:tcW w:w="2557" w:type="dxa"/>
            <w:gridSpan w:val="2"/>
            <w:tcBorders>
              <w:top w:val="nil"/>
              <w:left w:val="nil"/>
              <w:bottom w:val="single" w:sz="2" w:space="0" w:color="auto"/>
              <w:right w:val="nil"/>
            </w:tcBorders>
          </w:tcPr>
          <w:p w14:paraId="7C77BE4F" w14:textId="77777777" w:rsidR="002B0964" w:rsidRDefault="002B0964" w:rsidP="002B0964">
            <w:pPr>
              <w:widowControl w:val="0"/>
              <w:autoSpaceDE w:val="0"/>
              <w:autoSpaceDN w:val="0"/>
              <w:adjustRightInd w:val="0"/>
              <w:spacing w:line="240" w:lineRule="auto"/>
              <w:jc w:val="right"/>
              <w:rPr>
                <w:rFonts w:cs="Century Gothic"/>
                <w:color w:val="000000"/>
                <w:sz w:val="18"/>
                <w:szCs w:val="18"/>
              </w:rPr>
            </w:pPr>
          </w:p>
        </w:tc>
        <w:tc>
          <w:tcPr>
            <w:tcW w:w="949" w:type="dxa"/>
            <w:tcBorders>
              <w:top w:val="nil"/>
              <w:left w:val="nil"/>
              <w:bottom w:val="single" w:sz="2" w:space="0" w:color="auto"/>
              <w:right w:val="nil"/>
            </w:tcBorders>
            <w:vAlign w:val="bottom"/>
          </w:tcPr>
          <w:p w14:paraId="18CCD7CF" w14:textId="77777777" w:rsidR="002B0964" w:rsidRDefault="002B0964" w:rsidP="002B0964">
            <w:pPr>
              <w:widowControl w:val="0"/>
              <w:autoSpaceDE w:val="0"/>
              <w:autoSpaceDN w:val="0"/>
              <w:adjustRightInd w:val="0"/>
              <w:spacing w:line="240" w:lineRule="auto"/>
              <w:jc w:val="right"/>
              <w:rPr>
                <w:rFonts w:cs="Century Gothic"/>
                <w:b/>
                <w:bCs/>
                <w:color w:val="000000"/>
                <w:sz w:val="18"/>
                <w:szCs w:val="18"/>
              </w:rPr>
            </w:pPr>
            <w:r>
              <w:rPr>
                <w:rFonts w:cs="Century Gothic"/>
                <w:b/>
                <w:bCs/>
                <w:color w:val="000000"/>
                <w:sz w:val="18"/>
                <w:szCs w:val="18"/>
              </w:rPr>
              <w:t>2000</w:t>
            </w:r>
          </w:p>
        </w:tc>
        <w:tc>
          <w:tcPr>
            <w:tcW w:w="900" w:type="dxa"/>
            <w:tcBorders>
              <w:top w:val="nil"/>
              <w:left w:val="nil"/>
              <w:bottom w:val="single" w:sz="2" w:space="0" w:color="auto"/>
              <w:right w:val="nil"/>
            </w:tcBorders>
            <w:vAlign w:val="bottom"/>
          </w:tcPr>
          <w:p w14:paraId="057FE476" w14:textId="77777777" w:rsidR="002B0964" w:rsidRDefault="002B0964" w:rsidP="002B0964">
            <w:pPr>
              <w:widowControl w:val="0"/>
              <w:autoSpaceDE w:val="0"/>
              <w:autoSpaceDN w:val="0"/>
              <w:adjustRightInd w:val="0"/>
              <w:spacing w:line="240" w:lineRule="auto"/>
              <w:jc w:val="right"/>
              <w:rPr>
                <w:rFonts w:cs="Century Gothic"/>
                <w:b/>
                <w:bCs/>
                <w:color w:val="000000"/>
                <w:sz w:val="18"/>
                <w:szCs w:val="18"/>
              </w:rPr>
            </w:pPr>
            <w:r>
              <w:rPr>
                <w:rFonts w:cs="Century Gothic"/>
                <w:b/>
                <w:bCs/>
                <w:color w:val="000000"/>
                <w:sz w:val="18"/>
                <w:szCs w:val="18"/>
              </w:rPr>
              <w:t>2010</w:t>
            </w:r>
          </w:p>
        </w:tc>
        <w:tc>
          <w:tcPr>
            <w:tcW w:w="1308" w:type="dxa"/>
            <w:tcBorders>
              <w:top w:val="nil"/>
              <w:left w:val="nil"/>
              <w:bottom w:val="single" w:sz="2" w:space="0" w:color="auto"/>
              <w:right w:val="nil"/>
            </w:tcBorders>
          </w:tcPr>
          <w:p w14:paraId="166C488E" w14:textId="77777777" w:rsidR="002B0964" w:rsidRDefault="002B0964" w:rsidP="002B0964">
            <w:pPr>
              <w:widowControl w:val="0"/>
              <w:autoSpaceDE w:val="0"/>
              <w:autoSpaceDN w:val="0"/>
              <w:adjustRightInd w:val="0"/>
              <w:spacing w:line="240" w:lineRule="auto"/>
              <w:jc w:val="right"/>
              <w:rPr>
                <w:rFonts w:cs="Century Gothic"/>
                <w:b/>
                <w:bCs/>
                <w:color w:val="000000" w:themeColor="text1"/>
                <w:sz w:val="18"/>
                <w:szCs w:val="18"/>
              </w:rPr>
            </w:pPr>
          </w:p>
          <w:p w14:paraId="53282037" w14:textId="77777777" w:rsidR="002B0964" w:rsidRPr="002F282F" w:rsidRDefault="002B0964" w:rsidP="002B0964">
            <w:pPr>
              <w:widowControl w:val="0"/>
              <w:autoSpaceDE w:val="0"/>
              <w:autoSpaceDN w:val="0"/>
              <w:adjustRightInd w:val="0"/>
              <w:spacing w:line="240" w:lineRule="auto"/>
              <w:jc w:val="right"/>
              <w:rPr>
                <w:rFonts w:cs="Century Gothic"/>
                <w:b/>
                <w:bCs/>
                <w:color w:val="000000" w:themeColor="text1"/>
                <w:sz w:val="10"/>
                <w:szCs w:val="18"/>
              </w:rPr>
            </w:pPr>
          </w:p>
          <w:p w14:paraId="4568B366" w14:textId="77777777" w:rsidR="002B0964" w:rsidRPr="00C30273" w:rsidRDefault="002B0964" w:rsidP="002B0964">
            <w:pPr>
              <w:widowControl w:val="0"/>
              <w:autoSpaceDE w:val="0"/>
              <w:autoSpaceDN w:val="0"/>
              <w:adjustRightInd w:val="0"/>
              <w:spacing w:line="240" w:lineRule="auto"/>
              <w:jc w:val="right"/>
              <w:rPr>
                <w:rFonts w:cs="Century Gothic"/>
                <w:b/>
                <w:bCs/>
                <w:color w:val="000000" w:themeColor="text1"/>
                <w:sz w:val="18"/>
                <w:szCs w:val="18"/>
              </w:rPr>
            </w:pPr>
            <w:r>
              <w:rPr>
                <w:rFonts w:cs="Century Gothic"/>
                <w:b/>
                <w:bCs/>
                <w:color w:val="000000" w:themeColor="text1"/>
                <w:sz w:val="18"/>
                <w:szCs w:val="18"/>
              </w:rPr>
              <w:t xml:space="preserve">Estimated Population </w:t>
            </w:r>
            <w:r w:rsidRPr="00C30273">
              <w:rPr>
                <w:rFonts w:cs="Century Gothic"/>
                <w:b/>
                <w:bCs/>
                <w:color w:val="000000" w:themeColor="text1"/>
                <w:sz w:val="18"/>
                <w:szCs w:val="18"/>
              </w:rPr>
              <w:t xml:space="preserve">2013 </w:t>
            </w:r>
          </w:p>
        </w:tc>
        <w:tc>
          <w:tcPr>
            <w:tcW w:w="1218" w:type="dxa"/>
            <w:gridSpan w:val="2"/>
            <w:tcBorders>
              <w:top w:val="nil"/>
              <w:left w:val="nil"/>
              <w:bottom w:val="single" w:sz="2" w:space="0" w:color="auto"/>
              <w:right w:val="nil"/>
            </w:tcBorders>
            <w:vAlign w:val="bottom"/>
          </w:tcPr>
          <w:p w14:paraId="5CB72C97" w14:textId="77777777" w:rsidR="002B0964" w:rsidRDefault="002B0964" w:rsidP="002B0964">
            <w:pPr>
              <w:widowControl w:val="0"/>
              <w:autoSpaceDE w:val="0"/>
              <w:autoSpaceDN w:val="0"/>
              <w:adjustRightInd w:val="0"/>
              <w:spacing w:line="240" w:lineRule="auto"/>
              <w:jc w:val="right"/>
              <w:rPr>
                <w:rFonts w:cs="Century Gothic"/>
                <w:b/>
                <w:bCs/>
                <w:color w:val="000000"/>
                <w:sz w:val="18"/>
                <w:szCs w:val="18"/>
              </w:rPr>
            </w:pPr>
            <w:r>
              <w:rPr>
                <w:rFonts w:cs="Century Gothic"/>
                <w:b/>
                <w:bCs/>
                <w:color w:val="000000"/>
                <w:sz w:val="18"/>
                <w:szCs w:val="18"/>
              </w:rPr>
              <w:t>Projected Population 2030</w:t>
            </w:r>
          </w:p>
        </w:tc>
        <w:tc>
          <w:tcPr>
            <w:tcW w:w="1295" w:type="dxa"/>
            <w:gridSpan w:val="2"/>
            <w:tcBorders>
              <w:top w:val="nil"/>
              <w:left w:val="nil"/>
              <w:bottom w:val="single" w:sz="2" w:space="0" w:color="auto"/>
              <w:right w:val="nil"/>
            </w:tcBorders>
            <w:vAlign w:val="bottom"/>
          </w:tcPr>
          <w:p w14:paraId="7A368334" w14:textId="77777777" w:rsidR="002B0964" w:rsidRPr="002F282F" w:rsidRDefault="002B0964" w:rsidP="002B0964">
            <w:pPr>
              <w:widowControl w:val="0"/>
              <w:autoSpaceDE w:val="0"/>
              <w:autoSpaceDN w:val="0"/>
              <w:adjustRightInd w:val="0"/>
              <w:spacing w:line="240" w:lineRule="auto"/>
              <w:rPr>
                <w:rFonts w:cs="Century Gothic"/>
                <w:b/>
                <w:bCs/>
                <w:color w:val="000000"/>
                <w:sz w:val="10"/>
                <w:szCs w:val="18"/>
              </w:rPr>
            </w:pPr>
          </w:p>
          <w:p w14:paraId="185466BE" w14:textId="77777777" w:rsidR="002B0964" w:rsidRDefault="002B0964" w:rsidP="002B0964">
            <w:pPr>
              <w:widowControl w:val="0"/>
              <w:autoSpaceDE w:val="0"/>
              <w:autoSpaceDN w:val="0"/>
              <w:adjustRightInd w:val="0"/>
              <w:spacing w:line="240" w:lineRule="auto"/>
              <w:jc w:val="right"/>
              <w:rPr>
                <w:rFonts w:cs="Century Gothic"/>
                <w:b/>
                <w:bCs/>
                <w:color w:val="000000"/>
                <w:sz w:val="18"/>
                <w:szCs w:val="18"/>
              </w:rPr>
            </w:pPr>
            <w:r>
              <w:rPr>
                <w:rFonts w:cs="Century Gothic"/>
                <w:b/>
                <w:bCs/>
                <w:color w:val="000000"/>
                <w:sz w:val="18"/>
                <w:szCs w:val="18"/>
              </w:rPr>
              <w:t>Projected Percent Change 2010-2030</w:t>
            </w:r>
          </w:p>
        </w:tc>
      </w:tr>
      <w:tr w:rsidR="00480DE6" w:rsidRPr="009C57FF" w14:paraId="2860AA50" w14:textId="77777777" w:rsidTr="00547E58">
        <w:tblPrEx>
          <w:tblCellMar>
            <w:left w:w="115" w:type="dxa"/>
            <w:right w:w="115" w:type="dxa"/>
          </w:tblCellMar>
          <w:tblLook w:val="0000" w:firstRow="0" w:lastRow="0" w:firstColumn="0" w:lastColumn="0" w:noHBand="0" w:noVBand="0"/>
        </w:tblPrEx>
        <w:trPr>
          <w:trHeight w:val="132"/>
        </w:trPr>
        <w:tc>
          <w:tcPr>
            <w:tcW w:w="2557" w:type="dxa"/>
            <w:gridSpan w:val="2"/>
            <w:tcBorders>
              <w:top w:val="nil"/>
              <w:left w:val="nil"/>
              <w:bottom w:val="single" w:sz="6" w:space="0" w:color="808080"/>
              <w:right w:val="nil"/>
            </w:tcBorders>
            <w:vAlign w:val="center"/>
          </w:tcPr>
          <w:p w14:paraId="1979CED0" w14:textId="2A22FCC5" w:rsidR="00480DE6" w:rsidRPr="009C57FF" w:rsidRDefault="00480DE6" w:rsidP="002B0964">
            <w:pPr>
              <w:widowControl w:val="0"/>
              <w:autoSpaceDE w:val="0"/>
              <w:autoSpaceDN w:val="0"/>
              <w:adjustRightInd w:val="0"/>
              <w:rPr>
                <w:rFonts w:cs="Century Gothic"/>
                <w:color w:val="000000"/>
                <w:sz w:val="18"/>
                <w:szCs w:val="18"/>
              </w:rPr>
            </w:pPr>
            <w:r>
              <w:rPr>
                <w:color w:val="000000"/>
                <w:sz w:val="18"/>
                <w:szCs w:val="18"/>
              </w:rPr>
              <w:t>Atherton</w:t>
            </w:r>
          </w:p>
        </w:tc>
        <w:tc>
          <w:tcPr>
            <w:tcW w:w="949" w:type="dxa"/>
            <w:tcBorders>
              <w:top w:val="nil"/>
              <w:left w:val="nil"/>
              <w:bottom w:val="single" w:sz="6" w:space="0" w:color="808080"/>
              <w:right w:val="nil"/>
            </w:tcBorders>
            <w:vAlign w:val="bottom"/>
          </w:tcPr>
          <w:p w14:paraId="70FFBC87" w14:textId="77777777" w:rsidR="00480DE6" w:rsidRPr="009C57FF" w:rsidRDefault="00480DE6" w:rsidP="002B0964">
            <w:pPr>
              <w:widowControl w:val="0"/>
              <w:autoSpaceDE w:val="0"/>
              <w:autoSpaceDN w:val="0"/>
              <w:adjustRightInd w:val="0"/>
              <w:jc w:val="right"/>
              <w:rPr>
                <w:rFonts w:cs="Century Gothic"/>
                <w:color w:val="000000"/>
                <w:sz w:val="18"/>
                <w:szCs w:val="18"/>
              </w:rPr>
            </w:pPr>
            <w:r w:rsidRPr="009C57FF">
              <w:rPr>
                <w:color w:val="000000"/>
                <w:sz w:val="18"/>
                <w:szCs w:val="18"/>
              </w:rPr>
              <w:t>7,194</w:t>
            </w:r>
          </w:p>
        </w:tc>
        <w:tc>
          <w:tcPr>
            <w:tcW w:w="900" w:type="dxa"/>
            <w:tcBorders>
              <w:top w:val="nil"/>
              <w:left w:val="nil"/>
              <w:bottom w:val="single" w:sz="6" w:space="0" w:color="808080"/>
              <w:right w:val="nil"/>
            </w:tcBorders>
            <w:vAlign w:val="bottom"/>
          </w:tcPr>
          <w:p w14:paraId="1DF08560" w14:textId="77777777" w:rsidR="00480DE6" w:rsidRPr="009C57FF" w:rsidRDefault="00480DE6" w:rsidP="002B0964">
            <w:pPr>
              <w:widowControl w:val="0"/>
              <w:autoSpaceDE w:val="0"/>
              <w:autoSpaceDN w:val="0"/>
              <w:adjustRightInd w:val="0"/>
              <w:jc w:val="right"/>
              <w:rPr>
                <w:rFonts w:cs="Century Gothic"/>
                <w:color w:val="000000"/>
                <w:sz w:val="18"/>
                <w:szCs w:val="18"/>
              </w:rPr>
            </w:pPr>
            <w:r w:rsidRPr="009C57FF">
              <w:rPr>
                <w:rFonts w:cs="Arial"/>
                <w:sz w:val="18"/>
                <w:szCs w:val="18"/>
              </w:rPr>
              <w:t>6,914</w:t>
            </w:r>
          </w:p>
        </w:tc>
        <w:tc>
          <w:tcPr>
            <w:tcW w:w="1308" w:type="dxa"/>
            <w:tcBorders>
              <w:top w:val="nil"/>
              <w:left w:val="nil"/>
              <w:bottom w:val="single" w:sz="6" w:space="0" w:color="808080"/>
              <w:right w:val="nil"/>
            </w:tcBorders>
          </w:tcPr>
          <w:p w14:paraId="2F3970F1"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6,893</w:t>
            </w:r>
          </w:p>
        </w:tc>
        <w:tc>
          <w:tcPr>
            <w:tcW w:w="1218" w:type="dxa"/>
            <w:gridSpan w:val="2"/>
            <w:tcBorders>
              <w:top w:val="nil"/>
              <w:left w:val="nil"/>
              <w:bottom w:val="single" w:sz="6" w:space="0" w:color="808080"/>
              <w:right w:val="nil"/>
            </w:tcBorders>
            <w:vAlign w:val="bottom"/>
          </w:tcPr>
          <w:p w14:paraId="49AEA8D0" w14:textId="0F0A2823" w:rsidR="00480DE6" w:rsidRPr="009C57FF"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7,500</w:t>
            </w:r>
          </w:p>
        </w:tc>
        <w:tc>
          <w:tcPr>
            <w:tcW w:w="1295" w:type="dxa"/>
            <w:gridSpan w:val="2"/>
            <w:tcBorders>
              <w:top w:val="nil"/>
              <w:left w:val="nil"/>
              <w:bottom w:val="single" w:sz="6" w:space="0" w:color="808080"/>
              <w:right w:val="nil"/>
            </w:tcBorders>
            <w:vAlign w:val="center"/>
          </w:tcPr>
          <w:p w14:paraId="4C8F168B" w14:textId="44BDF0AA" w:rsidR="00480DE6" w:rsidRPr="009C57FF"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8%</w:t>
            </w:r>
          </w:p>
        </w:tc>
      </w:tr>
      <w:tr w:rsidR="00480DE6" w14:paraId="05659D8A" w14:textId="77777777" w:rsidTr="00547E58">
        <w:tblPrEx>
          <w:tblCellMar>
            <w:left w:w="115" w:type="dxa"/>
            <w:right w:w="115" w:type="dxa"/>
          </w:tblCellMar>
          <w:tblLook w:val="0000" w:firstRow="0" w:lastRow="0" w:firstColumn="0" w:lastColumn="0" w:noHBand="0" w:noVBand="0"/>
        </w:tblPrEx>
        <w:trPr>
          <w:trHeight w:val="84"/>
        </w:trPr>
        <w:tc>
          <w:tcPr>
            <w:tcW w:w="2557" w:type="dxa"/>
            <w:gridSpan w:val="2"/>
            <w:tcBorders>
              <w:top w:val="single" w:sz="6" w:space="0" w:color="808080"/>
              <w:left w:val="nil"/>
              <w:bottom w:val="single" w:sz="6" w:space="0" w:color="808080"/>
              <w:right w:val="nil"/>
            </w:tcBorders>
            <w:vAlign w:val="center"/>
          </w:tcPr>
          <w:p w14:paraId="1F729468" w14:textId="77777777" w:rsidR="00480DE6" w:rsidRPr="00C1679B" w:rsidRDefault="00480DE6" w:rsidP="002B0964">
            <w:pPr>
              <w:widowControl w:val="0"/>
              <w:autoSpaceDE w:val="0"/>
              <w:autoSpaceDN w:val="0"/>
              <w:adjustRightInd w:val="0"/>
              <w:rPr>
                <w:rFonts w:cs="Century Gothic"/>
                <w:color w:val="000000"/>
                <w:sz w:val="18"/>
                <w:szCs w:val="18"/>
              </w:rPr>
            </w:pPr>
            <w:r>
              <w:rPr>
                <w:color w:val="000000"/>
                <w:sz w:val="18"/>
                <w:szCs w:val="18"/>
              </w:rPr>
              <w:t>Belmont</w:t>
            </w:r>
          </w:p>
        </w:tc>
        <w:tc>
          <w:tcPr>
            <w:tcW w:w="949" w:type="dxa"/>
            <w:tcBorders>
              <w:top w:val="single" w:sz="6" w:space="0" w:color="808080"/>
              <w:left w:val="nil"/>
              <w:bottom w:val="single" w:sz="6" w:space="0" w:color="808080"/>
              <w:right w:val="nil"/>
            </w:tcBorders>
            <w:vAlign w:val="bottom"/>
          </w:tcPr>
          <w:p w14:paraId="09B42F5A" w14:textId="77777777" w:rsidR="00480DE6" w:rsidRPr="00C1679B" w:rsidRDefault="00480DE6" w:rsidP="002B0964">
            <w:pPr>
              <w:widowControl w:val="0"/>
              <w:autoSpaceDE w:val="0"/>
              <w:autoSpaceDN w:val="0"/>
              <w:adjustRightInd w:val="0"/>
              <w:jc w:val="right"/>
              <w:rPr>
                <w:rFonts w:cs="Century Gothic"/>
                <w:color w:val="000000"/>
                <w:sz w:val="18"/>
                <w:szCs w:val="18"/>
              </w:rPr>
            </w:pPr>
            <w:r>
              <w:rPr>
                <w:color w:val="000000"/>
                <w:sz w:val="18"/>
                <w:szCs w:val="18"/>
              </w:rPr>
              <w:t>25,123</w:t>
            </w:r>
          </w:p>
        </w:tc>
        <w:tc>
          <w:tcPr>
            <w:tcW w:w="900" w:type="dxa"/>
            <w:tcBorders>
              <w:top w:val="single" w:sz="6" w:space="0" w:color="808080"/>
              <w:left w:val="nil"/>
              <w:bottom w:val="single" w:sz="6" w:space="0" w:color="808080"/>
              <w:right w:val="nil"/>
            </w:tcBorders>
            <w:vAlign w:val="bottom"/>
          </w:tcPr>
          <w:p w14:paraId="608953CE"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25,835</w:t>
            </w:r>
          </w:p>
        </w:tc>
        <w:tc>
          <w:tcPr>
            <w:tcW w:w="1308" w:type="dxa"/>
            <w:tcBorders>
              <w:top w:val="single" w:sz="6" w:space="0" w:color="808080"/>
              <w:left w:val="nil"/>
              <w:bottom w:val="single" w:sz="6" w:space="0" w:color="808080"/>
              <w:right w:val="nil"/>
            </w:tcBorders>
          </w:tcPr>
          <w:p w14:paraId="0F60E3F3"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26,316</w:t>
            </w:r>
          </w:p>
        </w:tc>
        <w:tc>
          <w:tcPr>
            <w:tcW w:w="1218" w:type="dxa"/>
            <w:gridSpan w:val="2"/>
            <w:tcBorders>
              <w:top w:val="single" w:sz="6" w:space="0" w:color="808080"/>
              <w:left w:val="nil"/>
              <w:bottom w:val="single" w:sz="6" w:space="0" w:color="808080"/>
              <w:right w:val="nil"/>
            </w:tcBorders>
            <w:vAlign w:val="bottom"/>
          </w:tcPr>
          <w:p w14:paraId="13159A27" w14:textId="6E2E99AC" w:rsidR="00480DE6" w:rsidRPr="00C1679B" w:rsidRDefault="00480DE6" w:rsidP="002B0964">
            <w:pPr>
              <w:widowControl w:val="0"/>
              <w:autoSpaceDE w:val="0"/>
              <w:autoSpaceDN w:val="0"/>
              <w:adjustRightInd w:val="0"/>
              <w:jc w:val="right"/>
              <w:rPr>
                <w:rFonts w:cs="Century Gothic"/>
                <w:color w:val="000000"/>
                <w:sz w:val="18"/>
                <w:szCs w:val="18"/>
              </w:rPr>
            </w:pPr>
            <w:r w:rsidRPr="00E31096">
              <w:rPr>
                <w:rFonts w:eastAsia="Times New Roman" w:cs="Tahoma"/>
                <w:sz w:val="18"/>
                <w:szCs w:val="18"/>
              </w:rPr>
              <w:t>28,200</w:t>
            </w:r>
          </w:p>
        </w:tc>
        <w:tc>
          <w:tcPr>
            <w:tcW w:w="1295" w:type="dxa"/>
            <w:gridSpan w:val="2"/>
            <w:tcBorders>
              <w:top w:val="single" w:sz="6" w:space="0" w:color="808080"/>
              <w:left w:val="nil"/>
              <w:bottom w:val="single" w:sz="6" w:space="0" w:color="808080"/>
              <w:right w:val="nil"/>
            </w:tcBorders>
            <w:vAlign w:val="center"/>
          </w:tcPr>
          <w:p w14:paraId="3EC77879" w14:textId="45D9928D" w:rsidR="00480DE6" w:rsidRPr="00C1679B" w:rsidRDefault="00480DE6" w:rsidP="002B0964">
            <w:pPr>
              <w:widowControl w:val="0"/>
              <w:autoSpaceDE w:val="0"/>
              <w:autoSpaceDN w:val="0"/>
              <w:adjustRightInd w:val="0"/>
              <w:jc w:val="right"/>
              <w:rPr>
                <w:rFonts w:cs="Century Gothic"/>
                <w:color w:val="000000"/>
                <w:sz w:val="18"/>
                <w:szCs w:val="18"/>
              </w:rPr>
            </w:pPr>
            <w:r w:rsidRPr="00E31096">
              <w:rPr>
                <w:rFonts w:eastAsia="Times New Roman" w:cs="Times New Roman"/>
                <w:color w:val="000000"/>
                <w:sz w:val="18"/>
                <w:szCs w:val="18"/>
              </w:rPr>
              <w:t>9%</w:t>
            </w:r>
          </w:p>
        </w:tc>
      </w:tr>
      <w:tr w:rsidR="00480DE6" w14:paraId="53D71138" w14:textId="77777777" w:rsidTr="00547E58">
        <w:tblPrEx>
          <w:tblCellMar>
            <w:left w:w="115" w:type="dxa"/>
            <w:right w:w="115" w:type="dxa"/>
          </w:tblCellMar>
          <w:tblLook w:val="0000" w:firstRow="0" w:lastRow="0" w:firstColumn="0" w:lastColumn="0" w:noHBand="0" w:noVBand="0"/>
        </w:tblPrEx>
        <w:trPr>
          <w:trHeight w:val="48"/>
        </w:trPr>
        <w:tc>
          <w:tcPr>
            <w:tcW w:w="2557" w:type="dxa"/>
            <w:gridSpan w:val="2"/>
            <w:tcBorders>
              <w:top w:val="single" w:sz="6" w:space="0" w:color="808080"/>
              <w:left w:val="nil"/>
              <w:bottom w:val="single" w:sz="6" w:space="0" w:color="808080"/>
              <w:right w:val="nil"/>
            </w:tcBorders>
            <w:vAlign w:val="center"/>
          </w:tcPr>
          <w:p w14:paraId="265979F9"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Brisbane</w:t>
            </w:r>
          </w:p>
        </w:tc>
        <w:tc>
          <w:tcPr>
            <w:tcW w:w="949" w:type="dxa"/>
            <w:tcBorders>
              <w:top w:val="single" w:sz="6" w:space="0" w:color="808080"/>
              <w:left w:val="nil"/>
              <w:bottom w:val="single" w:sz="6" w:space="0" w:color="808080"/>
              <w:right w:val="nil"/>
            </w:tcBorders>
            <w:vAlign w:val="bottom"/>
          </w:tcPr>
          <w:p w14:paraId="51A8F9D5"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3,597</w:t>
            </w:r>
          </w:p>
        </w:tc>
        <w:tc>
          <w:tcPr>
            <w:tcW w:w="900" w:type="dxa"/>
            <w:tcBorders>
              <w:top w:val="single" w:sz="6" w:space="0" w:color="808080"/>
              <w:left w:val="nil"/>
              <w:bottom w:val="single" w:sz="6" w:space="0" w:color="808080"/>
              <w:right w:val="nil"/>
            </w:tcBorders>
            <w:vAlign w:val="bottom"/>
          </w:tcPr>
          <w:p w14:paraId="5A8538F1"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4,282</w:t>
            </w:r>
          </w:p>
        </w:tc>
        <w:tc>
          <w:tcPr>
            <w:tcW w:w="1308" w:type="dxa"/>
            <w:tcBorders>
              <w:top w:val="single" w:sz="6" w:space="0" w:color="808080"/>
              <w:left w:val="nil"/>
              <w:bottom w:val="single" w:sz="6" w:space="0" w:color="808080"/>
              <w:right w:val="nil"/>
            </w:tcBorders>
          </w:tcPr>
          <w:p w14:paraId="43E66A37"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4,379</w:t>
            </w:r>
          </w:p>
        </w:tc>
        <w:tc>
          <w:tcPr>
            <w:tcW w:w="1218" w:type="dxa"/>
            <w:gridSpan w:val="2"/>
            <w:tcBorders>
              <w:top w:val="single" w:sz="6" w:space="0" w:color="808080"/>
              <w:left w:val="nil"/>
              <w:bottom w:val="single" w:sz="6" w:space="0" w:color="808080"/>
              <w:right w:val="nil"/>
            </w:tcBorders>
            <w:vAlign w:val="bottom"/>
          </w:tcPr>
          <w:p w14:paraId="798592B3" w14:textId="669ABBC0"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4,800</w:t>
            </w:r>
          </w:p>
        </w:tc>
        <w:tc>
          <w:tcPr>
            <w:tcW w:w="1295" w:type="dxa"/>
            <w:gridSpan w:val="2"/>
            <w:tcBorders>
              <w:top w:val="single" w:sz="6" w:space="0" w:color="808080"/>
              <w:left w:val="nil"/>
              <w:bottom w:val="single" w:sz="6" w:space="0" w:color="808080"/>
              <w:right w:val="nil"/>
            </w:tcBorders>
            <w:vAlign w:val="center"/>
          </w:tcPr>
          <w:p w14:paraId="1459CB40" w14:textId="7D1F26B2"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12%</w:t>
            </w:r>
          </w:p>
        </w:tc>
      </w:tr>
      <w:tr w:rsidR="00480DE6" w14:paraId="1654C37F" w14:textId="77777777" w:rsidTr="00547E58">
        <w:tblPrEx>
          <w:tblCellMar>
            <w:left w:w="115" w:type="dxa"/>
            <w:right w:w="115" w:type="dxa"/>
          </w:tblCellMar>
          <w:tblLook w:val="0000" w:firstRow="0" w:lastRow="0" w:firstColumn="0" w:lastColumn="0" w:noHBand="0" w:noVBand="0"/>
        </w:tblPrEx>
        <w:trPr>
          <w:trHeight w:val="84"/>
        </w:trPr>
        <w:tc>
          <w:tcPr>
            <w:tcW w:w="2557" w:type="dxa"/>
            <w:gridSpan w:val="2"/>
            <w:tcBorders>
              <w:top w:val="single" w:sz="6" w:space="0" w:color="808080"/>
              <w:left w:val="nil"/>
              <w:bottom w:val="single" w:sz="6" w:space="0" w:color="808080"/>
              <w:right w:val="nil"/>
            </w:tcBorders>
            <w:vAlign w:val="center"/>
          </w:tcPr>
          <w:p w14:paraId="7CBC694E"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Burlingame</w:t>
            </w:r>
          </w:p>
        </w:tc>
        <w:tc>
          <w:tcPr>
            <w:tcW w:w="949" w:type="dxa"/>
            <w:tcBorders>
              <w:top w:val="single" w:sz="6" w:space="0" w:color="808080"/>
              <w:left w:val="nil"/>
              <w:bottom w:val="single" w:sz="6" w:space="0" w:color="808080"/>
              <w:right w:val="nil"/>
            </w:tcBorders>
            <w:vAlign w:val="bottom"/>
          </w:tcPr>
          <w:p w14:paraId="6320DEFA"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28,158</w:t>
            </w:r>
          </w:p>
        </w:tc>
        <w:tc>
          <w:tcPr>
            <w:tcW w:w="900" w:type="dxa"/>
            <w:tcBorders>
              <w:top w:val="single" w:sz="6" w:space="0" w:color="808080"/>
              <w:left w:val="nil"/>
              <w:bottom w:val="single" w:sz="6" w:space="0" w:color="808080"/>
              <w:right w:val="nil"/>
            </w:tcBorders>
            <w:vAlign w:val="bottom"/>
          </w:tcPr>
          <w:p w14:paraId="7F171095"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28,806</w:t>
            </w:r>
          </w:p>
        </w:tc>
        <w:tc>
          <w:tcPr>
            <w:tcW w:w="1308" w:type="dxa"/>
            <w:tcBorders>
              <w:top w:val="single" w:sz="6" w:space="0" w:color="808080"/>
              <w:left w:val="nil"/>
              <w:bottom w:val="single" w:sz="6" w:space="0" w:color="808080"/>
              <w:right w:val="nil"/>
            </w:tcBorders>
          </w:tcPr>
          <w:p w14:paraId="32E41652"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29,426</w:t>
            </w:r>
          </w:p>
        </w:tc>
        <w:tc>
          <w:tcPr>
            <w:tcW w:w="1218" w:type="dxa"/>
            <w:gridSpan w:val="2"/>
            <w:tcBorders>
              <w:top w:val="single" w:sz="6" w:space="0" w:color="808080"/>
              <w:left w:val="nil"/>
              <w:bottom w:val="single" w:sz="6" w:space="0" w:color="808080"/>
              <w:right w:val="nil"/>
            </w:tcBorders>
            <w:vAlign w:val="bottom"/>
          </w:tcPr>
          <w:p w14:paraId="73391ABB" w14:textId="746B73E8"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34,800</w:t>
            </w:r>
          </w:p>
        </w:tc>
        <w:tc>
          <w:tcPr>
            <w:tcW w:w="1295" w:type="dxa"/>
            <w:gridSpan w:val="2"/>
            <w:tcBorders>
              <w:top w:val="single" w:sz="6" w:space="0" w:color="808080"/>
              <w:left w:val="nil"/>
              <w:bottom w:val="single" w:sz="6" w:space="0" w:color="808080"/>
              <w:right w:val="nil"/>
            </w:tcBorders>
            <w:vAlign w:val="center"/>
          </w:tcPr>
          <w:p w14:paraId="70C37B0E" w14:textId="17A5B61C"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21%</w:t>
            </w:r>
          </w:p>
        </w:tc>
      </w:tr>
      <w:tr w:rsidR="00480DE6" w:rsidRPr="000F0FCF" w14:paraId="0EDFD66D" w14:textId="77777777" w:rsidTr="00547E58">
        <w:tblPrEx>
          <w:tblCellMar>
            <w:left w:w="115" w:type="dxa"/>
            <w:right w:w="115" w:type="dxa"/>
          </w:tblCellMar>
          <w:tblLook w:val="0000" w:firstRow="0" w:lastRow="0" w:firstColumn="0" w:lastColumn="0" w:noHBand="0" w:noVBand="0"/>
        </w:tblPrEx>
        <w:trPr>
          <w:trHeight w:val="228"/>
        </w:trPr>
        <w:tc>
          <w:tcPr>
            <w:tcW w:w="2557" w:type="dxa"/>
            <w:gridSpan w:val="2"/>
            <w:tcBorders>
              <w:top w:val="single" w:sz="6" w:space="0" w:color="808080"/>
              <w:left w:val="nil"/>
              <w:bottom w:val="single" w:sz="6" w:space="0" w:color="808080"/>
              <w:right w:val="nil"/>
            </w:tcBorders>
            <w:vAlign w:val="center"/>
          </w:tcPr>
          <w:p w14:paraId="4CDC98E8" w14:textId="6870434C" w:rsidR="00480DE6" w:rsidRPr="000F0FCF" w:rsidRDefault="00480DE6" w:rsidP="002B0964">
            <w:pPr>
              <w:widowControl w:val="0"/>
              <w:autoSpaceDE w:val="0"/>
              <w:autoSpaceDN w:val="0"/>
              <w:adjustRightInd w:val="0"/>
              <w:rPr>
                <w:rFonts w:cs="Century Gothic"/>
                <w:color w:val="000000"/>
                <w:sz w:val="18"/>
                <w:szCs w:val="18"/>
              </w:rPr>
            </w:pPr>
            <w:r w:rsidRPr="000F0FCF">
              <w:rPr>
                <w:color w:val="000000"/>
                <w:sz w:val="18"/>
                <w:szCs w:val="18"/>
              </w:rPr>
              <w:t>Colma</w:t>
            </w:r>
          </w:p>
        </w:tc>
        <w:tc>
          <w:tcPr>
            <w:tcW w:w="949" w:type="dxa"/>
            <w:tcBorders>
              <w:top w:val="single" w:sz="6" w:space="0" w:color="808080"/>
              <w:left w:val="nil"/>
              <w:bottom w:val="single" w:sz="6" w:space="0" w:color="808080"/>
              <w:right w:val="nil"/>
            </w:tcBorders>
            <w:vAlign w:val="bottom"/>
          </w:tcPr>
          <w:p w14:paraId="45E2D7D8" w14:textId="77777777" w:rsidR="00480DE6" w:rsidRPr="000F0FCF" w:rsidRDefault="00480DE6" w:rsidP="002B0964">
            <w:pPr>
              <w:widowControl w:val="0"/>
              <w:autoSpaceDE w:val="0"/>
              <w:autoSpaceDN w:val="0"/>
              <w:adjustRightInd w:val="0"/>
              <w:jc w:val="right"/>
              <w:rPr>
                <w:rFonts w:cs="Century Gothic"/>
                <w:color w:val="000000"/>
                <w:sz w:val="18"/>
                <w:szCs w:val="18"/>
              </w:rPr>
            </w:pPr>
            <w:r w:rsidRPr="000F0FCF">
              <w:rPr>
                <w:color w:val="000000"/>
                <w:sz w:val="18"/>
                <w:szCs w:val="18"/>
              </w:rPr>
              <w:t>1,187</w:t>
            </w:r>
          </w:p>
        </w:tc>
        <w:tc>
          <w:tcPr>
            <w:tcW w:w="900" w:type="dxa"/>
            <w:tcBorders>
              <w:top w:val="single" w:sz="6" w:space="0" w:color="808080"/>
              <w:left w:val="nil"/>
              <w:bottom w:val="single" w:sz="6" w:space="0" w:color="808080"/>
              <w:right w:val="nil"/>
            </w:tcBorders>
            <w:vAlign w:val="bottom"/>
          </w:tcPr>
          <w:p w14:paraId="2A7F51F6" w14:textId="77777777" w:rsidR="00480DE6" w:rsidRPr="000F0FCF" w:rsidRDefault="00480DE6" w:rsidP="002B0964">
            <w:pPr>
              <w:widowControl w:val="0"/>
              <w:autoSpaceDE w:val="0"/>
              <w:autoSpaceDN w:val="0"/>
              <w:adjustRightInd w:val="0"/>
              <w:jc w:val="right"/>
              <w:rPr>
                <w:rFonts w:cs="Century Gothic"/>
                <w:color w:val="000000"/>
                <w:sz w:val="18"/>
                <w:szCs w:val="18"/>
              </w:rPr>
            </w:pPr>
            <w:r w:rsidRPr="000F0FCF">
              <w:rPr>
                <w:rFonts w:cs="Arial"/>
                <w:sz w:val="18"/>
                <w:szCs w:val="18"/>
              </w:rPr>
              <w:t>1,454</w:t>
            </w:r>
          </w:p>
        </w:tc>
        <w:tc>
          <w:tcPr>
            <w:tcW w:w="1308" w:type="dxa"/>
            <w:tcBorders>
              <w:top w:val="single" w:sz="6" w:space="0" w:color="808080"/>
              <w:left w:val="nil"/>
              <w:bottom w:val="single" w:sz="6" w:space="0" w:color="808080"/>
              <w:right w:val="nil"/>
            </w:tcBorders>
          </w:tcPr>
          <w:p w14:paraId="717811B2"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1,458</w:t>
            </w:r>
          </w:p>
        </w:tc>
        <w:tc>
          <w:tcPr>
            <w:tcW w:w="1218" w:type="dxa"/>
            <w:gridSpan w:val="2"/>
            <w:tcBorders>
              <w:top w:val="single" w:sz="6" w:space="0" w:color="808080"/>
              <w:left w:val="nil"/>
              <w:bottom w:val="single" w:sz="6" w:space="0" w:color="808080"/>
              <w:right w:val="nil"/>
            </w:tcBorders>
            <w:vAlign w:val="bottom"/>
          </w:tcPr>
          <w:p w14:paraId="264BD6DF" w14:textId="272ACD2C" w:rsidR="00480DE6" w:rsidRPr="000F0FCF"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2,000</w:t>
            </w:r>
          </w:p>
        </w:tc>
        <w:tc>
          <w:tcPr>
            <w:tcW w:w="1295" w:type="dxa"/>
            <w:gridSpan w:val="2"/>
            <w:tcBorders>
              <w:top w:val="single" w:sz="6" w:space="0" w:color="808080"/>
              <w:left w:val="nil"/>
              <w:bottom w:val="single" w:sz="6" w:space="0" w:color="808080"/>
              <w:right w:val="nil"/>
            </w:tcBorders>
            <w:vAlign w:val="center"/>
          </w:tcPr>
          <w:p w14:paraId="467EF091" w14:textId="20585970" w:rsidR="00480DE6" w:rsidRPr="000F0FCF"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38%</w:t>
            </w:r>
          </w:p>
        </w:tc>
      </w:tr>
      <w:tr w:rsidR="00480DE6" w14:paraId="199278DC" w14:textId="77777777" w:rsidTr="00547E58">
        <w:tblPrEx>
          <w:tblCellMar>
            <w:left w:w="115" w:type="dxa"/>
            <w:right w:w="115" w:type="dxa"/>
          </w:tblCellMar>
          <w:tblLook w:val="0000" w:firstRow="0" w:lastRow="0" w:firstColumn="0" w:lastColumn="0" w:noHBand="0" w:noVBand="0"/>
        </w:tblPrEx>
        <w:trPr>
          <w:trHeight w:val="174"/>
        </w:trPr>
        <w:tc>
          <w:tcPr>
            <w:tcW w:w="2557" w:type="dxa"/>
            <w:gridSpan w:val="2"/>
            <w:tcBorders>
              <w:top w:val="single" w:sz="6" w:space="0" w:color="808080"/>
              <w:left w:val="nil"/>
              <w:bottom w:val="single" w:sz="6" w:space="0" w:color="808080"/>
              <w:right w:val="nil"/>
            </w:tcBorders>
            <w:vAlign w:val="center"/>
          </w:tcPr>
          <w:p w14:paraId="3C31CEB7"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Daly City</w:t>
            </w:r>
          </w:p>
        </w:tc>
        <w:tc>
          <w:tcPr>
            <w:tcW w:w="949" w:type="dxa"/>
            <w:tcBorders>
              <w:top w:val="single" w:sz="6" w:space="0" w:color="808080"/>
              <w:left w:val="nil"/>
              <w:bottom w:val="single" w:sz="6" w:space="0" w:color="808080"/>
              <w:right w:val="nil"/>
            </w:tcBorders>
            <w:vAlign w:val="bottom"/>
          </w:tcPr>
          <w:p w14:paraId="5DD42862"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103,625</w:t>
            </w:r>
          </w:p>
        </w:tc>
        <w:tc>
          <w:tcPr>
            <w:tcW w:w="900" w:type="dxa"/>
            <w:tcBorders>
              <w:top w:val="single" w:sz="6" w:space="0" w:color="808080"/>
              <w:left w:val="nil"/>
              <w:bottom w:val="single" w:sz="6" w:space="0" w:color="808080"/>
              <w:right w:val="nil"/>
            </w:tcBorders>
            <w:vAlign w:val="bottom"/>
          </w:tcPr>
          <w:p w14:paraId="2F1E12A4"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101,072</w:t>
            </w:r>
          </w:p>
        </w:tc>
        <w:tc>
          <w:tcPr>
            <w:tcW w:w="1308" w:type="dxa"/>
            <w:tcBorders>
              <w:top w:val="single" w:sz="6" w:space="0" w:color="808080"/>
              <w:left w:val="nil"/>
              <w:bottom w:val="single" w:sz="6" w:space="0" w:color="808080"/>
              <w:right w:val="nil"/>
            </w:tcBorders>
          </w:tcPr>
          <w:p w14:paraId="2FBDEBA8"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103,347</w:t>
            </w:r>
          </w:p>
        </w:tc>
        <w:tc>
          <w:tcPr>
            <w:tcW w:w="1218" w:type="dxa"/>
            <w:gridSpan w:val="2"/>
            <w:tcBorders>
              <w:top w:val="single" w:sz="6" w:space="0" w:color="808080"/>
              <w:left w:val="nil"/>
              <w:bottom w:val="single" w:sz="6" w:space="0" w:color="808080"/>
              <w:right w:val="nil"/>
            </w:tcBorders>
            <w:vAlign w:val="bottom"/>
          </w:tcPr>
          <w:p w14:paraId="240649D9" w14:textId="606B6E91"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113,700</w:t>
            </w:r>
          </w:p>
        </w:tc>
        <w:tc>
          <w:tcPr>
            <w:tcW w:w="1295" w:type="dxa"/>
            <w:gridSpan w:val="2"/>
            <w:tcBorders>
              <w:top w:val="single" w:sz="6" w:space="0" w:color="808080"/>
              <w:left w:val="nil"/>
              <w:bottom w:val="single" w:sz="6" w:space="0" w:color="808080"/>
              <w:right w:val="nil"/>
            </w:tcBorders>
            <w:vAlign w:val="center"/>
          </w:tcPr>
          <w:p w14:paraId="204BDE0E" w14:textId="3325CE5D"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12%</w:t>
            </w:r>
          </w:p>
        </w:tc>
      </w:tr>
      <w:tr w:rsidR="00480DE6" w14:paraId="3938C6A4" w14:textId="77777777" w:rsidTr="00547E58">
        <w:tblPrEx>
          <w:tblCellMar>
            <w:left w:w="115" w:type="dxa"/>
            <w:right w:w="115" w:type="dxa"/>
          </w:tblCellMar>
          <w:tblLook w:val="0000" w:firstRow="0" w:lastRow="0" w:firstColumn="0" w:lastColumn="0" w:noHBand="0" w:noVBand="0"/>
        </w:tblPrEx>
        <w:trPr>
          <w:trHeight w:val="138"/>
        </w:trPr>
        <w:tc>
          <w:tcPr>
            <w:tcW w:w="2557" w:type="dxa"/>
            <w:gridSpan w:val="2"/>
            <w:tcBorders>
              <w:top w:val="single" w:sz="6" w:space="0" w:color="808080"/>
              <w:left w:val="nil"/>
              <w:bottom w:val="single" w:sz="6" w:space="0" w:color="808080"/>
              <w:right w:val="nil"/>
            </w:tcBorders>
            <w:vAlign w:val="center"/>
          </w:tcPr>
          <w:p w14:paraId="23334520" w14:textId="77777777" w:rsidR="00480DE6" w:rsidRPr="00D03A64" w:rsidRDefault="00480DE6" w:rsidP="002B0964">
            <w:pPr>
              <w:widowControl w:val="0"/>
              <w:autoSpaceDE w:val="0"/>
              <w:autoSpaceDN w:val="0"/>
              <w:adjustRightInd w:val="0"/>
              <w:rPr>
                <w:rFonts w:cs="Century Gothic"/>
                <w:color w:val="000000"/>
                <w:sz w:val="18"/>
                <w:szCs w:val="18"/>
              </w:rPr>
            </w:pPr>
            <w:r>
              <w:rPr>
                <w:color w:val="000000"/>
                <w:sz w:val="18"/>
                <w:szCs w:val="18"/>
              </w:rPr>
              <w:t>East Palo Alto</w:t>
            </w:r>
          </w:p>
        </w:tc>
        <w:tc>
          <w:tcPr>
            <w:tcW w:w="949" w:type="dxa"/>
            <w:tcBorders>
              <w:top w:val="single" w:sz="6" w:space="0" w:color="808080"/>
              <w:left w:val="nil"/>
              <w:bottom w:val="single" w:sz="6" w:space="0" w:color="808080"/>
              <w:right w:val="nil"/>
            </w:tcBorders>
            <w:vAlign w:val="bottom"/>
          </w:tcPr>
          <w:p w14:paraId="00EF8EC2" w14:textId="77777777" w:rsidR="00480DE6" w:rsidRPr="00D03A64" w:rsidRDefault="00480DE6" w:rsidP="002B0964">
            <w:pPr>
              <w:widowControl w:val="0"/>
              <w:autoSpaceDE w:val="0"/>
              <w:autoSpaceDN w:val="0"/>
              <w:adjustRightInd w:val="0"/>
              <w:jc w:val="right"/>
              <w:rPr>
                <w:rFonts w:cs="Century Gothic"/>
                <w:color w:val="000000"/>
                <w:sz w:val="18"/>
                <w:szCs w:val="18"/>
              </w:rPr>
            </w:pPr>
            <w:r>
              <w:rPr>
                <w:color w:val="000000"/>
                <w:sz w:val="18"/>
                <w:szCs w:val="18"/>
              </w:rPr>
              <w:t>29,506</w:t>
            </w:r>
          </w:p>
        </w:tc>
        <w:tc>
          <w:tcPr>
            <w:tcW w:w="900" w:type="dxa"/>
            <w:tcBorders>
              <w:top w:val="single" w:sz="6" w:space="0" w:color="808080"/>
              <w:left w:val="nil"/>
              <w:bottom w:val="single" w:sz="6" w:space="0" w:color="808080"/>
              <w:right w:val="nil"/>
            </w:tcBorders>
            <w:vAlign w:val="bottom"/>
          </w:tcPr>
          <w:p w14:paraId="01444973"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28,155</w:t>
            </w:r>
          </w:p>
        </w:tc>
        <w:tc>
          <w:tcPr>
            <w:tcW w:w="1308" w:type="dxa"/>
            <w:tcBorders>
              <w:top w:val="single" w:sz="6" w:space="0" w:color="808080"/>
              <w:left w:val="nil"/>
              <w:bottom w:val="single" w:sz="6" w:space="0" w:color="808080"/>
              <w:right w:val="nil"/>
            </w:tcBorders>
          </w:tcPr>
          <w:p w14:paraId="33C27142"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28,675</w:t>
            </w:r>
          </w:p>
        </w:tc>
        <w:tc>
          <w:tcPr>
            <w:tcW w:w="1218" w:type="dxa"/>
            <w:gridSpan w:val="2"/>
            <w:tcBorders>
              <w:top w:val="single" w:sz="6" w:space="0" w:color="808080"/>
              <w:left w:val="nil"/>
              <w:bottom w:val="single" w:sz="6" w:space="0" w:color="808080"/>
              <w:right w:val="nil"/>
            </w:tcBorders>
            <w:vAlign w:val="bottom"/>
          </w:tcPr>
          <w:p w14:paraId="457FC3F5" w14:textId="2DF9B726" w:rsidR="00480DE6" w:rsidRPr="00D03A64"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33,200</w:t>
            </w:r>
          </w:p>
        </w:tc>
        <w:tc>
          <w:tcPr>
            <w:tcW w:w="1295" w:type="dxa"/>
            <w:gridSpan w:val="2"/>
            <w:tcBorders>
              <w:top w:val="single" w:sz="6" w:space="0" w:color="808080"/>
              <w:left w:val="nil"/>
              <w:bottom w:val="single" w:sz="6" w:space="0" w:color="808080"/>
              <w:right w:val="nil"/>
            </w:tcBorders>
            <w:vAlign w:val="center"/>
          </w:tcPr>
          <w:p w14:paraId="518D6A6D" w14:textId="2CD59A77" w:rsidR="00480DE6" w:rsidRPr="00D03A64"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18%</w:t>
            </w:r>
          </w:p>
        </w:tc>
      </w:tr>
      <w:tr w:rsidR="00480DE6" w14:paraId="2CAC74D5" w14:textId="77777777" w:rsidTr="00547E58">
        <w:tblPrEx>
          <w:tblCellMar>
            <w:left w:w="115" w:type="dxa"/>
            <w:right w:w="115" w:type="dxa"/>
          </w:tblCellMar>
          <w:tblLook w:val="0000" w:firstRow="0" w:lastRow="0" w:firstColumn="0" w:lastColumn="0" w:noHBand="0" w:noVBand="0"/>
        </w:tblPrEx>
        <w:trPr>
          <w:trHeight w:val="84"/>
        </w:trPr>
        <w:tc>
          <w:tcPr>
            <w:tcW w:w="2557" w:type="dxa"/>
            <w:gridSpan w:val="2"/>
            <w:tcBorders>
              <w:top w:val="single" w:sz="6" w:space="0" w:color="808080"/>
              <w:left w:val="nil"/>
              <w:bottom w:val="single" w:sz="6" w:space="0" w:color="808080"/>
              <w:right w:val="nil"/>
            </w:tcBorders>
            <w:vAlign w:val="center"/>
          </w:tcPr>
          <w:p w14:paraId="522962C2"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Foster City</w:t>
            </w:r>
          </w:p>
        </w:tc>
        <w:tc>
          <w:tcPr>
            <w:tcW w:w="949" w:type="dxa"/>
            <w:tcBorders>
              <w:top w:val="single" w:sz="6" w:space="0" w:color="808080"/>
              <w:left w:val="nil"/>
              <w:bottom w:val="single" w:sz="6" w:space="0" w:color="808080"/>
              <w:right w:val="nil"/>
            </w:tcBorders>
            <w:vAlign w:val="bottom"/>
          </w:tcPr>
          <w:p w14:paraId="18BE9CDF"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28,803</w:t>
            </w:r>
          </w:p>
        </w:tc>
        <w:tc>
          <w:tcPr>
            <w:tcW w:w="900" w:type="dxa"/>
            <w:tcBorders>
              <w:top w:val="single" w:sz="6" w:space="0" w:color="808080"/>
              <w:left w:val="nil"/>
              <w:bottom w:val="single" w:sz="6" w:space="0" w:color="808080"/>
              <w:right w:val="nil"/>
            </w:tcBorders>
            <w:vAlign w:val="bottom"/>
          </w:tcPr>
          <w:p w14:paraId="6394DC2B"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30,567</w:t>
            </w:r>
          </w:p>
        </w:tc>
        <w:tc>
          <w:tcPr>
            <w:tcW w:w="1308" w:type="dxa"/>
            <w:tcBorders>
              <w:top w:val="single" w:sz="6" w:space="0" w:color="808080"/>
              <w:left w:val="nil"/>
              <w:bottom w:val="single" w:sz="6" w:space="0" w:color="808080"/>
              <w:right w:val="nil"/>
            </w:tcBorders>
          </w:tcPr>
          <w:p w14:paraId="60CF508F"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31,120</w:t>
            </w:r>
          </w:p>
        </w:tc>
        <w:tc>
          <w:tcPr>
            <w:tcW w:w="1218" w:type="dxa"/>
            <w:gridSpan w:val="2"/>
            <w:tcBorders>
              <w:top w:val="single" w:sz="6" w:space="0" w:color="808080"/>
              <w:left w:val="nil"/>
              <w:bottom w:val="single" w:sz="6" w:space="0" w:color="808080"/>
              <w:right w:val="nil"/>
            </w:tcBorders>
            <w:vAlign w:val="bottom"/>
          </w:tcPr>
          <w:p w14:paraId="0C527038" w14:textId="4B69B152"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32,700</w:t>
            </w:r>
          </w:p>
        </w:tc>
        <w:tc>
          <w:tcPr>
            <w:tcW w:w="1295" w:type="dxa"/>
            <w:gridSpan w:val="2"/>
            <w:tcBorders>
              <w:top w:val="single" w:sz="6" w:space="0" w:color="808080"/>
              <w:left w:val="nil"/>
              <w:bottom w:val="single" w:sz="6" w:space="0" w:color="808080"/>
              <w:right w:val="nil"/>
            </w:tcBorders>
            <w:vAlign w:val="center"/>
          </w:tcPr>
          <w:p w14:paraId="51A7C7E5" w14:textId="7AD6E585"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7%</w:t>
            </w:r>
          </w:p>
        </w:tc>
      </w:tr>
      <w:tr w:rsidR="00480DE6" w14:paraId="5E285CA9" w14:textId="77777777" w:rsidTr="00547E58">
        <w:tblPrEx>
          <w:tblCellMar>
            <w:left w:w="115" w:type="dxa"/>
            <w:right w:w="115" w:type="dxa"/>
          </w:tblCellMar>
          <w:tblLook w:val="0000" w:firstRow="0" w:lastRow="0" w:firstColumn="0" w:lastColumn="0" w:noHBand="0" w:noVBand="0"/>
        </w:tblPrEx>
        <w:trPr>
          <w:trHeight w:val="138"/>
        </w:trPr>
        <w:tc>
          <w:tcPr>
            <w:tcW w:w="2557" w:type="dxa"/>
            <w:gridSpan w:val="2"/>
            <w:tcBorders>
              <w:top w:val="single" w:sz="6" w:space="0" w:color="808080"/>
              <w:left w:val="nil"/>
              <w:bottom w:val="single" w:sz="6" w:space="0" w:color="808080"/>
              <w:right w:val="nil"/>
            </w:tcBorders>
            <w:vAlign w:val="center"/>
          </w:tcPr>
          <w:p w14:paraId="6F0AE4A5"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Half Moon Bay</w:t>
            </w:r>
          </w:p>
        </w:tc>
        <w:tc>
          <w:tcPr>
            <w:tcW w:w="949" w:type="dxa"/>
            <w:tcBorders>
              <w:top w:val="single" w:sz="6" w:space="0" w:color="808080"/>
              <w:left w:val="nil"/>
              <w:bottom w:val="single" w:sz="6" w:space="0" w:color="808080"/>
              <w:right w:val="nil"/>
            </w:tcBorders>
            <w:vAlign w:val="bottom"/>
          </w:tcPr>
          <w:p w14:paraId="0FF282E8"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11,842</w:t>
            </w:r>
          </w:p>
        </w:tc>
        <w:tc>
          <w:tcPr>
            <w:tcW w:w="900" w:type="dxa"/>
            <w:tcBorders>
              <w:top w:val="single" w:sz="6" w:space="0" w:color="808080"/>
              <w:left w:val="nil"/>
              <w:bottom w:val="single" w:sz="6" w:space="0" w:color="808080"/>
              <w:right w:val="nil"/>
            </w:tcBorders>
            <w:vAlign w:val="bottom"/>
          </w:tcPr>
          <w:p w14:paraId="6594C696"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11,324</w:t>
            </w:r>
          </w:p>
        </w:tc>
        <w:tc>
          <w:tcPr>
            <w:tcW w:w="1308" w:type="dxa"/>
            <w:tcBorders>
              <w:top w:val="single" w:sz="6" w:space="0" w:color="808080"/>
              <w:left w:val="nil"/>
              <w:bottom w:val="single" w:sz="6" w:space="0" w:color="808080"/>
              <w:right w:val="nil"/>
            </w:tcBorders>
          </w:tcPr>
          <w:p w14:paraId="17934D33"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11,581</w:t>
            </w:r>
          </w:p>
        </w:tc>
        <w:tc>
          <w:tcPr>
            <w:tcW w:w="1218" w:type="dxa"/>
            <w:gridSpan w:val="2"/>
            <w:tcBorders>
              <w:top w:val="single" w:sz="6" w:space="0" w:color="808080"/>
              <w:left w:val="nil"/>
              <w:bottom w:val="single" w:sz="6" w:space="0" w:color="808080"/>
              <w:right w:val="nil"/>
            </w:tcBorders>
            <w:vAlign w:val="bottom"/>
          </w:tcPr>
          <w:p w14:paraId="090555CD" w14:textId="4CF4118C"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12,200</w:t>
            </w:r>
          </w:p>
        </w:tc>
        <w:tc>
          <w:tcPr>
            <w:tcW w:w="1295" w:type="dxa"/>
            <w:gridSpan w:val="2"/>
            <w:tcBorders>
              <w:top w:val="single" w:sz="6" w:space="0" w:color="808080"/>
              <w:left w:val="nil"/>
              <w:bottom w:val="single" w:sz="6" w:space="0" w:color="808080"/>
              <w:right w:val="nil"/>
            </w:tcBorders>
            <w:vAlign w:val="center"/>
          </w:tcPr>
          <w:p w14:paraId="2CB95CC3" w14:textId="48401461"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8%</w:t>
            </w:r>
          </w:p>
        </w:tc>
      </w:tr>
      <w:tr w:rsidR="00480DE6" w:rsidRPr="000F0FCF" w14:paraId="5A35C7CC" w14:textId="77777777" w:rsidTr="00547E58">
        <w:tblPrEx>
          <w:tblCellMar>
            <w:left w:w="115" w:type="dxa"/>
            <w:right w:w="115" w:type="dxa"/>
          </w:tblCellMar>
          <w:tblLook w:val="0000" w:firstRow="0" w:lastRow="0" w:firstColumn="0" w:lastColumn="0" w:noHBand="0" w:noVBand="0"/>
        </w:tblPrEx>
        <w:trPr>
          <w:trHeight w:val="174"/>
        </w:trPr>
        <w:tc>
          <w:tcPr>
            <w:tcW w:w="2557" w:type="dxa"/>
            <w:gridSpan w:val="2"/>
            <w:tcBorders>
              <w:top w:val="single" w:sz="6" w:space="0" w:color="808080"/>
              <w:left w:val="nil"/>
              <w:bottom w:val="single" w:sz="6" w:space="0" w:color="808080"/>
              <w:right w:val="nil"/>
            </w:tcBorders>
            <w:vAlign w:val="center"/>
          </w:tcPr>
          <w:p w14:paraId="4D77A599" w14:textId="77777777" w:rsidR="00480DE6" w:rsidRPr="000F0FCF" w:rsidRDefault="00480DE6" w:rsidP="002B0964">
            <w:pPr>
              <w:widowControl w:val="0"/>
              <w:autoSpaceDE w:val="0"/>
              <w:autoSpaceDN w:val="0"/>
              <w:adjustRightInd w:val="0"/>
              <w:rPr>
                <w:rFonts w:cs="Century Gothic"/>
                <w:b/>
                <w:color w:val="000000"/>
                <w:sz w:val="18"/>
                <w:szCs w:val="18"/>
              </w:rPr>
            </w:pPr>
            <w:r w:rsidRPr="000F0FCF">
              <w:rPr>
                <w:b/>
                <w:color w:val="000000"/>
                <w:sz w:val="18"/>
                <w:szCs w:val="18"/>
              </w:rPr>
              <w:t>Hillsborough</w:t>
            </w:r>
          </w:p>
        </w:tc>
        <w:tc>
          <w:tcPr>
            <w:tcW w:w="949" w:type="dxa"/>
            <w:tcBorders>
              <w:top w:val="single" w:sz="6" w:space="0" w:color="808080"/>
              <w:left w:val="nil"/>
              <w:bottom w:val="single" w:sz="6" w:space="0" w:color="808080"/>
              <w:right w:val="nil"/>
            </w:tcBorders>
            <w:vAlign w:val="bottom"/>
          </w:tcPr>
          <w:p w14:paraId="0218AF22" w14:textId="77777777" w:rsidR="00480DE6" w:rsidRPr="000F0FCF" w:rsidRDefault="00480DE6" w:rsidP="002B0964">
            <w:pPr>
              <w:widowControl w:val="0"/>
              <w:autoSpaceDE w:val="0"/>
              <w:autoSpaceDN w:val="0"/>
              <w:adjustRightInd w:val="0"/>
              <w:jc w:val="right"/>
              <w:rPr>
                <w:rFonts w:cs="Century Gothic"/>
                <w:b/>
                <w:color w:val="000000"/>
                <w:sz w:val="18"/>
                <w:szCs w:val="18"/>
              </w:rPr>
            </w:pPr>
            <w:r w:rsidRPr="000F0FCF">
              <w:rPr>
                <w:b/>
                <w:color w:val="000000"/>
                <w:sz w:val="18"/>
                <w:szCs w:val="18"/>
              </w:rPr>
              <w:t>10,825</w:t>
            </w:r>
          </w:p>
        </w:tc>
        <w:tc>
          <w:tcPr>
            <w:tcW w:w="900" w:type="dxa"/>
            <w:tcBorders>
              <w:top w:val="single" w:sz="6" w:space="0" w:color="808080"/>
              <w:left w:val="nil"/>
              <w:bottom w:val="single" w:sz="6" w:space="0" w:color="808080"/>
              <w:right w:val="nil"/>
            </w:tcBorders>
            <w:vAlign w:val="bottom"/>
          </w:tcPr>
          <w:p w14:paraId="080368F2" w14:textId="77777777" w:rsidR="00480DE6" w:rsidRPr="000F0FCF" w:rsidRDefault="00480DE6" w:rsidP="002B0964">
            <w:pPr>
              <w:widowControl w:val="0"/>
              <w:autoSpaceDE w:val="0"/>
              <w:autoSpaceDN w:val="0"/>
              <w:adjustRightInd w:val="0"/>
              <w:jc w:val="right"/>
              <w:rPr>
                <w:rFonts w:cs="Century Gothic"/>
                <w:b/>
                <w:color w:val="000000"/>
                <w:sz w:val="18"/>
                <w:szCs w:val="18"/>
              </w:rPr>
            </w:pPr>
            <w:r w:rsidRPr="000F0FCF">
              <w:rPr>
                <w:rFonts w:cs="Arial"/>
                <w:b/>
                <w:sz w:val="18"/>
                <w:szCs w:val="18"/>
              </w:rPr>
              <w:t>10,825</w:t>
            </w:r>
          </w:p>
        </w:tc>
        <w:tc>
          <w:tcPr>
            <w:tcW w:w="1308" w:type="dxa"/>
            <w:tcBorders>
              <w:top w:val="single" w:sz="6" w:space="0" w:color="808080"/>
              <w:left w:val="nil"/>
              <w:bottom w:val="single" w:sz="6" w:space="0" w:color="808080"/>
              <w:right w:val="nil"/>
            </w:tcBorders>
          </w:tcPr>
          <w:p w14:paraId="05DDCB3C" w14:textId="77777777" w:rsidR="00480DE6" w:rsidRPr="00C30273" w:rsidRDefault="00480DE6" w:rsidP="002B0964">
            <w:pPr>
              <w:widowControl w:val="0"/>
              <w:autoSpaceDE w:val="0"/>
              <w:autoSpaceDN w:val="0"/>
              <w:adjustRightInd w:val="0"/>
              <w:jc w:val="right"/>
              <w:rPr>
                <w:b/>
                <w:color w:val="000000" w:themeColor="text1"/>
                <w:sz w:val="18"/>
                <w:szCs w:val="18"/>
              </w:rPr>
            </w:pPr>
            <w:r w:rsidRPr="00C30273">
              <w:rPr>
                <w:b/>
                <w:color w:val="000000" w:themeColor="text1"/>
                <w:sz w:val="18"/>
                <w:szCs w:val="18"/>
              </w:rPr>
              <w:t>11,115</w:t>
            </w:r>
          </w:p>
        </w:tc>
        <w:tc>
          <w:tcPr>
            <w:tcW w:w="1218" w:type="dxa"/>
            <w:gridSpan w:val="2"/>
            <w:tcBorders>
              <w:top w:val="single" w:sz="6" w:space="0" w:color="808080"/>
              <w:left w:val="nil"/>
              <w:bottom w:val="single" w:sz="6" w:space="0" w:color="808080"/>
              <w:right w:val="nil"/>
            </w:tcBorders>
            <w:vAlign w:val="bottom"/>
          </w:tcPr>
          <w:p w14:paraId="28CA7390" w14:textId="795860FA" w:rsidR="00480DE6" w:rsidRPr="00480DE6" w:rsidRDefault="00480DE6" w:rsidP="002B0964">
            <w:pPr>
              <w:widowControl w:val="0"/>
              <w:autoSpaceDE w:val="0"/>
              <w:autoSpaceDN w:val="0"/>
              <w:adjustRightInd w:val="0"/>
              <w:jc w:val="right"/>
              <w:rPr>
                <w:rFonts w:cs="Century Gothic"/>
                <w:b/>
                <w:color w:val="000000"/>
                <w:sz w:val="18"/>
                <w:szCs w:val="18"/>
              </w:rPr>
            </w:pPr>
            <w:r w:rsidRPr="00480DE6">
              <w:rPr>
                <w:rFonts w:eastAsia="Times New Roman" w:cs="Tahoma"/>
                <w:b/>
                <w:sz w:val="18"/>
                <w:szCs w:val="18"/>
              </w:rPr>
              <w:t>11,600</w:t>
            </w:r>
          </w:p>
        </w:tc>
        <w:tc>
          <w:tcPr>
            <w:tcW w:w="1295" w:type="dxa"/>
            <w:gridSpan w:val="2"/>
            <w:tcBorders>
              <w:top w:val="single" w:sz="6" w:space="0" w:color="808080"/>
              <w:left w:val="nil"/>
              <w:bottom w:val="single" w:sz="6" w:space="0" w:color="808080"/>
              <w:right w:val="nil"/>
            </w:tcBorders>
            <w:vAlign w:val="center"/>
          </w:tcPr>
          <w:p w14:paraId="79C01D6D" w14:textId="2055E73C" w:rsidR="00480DE6" w:rsidRPr="00480DE6" w:rsidRDefault="00480DE6" w:rsidP="002B0964">
            <w:pPr>
              <w:widowControl w:val="0"/>
              <w:autoSpaceDE w:val="0"/>
              <w:autoSpaceDN w:val="0"/>
              <w:adjustRightInd w:val="0"/>
              <w:jc w:val="right"/>
              <w:rPr>
                <w:rFonts w:cs="Century Gothic"/>
                <w:b/>
                <w:color w:val="000000"/>
                <w:sz w:val="18"/>
                <w:szCs w:val="18"/>
              </w:rPr>
            </w:pPr>
            <w:r w:rsidRPr="00480DE6">
              <w:rPr>
                <w:rFonts w:eastAsia="Times New Roman" w:cs="Times New Roman"/>
                <w:b/>
                <w:color w:val="000000"/>
                <w:sz w:val="18"/>
                <w:szCs w:val="18"/>
              </w:rPr>
              <w:t>7%</w:t>
            </w:r>
          </w:p>
        </w:tc>
      </w:tr>
      <w:tr w:rsidR="00480DE6" w14:paraId="0965F1CC" w14:textId="77777777" w:rsidTr="00547E58">
        <w:tblPrEx>
          <w:tblCellMar>
            <w:left w:w="115" w:type="dxa"/>
            <w:right w:w="115" w:type="dxa"/>
          </w:tblCellMar>
          <w:tblLook w:val="0000" w:firstRow="0" w:lastRow="0" w:firstColumn="0" w:lastColumn="0" w:noHBand="0" w:noVBand="0"/>
        </w:tblPrEx>
        <w:trPr>
          <w:trHeight w:val="138"/>
        </w:trPr>
        <w:tc>
          <w:tcPr>
            <w:tcW w:w="2557" w:type="dxa"/>
            <w:gridSpan w:val="2"/>
            <w:tcBorders>
              <w:top w:val="single" w:sz="6" w:space="0" w:color="808080"/>
              <w:left w:val="nil"/>
              <w:bottom w:val="single" w:sz="6" w:space="0" w:color="808080"/>
              <w:right w:val="nil"/>
            </w:tcBorders>
            <w:vAlign w:val="center"/>
          </w:tcPr>
          <w:p w14:paraId="5C3EB7D9" w14:textId="77777777" w:rsidR="00480DE6" w:rsidRPr="002F282F" w:rsidRDefault="00480DE6" w:rsidP="002B0964">
            <w:pPr>
              <w:widowControl w:val="0"/>
              <w:autoSpaceDE w:val="0"/>
              <w:autoSpaceDN w:val="0"/>
              <w:adjustRightInd w:val="0"/>
              <w:rPr>
                <w:rFonts w:cs="Century Gothic"/>
                <w:color w:val="000000"/>
                <w:sz w:val="18"/>
                <w:szCs w:val="18"/>
              </w:rPr>
            </w:pPr>
            <w:r w:rsidRPr="002F282F">
              <w:rPr>
                <w:color w:val="000000"/>
                <w:sz w:val="18"/>
                <w:szCs w:val="18"/>
              </w:rPr>
              <w:t>Menlo Park</w:t>
            </w:r>
          </w:p>
        </w:tc>
        <w:tc>
          <w:tcPr>
            <w:tcW w:w="949" w:type="dxa"/>
            <w:tcBorders>
              <w:top w:val="single" w:sz="6" w:space="0" w:color="808080"/>
              <w:left w:val="nil"/>
              <w:bottom w:val="single" w:sz="6" w:space="0" w:color="808080"/>
              <w:right w:val="nil"/>
            </w:tcBorders>
            <w:vAlign w:val="bottom"/>
          </w:tcPr>
          <w:p w14:paraId="6D1FD865" w14:textId="77777777" w:rsidR="00480DE6" w:rsidRPr="002F282F" w:rsidRDefault="00480DE6" w:rsidP="002B0964">
            <w:pPr>
              <w:widowControl w:val="0"/>
              <w:autoSpaceDE w:val="0"/>
              <w:autoSpaceDN w:val="0"/>
              <w:adjustRightInd w:val="0"/>
              <w:jc w:val="right"/>
              <w:rPr>
                <w:rFonts w:cs="Century Gothic"/>
                <w:color w:val="000000"/>
                <w:sz w:val="18"/>
                <w:szCs w:val="18"/>
              </w:rPr>
            </w:pPr>
            <w:r w:rsidRPr="002F282F">
              <w:rPr>
                <w:color w:val="000000"/>
                <w:sz w:val="18"/>
                <w:szCs w:val="18"/>
              </w:rPr>
              <w:t>30,785</w:t>
            </w:r>
          </w:p>
        </w:tc>
        <w:tc>
          <w:tcPr>
            <w:tcW w:w="900" w:type="dxa"/>
            <w:tcBorders>
              <w:top w:val="single" w:sz="6" w:space="0" w:color="808080"/>
              <w:left w:val="nil"/>
              <w:bottom w:val="single" w:sz="6" w:space="0" w:color="808080"/>
              <w:right w:val="nil"/>
            </w:tcBorders>
            <w:vAlign w:val="bottom"/>
          </w:tcPr>
          <w:p w14:paraId="79BD8F5A" w14:textId="77777777" w:rsidR="00480DE6" w:rsidRPr="002F282F" w:rsidRDefault="00480DE6" w:rsidP="002B0964">
            <w:pPr>
              <w:widowControl w:val="0"/>
              <w:autoSpaceDE w:val="0"/>
              <w:autoSpaceDN w:val="0"/>
              <w:adjustRightInd w:val="0"/>
              <w:jc w:val="right"/>
              <w:rPr>
                <w:rFonts w:cs="Century Gothic"/>
                <w:color w:val="000000"/>
                <w:sz w:val="18"/>
                <w:szCs w:val="18"/>
              </w:rPr>
            </w:pPr>
            <w:r w:rsidRPr="002F282F">
              <w:rPr>
                <w:rFonts w:cs="Arial"/>
                <w:sz w:val="18"/>
                <w:szCs w:val="18"/>
              </w:rPr>
              <w:t>32,026</w:t>
            </w:r>
          </w:p>
        </w:tc>
        <w:tc>
          <w:tcPr>
            <w:tcW w:w="1308" w:type="dxa"/>
            <w:tcBorders>
              <w:top w:val="single" w:sz="6" w:space="0" w:color="808080"/>
              <w:left w:val="nil"/>
              <w:bottom w:val="single" w:sz="6" w:space="0" w:color="808080"/>
              <w:right w:val="nil"/>
            </w:tcBorders>
          </w:tcPr>
          <w:p w14:paraId="783168DA"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32,679</w:t>
            </w:r>
          </w:p>
        </w:tc>
        <w:tc>
          <w:tcPr>
            <w:tcW w:w="1218" w:type="dxa"/>
            <w:gridSpan w:val="2"/>
            <w:tcBorders>
              <w:top w:val="single" w:sz="6" w:space="0" w:color="808080"/>
              <w:left w:val="nil"/>
              <w:bottom w:val="single" w:sz="6" w:space="0" w:color="808080"/>
              <w:right w:val="nil"/>
            </w:tcBorders>
            <w:vAlign w:val="bottom"/>
          </w:tcPr>
          <w:p w14:paraId="1A906876" w14:textId="558BF4F3" w:rsidR="00480DE6" w:rsidRPr="002F282F"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35,800</w:t>
            </w:r>
          </w:p>
        </w:tc>
        <w:tc>
          <w:tcPr>
            <w:tcW w:w="1295" w:type="dxa"/>
            <w:gridSpan w:val="2"/>
            <w:tcBorders>
              <w:top w:val="single" w:sz="6" w:space="0" w:color="808080"/>
              <w:left w:val="nil"/>
              <w:bottom w:val="single" w:sz="6" w:space="0" w:color="808080"/>
              <w:right w:val="nil"/>
            </w:tcBorders>
            <w:vAlign w:val="center"/>
          </w:tcPr>
          <w:p w14:paraId="310434AF" w14:textId="57CD64C8" w:rsidR="00480DE6" w:rsidRPr="002F282F"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12%</w:t>
            </w:r>
          </w:p>
        </w:tc>
      </w:tr>
      <w:tr w:rsidR="00480DE6" w:rsidRPr="00761863" w14:paraId="481265BD" w14:textId="77777777" w:rsidTr="00547E58">
        <w:tblPrEx>
          <w:tblCellMar>
            <w:left w:w="115" w:type="dxa"/>
            <w:right w:w="115" w:type="dxa"/>
          </w:tblCellMar>
          <w:tblLook w:val="0000" w:firstRow="0" w:lastRow="0" w:firstColumn="0" w:lastColumn="0" w:noHBand="0" w:noVBand="0"/>
        </w:tblPrEx>
        <w:trPr>
          <w:trHeight w:val="84"/>
        </w:trPr>
        <w:tc>
          <w:tcPr>
            <w:tcW w:w="2557" w:type="dxa"/>
            <w:gridSpan w:val="2"/>
            <w:tcBorders>
              <w:top w:val="single" w:sz="6" w:space="0" w:color="808080"/>
              <w:left w:val="nil"/>
              <w:bottom w:val="single" w:sz="6" w:space="0" w:color="808080"/>
              <w:right w:val="nil"/>
            </w:tcBorders>
            <w:vAlign w:val="center"/>
          </w:tcPr>
          <w:p w14:paraId="26F9D8E2" w14:textId="6823BF38" w:rsidR="00480DE6" w:rsidRPr="00761863" w:rsidRDefault="00480DE6" w:rsidP="002B0964">
            <w:pPr>
              <w:widowControl w:val="0"/>
              <w:autoSpaceDE w:val="0"/>
              <w:autoSpaceDN w:val="0"/>
              <w:adjustRightInd w:val="0"/>
              <w:rPr>
                <w:rFonts w:cs="Century Gothic"/>
                <w:color w:val="000000"/>
                <w:sz w:val="18"/>
                <w:szCs w:val="18"/>
              </w:rPr>
            </w:pPr>
            <w:r w:rsidRPr="00761863">
              <w:rPr>
                <w:color w:val="000000"/>
                <w:sz w:val="18"/>
                <w:szCs w:val="18"/>
              </w:rPr>
              <w:t>Millbrae</w:t>
            </w:r>
          </w:p>
        </w:tc>
        <w:tc>
          <w:tcPr>
            <w:tcW w:w="949" w:type="dxa"/>
            <w:tcBorders>
              <w:top w:val="single" w:sz="6" w:space="0" w:color="808080"/>
              <w:left w:val="nil"/>
              <w:bottom w:val="single" w:sz="6" w:space="0" w:color="808080"/>
              <w:right w:val="nil"/>
            </w:tcBorders>
            <w:vAlign w:val="bottom"/>
          </w:tcPr>
          <w:p w14:paraId="5A020B4D" w14:textId="77777777" w:rsidR="00480DE6" w:rsidRPr="00761863" w:rsidRDefault="00480DE6" w:rsidP="002B0964">
            <w:pPr>
              <w:widowControl w:val="0"/>
              <w:autoSpaceDE w:val="0"/>
              <w:autoSpaceDN w:val="0"/>
              <w:adjustRightInd w:val="0"/>
              <w:jc w:val="right"/>
              <w:rPr>
                <w:rFonts w:cs="Century Gothic"/>
                <w:color w:val="000000"/>
                <w:sz w:val="18"/>
                <w:szCs w:val="18"/>
              </w:rPr>
            </w:pPr>
            <w:r w:rsidRPr="00761863">
              <w:rPr>
                <w:color w:val="000000"/>
                <w:sz w:val="18"/>
                <w:szCs w:val="18"/>
              </w:rPr>
              <w:t>20,718</w:t>
            </w:r>
          </w:p>
        </w:tc>
        <w:tc>
          <w:tcPr>
            <w:tcW w:w="900" w:type="dxa"/>
            <w:tcBorders>
              <w:top w:val="single" w:sz="6" w:space="0" w:color="808080"/>
              <w:left w:val="nil"/>
              <w:bottom w:val="single" w:sz="6" w:space="0" w:color="808080"/>
              <w:right w:val="nil"/>
            </w:tcBorders>
            <w:vAlign w:val="bottom"/>
          </w:tcPr>
          <w:p w14:paraId="1B786177" w14:textId="77777777" w:rsidR="00480DE6" w:rsidRPr="00761863" w:rsidRDefault="00480DE6" w:rsidP="002B0964">
            <w:pPr>
              <w:widowControl w:val="0"/>
              <w:autoSpaceDE w:val="0"/>
              <w:autoSpaceDN w:val="0"/>
              <w:adjustRightInd w:val="0"/>
              <w:jc w:val="right"/>
              <w:rPr>
                <w:rFonts w:cs="Century Gothic"/>
                <w:color w:val="000000"/>
                <w:sz w:val="18"/>
                <w:szCs w:val="18"/>
              </w:rPr>
            </w:pPr>
            <w:r w:rsidRPr="00761863">
              <w:rPr>
                <w:rFonts w:cs="Arial"/>
                <w:sz w:val="18"/>
                <w:szCs w:val="18"/>
              </w:rPr>
              <w:t>21,532</w:t>
            </w:r>
          </w:p>
        </w:tc>
        <w:tc>
          <w:tcPr>
            <w:tcW w:w="1308" w:type="dxa"/>
            <w:tcBorders>
              <w:top w:val="single" w:sz="6" w:space="0" w:color="808080"/>
              <w:left w:val="nil"/>
              <w:bottom w:val="single" w:sz="6" w:space="0" w:color="808080"/>
              <w:right w:val="nil"/>
            </w:tcBorders>
          </w:tcPr>
          <w:p w14:paraId="743FD98F"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22,228</w:t>
            </w:r>
          </w:p>
        </w:tc>
        <w:tc>
          <w:tcPr>
            <w:tcW w:w="1218" w:type="dxa"/>
            <w:gridSpan w:val="2"/>
            <w:tcBorders>
              <w:top w:val="single" w:sz="6" w:space="0" w:color="808080"/>
              <w:left w:val="nil"/>
              <w:bottom w:val="single" w:sz="6" w:space="0" w:color="808080"/>
              <w:right w:val="nil"/>
            </w:tcBorders>
            <w:vAlign w:val="bottom"/>
          </w:tcPr>
          <w:p w14:paraId="508A4027" w14:textId="07220315" w:rsidR="00480DE6" w:rsidRPr="00761863"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27,100</w:t>
            </w:r>
          </w:p>
        </w:tc>
        <w:tc>
          <w:tcPr>
            <w:tcW w:w="1295" w:type="dxa"/>
            <w:gridSpan w:val="2"/>
            <w:tcBorders>
              <w:top w:val="single" w:sz="6" w:space="0" w:color="808080"/>
              <w:left w:val="nil"/>
              <w:bottom w:val="single" w:sz="6" w:space="0" w:color="808080"/>
              <w:right w:val="nil"/>
            </w:tcBorders>
            <w:vAlign w:val="center"/>
          </w:tcPr>
          <w:p w14:paraId="62CC0616" w14:textId="3FBCED68" w:rsidR="00480DE6" w:rsidRPr="00761863"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26%</w:t>
            </w:r>
          </w:p>
        </w:tc>
      </w:tr>
      <w:tr w:rsidR="00480DE6" w14:paraId="06723981" w14:textId="77777777" w:rsidTr="00547E58">
        <w:tblPrEx>
          <w:tblCellMar>
            <w:left w:w="115" w:type="dxa"/>
            <w:right w:w="115" w:type="dxa"/>
          </w:tblCellMar>
          <w:tblLook w:val="0000" w:firstRow="0" w:lastRow="0" w:firstColumn="0" w:lastColumn="0" w:noHBand="0" w:noVBand="0"/>
        </w:tblPrEx>
        <w:trPr>
          <w:trHeight w:val="138"/>
        </w:trPr>
        <w:tc>
          <w:tcPr>
            <w:tcW w:w="2557" w:type="dxa"/>
            <w:gridSpan w:val="2"/>
            <w:tcBorders>
              <w:top w:val="single" w:sz="6" w:space="0" w:color="808080"/>
              <w:left w:val="nil"/>
              <w:bottom w:val="single" w:sz="6" w:space="0" w:color="808080"/>
              <w:right w:val="nil"/>
            </w:tcBorders>
            <w:vAlign w:val="center"/>
          </w:tcPr>
          <w:p w14:paraId="04D5E525"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Pacifica</w:t>
            </w:r>
          </w:p>
        </w:tc>
        <w:tc>
          <w:tcPr>
            <w:tcW w:w="949" w:type="dxa"/>
            <w:tcBorders>
              <w:top w:val="single" w:sz="6" w:space="0" w:color="808080"/>
              <w:left w:val="nil"/>
              <w:bottom w:val="single" w:sz="6" w:space="0" w:color="808080"/>
              <w:right w:val="nil"/>
            </w:tcBorders>
            <w:vAlign w:val="bottom"/>
          </w:tcPr>
          <w:p w14:paraId="1CC47BFC"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38,390</w:t>
            </w:r>
          </w:p>
        </w:tc>
        <w:tc>
          <w:tcPr>
            <w:tcW w:w="900" w:type="dxa"/>
            <w:tcBorders>
              <w:top w:val="single" w:sz="6" w:space="0" w:color="808080"/>
              <w:left w:val="nil"/>
              <w:bottom w:val="single" w:sz="6" w:space="0" w:color="808080"/>
              <w:right w:val="nil"/>
            </w:tcBorders>
            <w:vAlign w:val="bottom"/>
          </w:tcPr>
          <w:p w14:paraId="38D52739"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37,234</w:t>
            </w:r>
          </w:p>
        </w:tc>
        <w:tc>
          <w:tcPr>
            <w:tcW w:w="1308" w:type="dxa"/>
            <w:tcBorders>
              <w:top w:val="single" w:sz="6" w:space="0" w:color="808080"/>
              <w:left w:val="nil"/>
              <w:bottom w:val="single" w:sz="6" w:space="0" w:color="808080"/>
              <w:right w:val="nil"/>
            </w:tcBorders>
          </w:tcPr>
          <w:p w14:paraId="644E83C8"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37,948</w:t>
            </w:r>
          </w:p>
        </w:tc>
        <w:tc>
          <w:tcPr>
            <w:tcW w:w="1218" w:type="dxa"/>
            <w:gridSpan w:val="2"/>
            <w:tcBorders>
              <w:top w:val="single" w:sz="6" w:space="0" w:color="808080"/>
              <w:left w:val="nil"/>
              <w:bottom w:val="single" w:sz="6" w:space="0" w:color="808080"/>
              <w:right w:val="nil"/>
            </w:tcBorders>
            <w:vAlign w:val="bottom"/>
          </w:tcPr>
          <w:p w14:paraId="332273D6" w14:textId="0841B66B"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39,200</w:t>
            </w:r>
          </w:p>
        </w:tc>
        <w:tc>
          <w:tcPr>
            <w:tcW w:w="1295" w:type="dxa"/>
            <w:gridSpan w:val="2"/>
            <w:tcBorders>
              <w:top w:val="single" w:sz="6" w:space="0" w:color="808080"/>
              <w:left w:val="nil"/>
              <w:bottom w:val="single" w:sz="6" w:space="0" w:color="808080"/>
              <w:right w:val="nil"/>
            </w:tcBorders>
            <w:vAlign w:val="center"/>
          </w:tcPr>
          <w:p w14:paraId="4BC2ACF6" w14:textId="00A4E2CD"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5%</w:t>
            </w:r>
          </w:p>
        </w:tc>
      </w:tr>
      <w:tr w:rsidR="00480DE6" w14:paraId="4609C30E" w14:textId="77777777" w:rsidTr="00547E58">
        <w:tblPrEx>
          <w:tblCellMar>
            <w:left w:w="115" w:type="dxa"/>
            <w:right w:w="115" w:type="dxa"/>
          </w:tblCellMar>
          <w:tblLook w:val="0000" w:firstRow="0" w:lastRow="0" w:firstColumn="0" w:lastColumn="0" w:noHBand="0" w:noVBand="0"/>
        </w:tblPrEx>
        <w:trPr>
          <w:trHeight w:val="174"/>
        </w:trPr>
        <w:tc>
          <w:tcPr>
            <w:tcW w:w="2557" w:type="dxa"/>
            <w:gridSpan w:val="2"/>
            <w:tcBorders>
              <w:top w:val="single" w:sz="6" w:space="0" w:color="808080"/>
              <w:left w:val="nil"/>
              <w:bottom w:val="single" w:sz="6" w:space="0" w:color="808080"/>
              <w:right w:val="nil"/>
            </w:tcBorders>
            <w:vAlign w:val="center"/>
          </w:tcPr>
          <w:p w14:paraId="6714BF0F"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Portola Valley</w:t>
            </w:r>
          </w:p>
        </w:tc>
        <w:tc>
          <w:tcPr>
            <w:tcW w:w="949" w:type="dxa"/>
            <w:tcBorders>
              <w:top w:val="single" w:sz="6" w:space="0" w:color="808080"/>
              <w:left w:val="nil"/>
              <w:bottom w:val="single" w:sz="6" w:space="0" w:color="808080"/>
              <w:right w:val="nil"/>
            </w:tcBorders>
            <w:vAlign w:val="bottom"/>
          </w:tcPr>
          <w:p w14:paraId="21F2A14E"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4,462</w:t>
            </w:r>
          </w:p>
        </w:tc>
        <w:tc>
          <w:tcPr>
            <w:tcW w:w="900" w:type="dxa"/>
            <w:tcBorders>
              <w:top w:val="single" w:sz="6" w:space="0" w:color="808080"/>
              <w:left w:val="nil"/>
              <w:bottom w:val="single" w:sz="6" w:space="0" w:color="808080"/>
              <w:right w:val="nil"/>
            </w:tcBorders>
            <w:vAlign w:val="bottom"/>
          </w:tcPr>
          <w:p w14:paraId="7422F4AA"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4,353</w:t>
            </w:r>
          </w:p>
        </w:tc>
        <w:tc>
          <w:tcPr>
            <w:tcW w:w="1308" w:type="dxa"/>
            <w:tcBorders>
              <w:top w:val="single" w:sz="6" w:space="0" w:color="808080"/>
              <w:left w:val="nil"/>
              <w:bottom w:val="single" w:sz="6" w:space="0" w:color="808080"/>
              <w:right w:val="nil"/>
            </w:tcBorders>
          </w:tcPr>
          <w:p w14:paraId="7C111AF6"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4,448</w:t>
            </w:r>
          </w:p>
        </w:tc>
        <w:tc>
          <w:tcPr>
            <w:tcW w:w="1218" w:type="dxa"/>
            <w:gridSpan w:val="2"/>
            <w:tcBorders>
              <w:top w:val="single" w:sz="6" w:space="0" w:color="808080"/>
              <w:left w:val="nil"/>
              <w:bottom w:val="single" w:sz="6" w:space="0" w:color="808080"/>
              <w:right w:val="nil"/>
            </w:tcBorders>
            <w:vAlign w:val="bottom"/>
          </w:tcPr>
          <w:p w14:paraId="37443D4A" w14:textId="47D7B98D"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4,700</w:t>
            </w:r>
          </w:p>
        </w:tc>
        <w:tc>
          <w:tcPr>
            <w:tcW w:w="1295" w:type="dxa"/>
            <w:gridSpan w:val="2"/>
            <w:tcBorders>
              <w:top w:val="single" w:sz="6" w:space="0" w:color="808080"/>
              <w:left w:val="nil"/>
              <w:bottom w:val="single" w:sz="6" w:space="0" w:color="808080"/>
              <w:right w:val="nil"/>
            </w:tcBorders>
            <w:vAlign w:val="center"/>
          </w:tcPr>
          <w:p w14:paraId="4FF00557" w14:textId="359E7BFA"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8%</w:t>
            </w:r>
          </w:p>
        </w:tc>
      </w:tr>
      <w:tr w:rsidR="00480DE6" w14:paraId="3F5BE0C3" w14:textId="77777777" w:rsidTr="00547E58">
        <w:tblPrEx>
          <w:tblCellMar>
            <w:left w:w="115" w:type="dxa"/>
            <w:right w:w="115" w:type="dxa"/>
          </w:tblCellMar>
          <w:tblLook w:val="0000" w:firstRow="0" w:lastRow="0" w:firstColumn="0" w:lastColumn="0" w:noHBand="0" w:noVBand="0"/>
        </w:tblPrEx>
        <w:trPr>
          <w:trHeight w:val="138"/>
        </w:trPr>
        <w:tc>
          <w:tcPr>
            <w:tcW w:w="2557" w:type="dxa"/>
            <w:gridSpan w:val="2"/>
            <w:tcBorders>
              <w:top w:val="single" w:sz="6" w:space="0" w:color="808080"/>
              <w:left w:val="nil"/>
              <w:bottom w:val="single" w:sz="6" w:space="0" w:color="808080"/>
              <w:right w:val="nil"/>
            </w:tcBorders>
            <w:vAlign w:val="center"/>
          </w:tcPr>
          <w:p w14:paraId="7F8CD1DD"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Redwood City</w:t>
            </w:r>
          </w:p>
        </w:tc>
        <w:tc>
          <w:tcPr>
            <w:tcW w:w="949" w:type="dxa"/>
            <w:tcBorders>
              <w:top w:val="single" w:sz="6" w:space="0" w:color="808080"/>
              <w:left w:val="nil"/>
              <w:bottom w:val="single" w:sz="6" w:space="0" w:color="808080"/>
              <w:right w:val="nil"/>
            </w:tcBorders>
            <w:vAlign w:val="bottom"/>
          </w:tcPr>
          <w:p w14:paraId="585C0D0F"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75,402</w:t>
            </w:r>
          </w:p>
        </w:tc>
        <w:tc>
          <w:tcPr>
            <w:tcW w:w="900" w:type="dxa"/>
            <w:tcBorders>
              <w:top w:val="single" w:sz="6" w:space="0" w:color="808080"/>
              <w:left w:val="nil"/>
              <w:bottom w:val="single" w:sz="6" w:space="0" w:color="808080"/>
              <w:right w:val="nil"/>
            </w:tcBorders>
            <w:vAlign w:val="bottom"/>
          </w:tcPr>
          <w:p w14:paraId="5E6DE95D"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76,815</w:t>
            </w:r>
          </w:p>
        </w:tc>
        <w:tc>
          <w:tcPr>
            <w:tcW w:w="1308" w:type="dxa"/>
            <w:tcBorders>
              <w:top w:val="single" w:sz="6" w:space="0" w:color="808080"/>
              <w:left w:val="nil"/>
              <w:bottom w:val="single" w:sz="6" w:space="0" w:color="808080"/>
              <w:right w:val="nil"/>
            </w:tcBorders>
          </w:tcPr>
          <w:p w14:paraId="399E8AB9"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79,074</w:t>
            </w:r>
          </w:p>
        </w:tc>
        <w:tc>
          <w:tcPr>
            <w:tcW w:w="1218" w:type="dxa"/>
            <w:gridSpan w:val="2"/>
            <w:tcBorders>
              <w:top w:val="single" w:sz="6" w:space="0" w:color="808080"/>
              <w:left w:val="nil"/>
              <w:bottom w:val="single" w:sz="6" w:space="0" w:color="808080"/>
              <w:right w:val="nil"/>
            </w:tcBorders>
            <w:vAlign w:val="bottom"/>
          </w:tcPr>
          <w:p w14:paraId="123CB14E" w14:textId="50408DF5"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91,900</w:t>
            </w:r>
          </w:p>
        </w:tc>
        <w:tc>
          <w:tcPr>
            <w:tcW w:w="1295" w:type="dxa"/>
            <w:gridSpan w:val="2"/>
            <w:tcBorders>
              <w:top w:val="single" w:sz="6" w:space="0" w:color="808080"/>
              <w:left w:val="nil"/>
              <w:bottom w:val="single" w:sz="6" w:space="0" w:color="808080"/>
              <w:right w:val="nil"/>
            </w:tcBorders>
            <w:vAlign w:val="center"/>
          </w:tcPr>
          <w:p w14:paraId="3D6AA57F" w14:textId="37FF767E"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20%</w:t>
            </w:r>
          </w:p>
        </w:tc>
      </w:tr>
      <w:tr w:rsidR="00480DE6" w14:paraId="5CD7EBC3" w14:textId="77777777" w:rsidTr="00547E58">
        <w:tblPrEx>
          <w:tblCellMar>
            <w:left w:w="115" w:type="dxa"/>
            <w:right w:w="115" w:type="dxa"/>
          </w:tblCellMar>
          <w:tblLook w:val="0000" w:firstRow="0" w:lastRow="0" w:firstColumn="0" w:lastColumn="0" w:noHBand="0" w:noVBand="0"/>
        </w:tblPrEx>
        <w:trPr>
          <w:trHeight w:val="84"/>
        </w:trPr>
        <w:tc>
          <w:tcPr>
            <w:tcW w:w="2557" w:type="dxa"/>
            <w:gridSpan w:val="2"/>
            <w:tcBorders>
              <w:top w:val="single" w:sz="6" w:space="0" w:color="808080"/>
              <w:left w:val="nil"/>
              <w:bottom w:val="single" w:sz="6" w:space="0" w:color="808080"/>
              <w:right w:val="nil"/>
            </w:tcBorders>
            <w:vAlign w:val="center"/>
          </w:tcPr>
          <w:p w14:paraId="42CA7AB2"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San Bruno</w:t>
            </w:r>
          </w:p>
        </w:tc>
        <w:tc>
          <w:tcPr>
            <w:tcW w:w="949" w:type="dxa"/>
            <w:tcBorders>
              <w:top w:val="single" w:sz="6" w:space="0" w:color="808080"/>
              <w:left w:val="nil"/>
              <w:bottom w:val="single" w:sz="6" w:space="0" w:color="808080"/>
              <w:right w:val="nil"/>
            </w:tcBorders>
            <w:vAlign w:val="bottom"/>
          </w:tcPr>
          <w:p w14:paraId="6CD1E10B"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40,165</w:t>
            </w:r>
          </w:p>
        </w:tc>
        <w:tc>
          <w:tcPr>
            <w:tcW w:w="900" w:type="dxa"/>
            <w:tcBorders>
              <w:top w:val="single" w:sz="6" w:space="0" w:color="808080"/>
              <w:left w:val="nil"/>
              <w:bottom w:val="single" w:sz="6" w:space="0" w:color="808080"/>
              <w:right w:val="nil"/>
            </w:tcBorders>
            <w:vAlign w:val="bottom"/>
          </w:tcPr>
          <w:p w14:paraId="4AB34FCB"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41,114</w:t>
            </w:r>
          </w:p>
        </w:tc>
        <w:tc>
          <w:tcPr>
            <w:tcW w:w="1308" w:type="dxa"/>
            <w:tcBorders>
              <w:top w:val="single" w:sz="6" w:space="0" w:color="808080"/>
              <w:left w:val="nil"/>
              <w:bottom w:val="single" w:sz="6" w:space="0" w:color="808080"/>
              <w:right w:val="nil"/>
            </w:tcBorders>
          </w:tcPr>
          <w:p w14:paraId="5C08EEB1"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42,828</w:t>
            </w:r>
          </w:p>
        </w:tc>
        <w:tc>
          <w:tcPr>
            <w:tcW w:w="1218" w:type="dxa"/>
            <w:gridSpan w:val="2"/>
            <w:tcBorders>
              <w:top w:val="single" w:sz="6" w:space="0" w:color="808080"/>
              <w:left w:val="nil"/>
              <w:bottom w:val="single" w:sz="6" w:space="0" w:color="808080"/>
              <w:right w:val="nil"/>
            </w:tcBorders>
            <w:vAlign w:val="bottom"/>
          </w:tcPr>
          <w:p w14:paraId="5DB9F53C" w14:textId="446A2CE0"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51,100</w:t>
            </w:r>
          </w:p>
        </w:tc>
        <w:tc>
          <w:tcPr>
            <w:tcW w:w="1295" w:type="dxa"/>
            <w:gridSpan w:val="2"/>
            <w:tcBorders>
              <w:top w:val="single" w:sz="6" w:space="0" w:color="808080"/>
              <w:left w:val="nil"/>
              <w:bottom w:val="single" w:sz="6" w:space="0" w:color="808080"/>
              <w:right w:val="nil"/>
            </w:tcBorders>
            <w:vAlign w:val="center"/>
          </w:tcPr>
          <w:p w14:paraId="4201DF14" w14:textId="4BF762CD"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24%</w:t>
            </w:r>
          </w:p>
        </w:tc>
      </w:tr>
      <w:tr w:rsidR="00480DE6" w14:paraId="3CDDBD8D" w14:textId="77777777" w:rsidTr="00547E58">
        <w:tblPrEx>
          <w:tblCellMar>
            <w:left w:w="115" w:type="dxa"/>
            <w:right w:w="115" w:type="dxa"/>
          </w:tblCellMar>
          <w:tblLook w:val="0000" w:firstRow="0" w:lastRow="0" w:firstColumn="0" w:lastColumn="0" w:noHBand="0" w:noVBand="0"/>
        </w:tblPrEx>
        <w:trPr>
          <w:trHeight w:val="138"/>
        </w:trPr>
        <w:tc>
          <w:tcPr>
            <w:tcW w:w="2557" w:type="dxa"/>
            <w:gridSpan w:val="2"/>
            <w:tcBorders>
              <w:top w:val="single" w:sz="6" w:space="0" w:color="808080"/>
              <w:left w:val="nil"/>
              <w:bottom w:val="single" w:sz="6" w:space="0" w:color="808080"/>
              <w:right w:val="nil"/>
            </w:tcBorders>
            <w:vAlign w:val="center"/>
          </w:tcPr>
          <w:p w14:paraId="627C8E73"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San Carlos</w:t>
            </w:r>
          </w:p>
        </w:tc>
        <w:tc>
          <w:tcPr>
            <w:tcW w:w="949" w:type="dxa"/>
            <w:tcBorders>
              <w:top w:val="single" w:sz="6" w:space="0" w:color="808080"/>
              <w:left w:val="nil"/>
              <w:bottom w:val="single" w:sz="6" w:space="0" w:color="808080"/>
              <w:right w:val="nil"/>
            </w:tcBorders>
            <w:vAlign w:val="bottom"/>
          </w:tcPr>
          <w:p w14:paraId="5F71C038"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27,718</w:t>
            </w:r>
          </w:p>
        </w:tc>
        <w:tc>
          <w:tcPr>
            <w:tcW w:w="900" w:type="dxa"/>
            <w:tcBorders>
              <w:top w:val="single" w:sz="6" w:space="0" w:color="808080"/>
              <w:left w:val="nil"/>
              <w:bottom w:val="single" w:sz="6" w:space="0" w:color="808080"/>
              <w:right w:val="nil"/>
            </w:tcBorders>
            <w:vAlign w:val="bottom"/>
          </w:tcPr>
          <w:p w14:paraId="29E81A82"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28,406</w:t>
            </w:r>
          </w:p>
        </w:tc>
        <w:tc>
          <w:tcPr>
            <w:tcW w:w="1308" w:type="dxa"/>
            <w:tcBorders>
              <w:top w:val="single" w:sz="6" w:space="0" w:color="808080"/>
              <w:left w:val="nil"/>
              <w:bottom w:val="single" w:sz="6" w:space="0" w:color="808080"/>
              <w:right w:val="nil"/>
            </w:tcBorders>
          </w:tcPr>
          <w:p w14:paraId="484DB1DC"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28,931</w:t>
            </w:r>
          </w:p>
        </w:tc>
        <w:tc>
          <w:tcPr>
            <w:tcW w:w="1218" w:type="dxa"/>
            <w:gridSpan w:val="2"/>
            <w:tcBorders>
              <w:top w:val="single" w:sz="6" w:space="0" w:color="808080"/>
              <w:left w:val="nil"/>
              <w:bottom w:val="single" w:sz="6" w:space="0" w:color="808080"/>
              <w:right w:val="nil"/>
            </w:tcBorders>
            <w:vAlign w:val="bottom"/>
          </w:tcPr>
          <w:p w14:paraId="67AD2D72" w14:textId="56C77AE6"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31,900</w:t>
            </w:r>
          </w:p>
        </w:tc>
        <w:tc>
          <w:tcPr>
            <w:tcW w:w="1295" w:type="dxa"/>
            <w:gridSpan w:val="2"/>
            <w:tcBorders>
              <w:top w:val="single" w:sz="6" w:space="0" w:color="808080"/>
              <w:left w:val="nil"/>
              <w:bottom w:val="single" w:sz="6" w:space="0" w:color="808080"/>
              <w:right w:val="nil"/>
            </w:tcBorders>
            <w:vAlign w:val="center"/>
          </w:tcPr>
          <w:p w14:paraId="79B55729" w14:textId="716A4FAF"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12%</w:t>
            </w:r>
          </w:p>
        </w:tc>
      </w:tr>
      <w:tr w:rsidR="00480DE6" w:rsidRPr="002B0964" w14:paraId="3EFDB87F" w14:textId="77777777" w:rsidTr="00547E58">
        <w:tblPrEx>
          <w:tblCellMar>
            <w:left w:w="115" w:type="dxa"/>
            <w:right w:w="115" w:type="dxa"/>
          </w:tblCellMar>
          <w:tblLook w:val="0000" w:firstRow="0" w:lastRow="0" w:firstColumn="0" w:lastColumn="0" w:noHBand="0" w:noVBand="0"/>
        </w:tblPrEx>
        <w:trPr>
          <w:trHeight w:val="174"/>
        </w:trPr>
        <w:tc>
          <w:tcPr>
            <w:tcW w:w="2557" w:type="dxa"/>
            <w:gridSpan w:val="2"/>
            <w:tcBorders>
              <w:top w:val="single" w:sz="6" w:space="0" w:color="808080"/>
              <w:left w:val="nil"/>
              <w:bottom w:val="single" w:sz="6" w:space="0" w:color="808080"/>
              <w:right w:val="nil"/>
            </w:tcBorders>
            <w:vAlign w:val="center"/>
          </w:tcPr>
          <w:p w14:paraId="21BD953A" w14:textId="77777777" w:rsidR="00480DE6" w:rsidRPr="002B0964" w:rsidRDefault="00480DE6" w:rsidP="002B0964">
            <w:pPr>
              <w:widowControl w:val="0"/>
              <w:autoSpaceDE w:val="0"/>
              <w:autoSpaceDN w:val="0"/>
              <w:adjustRightInd w:val="0"/>
              <w:rPr>
                <w:rFonts w:cs="Century Gothic"/>
                <w:color w:val="000000"/>
                <w:sz w:val="18"/>
                <w:szCs w:val="18"/>
              </w:rPr>
            </w:pPr>
            <w:r w:rsidRPr="002B0964">
              <w:rPr>
                <w:color w:val="000000"/>
                <w:sz w:val="18"/>
                <w:szCs w:val="18"/>
              </w:rPr>
              <w:t xml:space="preserve">San Mateo </w:t>
            </w:r>
          </w:p>
        </w:tc>
        <w:tc>
          <w:tcPr>
            <w:tcW w:w="949" w:type="dxa"/>
            <w:tcBorders>
              <w:top w:val="single" w:sz="6" w:space="0" w:color="808080"/>
              <w:left w:val="nil"/>
              <w:bottom w:val="single" w:sz="6" w:space="0" w:color="808080"/>
              <w:right w:val="nil"/>
            </w:tcBorders>
            <w:vAlign w:val="bottom"/>
          </w:tcPr>
          <w:p w14:paraId="0112A518" w14:textId="77777777" w:rsidR="00480DE6" w:rsidRPr="002B0964" w:rsidRDefault="00480DE6" w:rsidP="002B0964">
            <w:pPr>
              <w:widowControl w:val="0"/>
              <w:autoSpaceDE w:val="0"/>
              <w:autoSpaceDN w:val="0"/>
              <w:adjustRightInd w:val="0"/>
              <w:jc w:val="right"/>
              <w:rPr>
                <w:rFonts w:cs="Century Gothic"/>
                <w:color w:val="000000"/>
                <w:sz w:val="18"/>
                <w:szCs w:val="18"/>
              </w:rPr>
            </w:pPr>
            <w:r w:rsidRPr="002B0964">
              <w:rPr>
                <w:color w:val="000000"/>
                <w:sz w:val="18"/>
                <w:szCs w:val="18"/>
              </w:rPr>
              <w:t>92,482</w:t>
            </w:r>
          </w:p>
        </w:tc>
        <w:tc>
          <w:tcPr>
            <w:tcW w:w="900" w:type="dxa"/>
            <w:tcBorders>
              <w:top w:val="single" w:sz="6" w:space="0" w:color="808080"/>
              <w:left w:val="nil"/>
              <w:bottom w:val="single" w:sz="6" w:space="0" w:color="808080"/>
              <w:right w:val="nil"/>
            </w:tcBorders>
            <w:vAlign w:val="bottom"/>
          </w:tcPr>
          <w:p w14:paraId="43544716" w14:textId="77777777" w:rsidR="00480DE6" w:rsidRPr="002B0964" w:rsidRDefault="00480DE6" w:rsidP="002B0964">
            <w:pPr>
              <w:widowControl w:val="0"/>
              <w:autoSpaceDE w:val="0"/>
              <w:autoSpaceDN w:val="0"/>
              <w:adjustRightInd w:val="0"/>
              <w:jc w:val="right"/>
              <w:rPr>
                <w:rFonts w:cs="Century Gothic"/>
                <w:color w:val="000000"/>
                <w:sz w:val="18"/>
                <w:szCs w:val="18"/>
              </w:rPr>
            </w:pPr>
            <w:r w:rsidRPr="002B0964">
              <w:rPr>
                <w:rFonts w:cs="Arial"/>
                <w:sz w:val="18"/>
                <w:szCs w:val="18"/>
              </w:rPr>
              <w:t>97,207</w:t>
            </w:r>
          </w:p>
        </w:tc>
        <w:tc>
          <w:tcPr>
            <w:tcW w:w="1308" w:type="dxa"/>
            <w:tcBorders>
              <w:top w:val="single" w:sz="6" w:space="0" w:color="808080"/>
              <w:left w:val="nil"/>
              <w:bottom w:val="single" w:sz="6" w:space="0" w:color="808080"/>
              <w:right w:val="nil"/>
            </w:tcBorders>
          </w:tcPr>
          <w:p w14:paraId="1337E7C5"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99,061</w:t>
            </w:r>
          </w:p>
        </w:tc>
        <w:tc>
          <w:tcPr>
            <w:tcW w:w="1218" w:type="dxa"/>
            <w:gridSpan w:val="2"/>
            <w:tcBorders>
              <w:top w:val="single" w:sz="6" w:space="0" w:color="808080"/>
              <w:left w:val="nil"/>
              <w:bottom w:val="single" w:sz="6" w:space="0" w:color="808080"/>
              <w:right w:val="nil"/>
            </w:tcBorders>
            <w:vAlign w:val="bottom"/>
          </w:tcPr>
          <w:p w14:paraId="62C32829" w14:textId="44AB600A" w:rsidR="00480DE6" w:rsidRPr="002B0964"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115,400</w:t>
            </w:r>
          </w:p>
        </w:tc>
        <w:tc>
          <w:tcPr>
            <w:tcW w:w="1295" w:type="dxa"/>
            <w:gridSpan w:val="2"/>
            <w:tcBorders>
              <w:top w:val="single" w:sz="6" w:space="0" w:color="808080"/>
              <w:left w:val="nil"/>
              <w:bottom w:val="single" w:sz="6" w:space="0" w:color="808080"/>
              <w:right w:val="nil"/>
            </w:tcBorders>
            <w:vAlign w:val="center"/>
          </w:tcPr>
          <w:p w14:paraId="73E8A48D" w14:textId="21F3BD61" w:rsidR="00480DE6" w:rsidRPr="002B0964"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19%</w:t>
            </w:r>
          </w:p>
        </w:tc>
      </w:tr>
      <w:tr w:rsidR="00480DE6" w14:paraId="00BF6433" w14:textId="77777777" w:rsidTr="00547E58">
        <w:tblPrEx>
          <w:tblCellMar>
            <w:left w:w="115" w:type="dxa"/>
            <w:right w:w="115" w:type="dxa"/>
          </w:tblCellMar>
          <w:tblLook w:val="0000" w:firstRow="0" w:lastRow="0" w:firstColumn="0" w:lastColumn="0" w:noHBand="0" w:noVBand="0"/>
        </w:tblPrEx>
        <w:trPr>
          <w:trHeight w:val="129"/>
        </w:trPr>
        <w:tc>
          <w:tcPr>
            <w:tcW w:w="2557" w:type="dxa"/>
            <w:gridSpan w:val="2"/>
            <w:tcBorders>
              <w:top w:val="single" w:sz="6" w:space="0" w:color="808080"/>
              <w:left w:val="nil"/>
              <w:bottom w:val="single" w:sz="6" w:space="0" w:color="808080"/>
              <w:right w:val="nil"/>
            </w:tcBorders>
            <w:vAlign w:val="center"/>
          </w:tcPr>
          <w:p w14:paraId="269BC2F8"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South San Francisco</w:t>
            </w:r>
          </w:p>
        </w:tc>
        <w:tc>
          <w:tcPr>
            <w:tcW w:w="949" w:type="dxa"/>
            <w:tcBorders>
              <w:top w:val="single" w:sz="6" w:space="0" w:color="808080"/>
              <w:left w:val="nil"/>
              <w:bottom w:val="single" w:sz="6" w:space="0" w:color="808080"/>
              <w:right w:val="nil"/>
            </w:tcBorders>
            <w:vAlign w:val="bottom"/>
          </w:tcPr>
          <w:p w14:paraId="40936DF9"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60,552</w:t>
            </w:r>
          </w:p>
        </w:tc>
        <w:tc>
          <w:tcPr>
            <w:tcW w:w="900" w:type="dxa"/>
            <w:tcBorders>
              <w:top w:val="single" w:sz="6" w:space="0" w:color="808080"/>
              <w:left w:val="nil"/>
              <w:bottom w:val="single" w:sz="6" w:space="0" w:color="808080"/>
              <w:right w:val="nil"/>
            </w:tcBorders>
            <w:vAlign w:val="bottom"/>
          </w:tcPr>
          <w:p w14:paraId="72EEC70A"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63,632</w:t>
            </w:r>
          </w:p>
        </w:tc>
        <w:tc>
          <w:tcPr>
            <w:tcW w:w="1308" w:type="dxa"/>
            <w:tcBorders>
              <w:top w:val="single" w:sz="6" w:space="0" w:color="808080"/>
              <w:left w:val="nil"/>
              <w:bottom w:val="single" w:sz="6" w:space="0" w:color="808080"/>
              <w:right w:val="nil"/>
            </w:tcBorders>
          </w:tcPr>
          <w:p w14:paraId="4D56C5D0"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65,127</w:t>
            </w:r>
          </w:p>
        </w:tc>
        <w:tc>
          <w:tcPr>
            <w:tcW w:w="1218" w:type="dxa"/>
            <w:gridSpan w:val="2"/>
            <w:tcBorders>
              <w:top w:val="single" w:sz="6" w:space="0" w:color="808080"/>
              <w:left w:val="nil"/>
              <w:bottom w:val="single" w:sz="6" w:space="0" w:color="808080"/>
              <w:right w:val="nil"/>
            </w:tcBorders>
            <w:vAlign w:val="bottom"/>
          </w:tcPr>
          <w:p w14:paraId="14EFAE15" w14:textId="2092047A"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78,800</w:t>
            </w:r>
          </w:p>
        </w:tc>
        <w:tc>
          <w:tcPr>
            <w:tcW w:w="1295" w:type="dxa"/>
            <w:gridSpan w:val="2"/>
            <w:tcBorders>
              <w:top w:val="single" w:sz="6" w:space="0" w:color="808080"/>
              <w:left w:val="nil"/>
              <w:bottom w:val="single" w:sz="6" w:space="0" w:color="808080"/>
              <w:right w:val="nil"/>
            </w:tcBorders>
            <w:vAlign w:val="center"/>
          </w:tcPr>
          <w:p w14:paraId="49F61639" w14:textId="6D611316"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24%</w:t>
            </w:r>
          </w:p>
        </w:tc>
      </w:tr>
      <w:tr w:rsidR="00480DE6" w14:paraId="0618C4C1" w14:textId="77777777" w:rsidTr="00547E58">
        <w:tblPrEx>
          <w:tblCellMar>
            <w:left w:w="115" w:type="dxa"/>
            <w:right w:w="115" w:type="dxa"/>
          </w:tblCellMar>
          <w:tblLook w:val="0000" w:firstRow="0" w:lastRow="0" w:firstColumn="0" w:lastColumn="0" w:noHBand="0" w:noVBand="0"/>
        </w:tblPrEx>
        <w:trPr>
          <w:trHeight w:val="45"/>
        </w:trPr>
        <w:tc>
          <w:tcPr>
            <w:tcW w:w="2557" w:type="dxa"/>
            <w:gridSpan w:val="2"/>
            <w:tcBorders>
              <w:top w:val="single" w:sz="6" w:space="0" w:color="808080"/>
              <w:left w:val="nil"/>
              <w:bottom w:val="single" w:sz="6" w:space="0" w:color="auto"/>
              <w:right w:val="nil"/>
            </w:tcBorders>
            <w:vAlign w:val="center"/>
          </w:tcPr>
          <w:p w14:paraId="4973A3B0"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Woodside</w:t>
            </w:r>
          </w:p>
        </w:tc>
        <w:tc>
          <w:tcPr>
            <w:tcW w:w="949" w:type="dxa"/>
            <w:tcBorders>
              <w:top w:val="single" w:sz="6" w:space="0" w:color="808080"/>
              <w:left w:val="nil"/>
              <w:bottom w:val="single" w:sz="6" w:space="0" w:color="auto"/>
              <w:right w:val="nil"/>
            </w:tcBorders>
            <w:vAlign w:val="bottom"/>
          </w:tcPr>
          <w:p w14:paraId="745B6263"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5,352</w:t>
            </w:r>
          </w:p>
        </w:tc>
        <w:tc>
          <w:tcPr>
            <w:tcW w:w="900" w:type="dxa"/>
            <w:tcBorders>
              <w:top w:val="single" w:sz="6" w:space="0" w:color="808080"/>
              <w:left w:val="nil"/>
              <w:bottom w:val="single" w:sz="6" w:space="0" w:color="auto"/>
              <w:right w:val="nil"/>
            </w:tcBorders>
            <w:vAlign w:val="bottom"/>
          </w:tcPr>
          <w:p w14:paraId="70DA7842" w14:textId="77777777" w:rsidR="00480DE6" w:rsidRPr="00A66C5C" w:rsidRDefault="00480DE6" w:rsidP="002B0964">
            <w:pPr>
              <w:widowControl w:val="0"/>
              <w:autoSpaceDE w:val="0"/>
              <w:autoSpaceDN w:val="0"/>
              <w:adjustRightInd w:val="0"/>
              <w:jc w:val="right"/>
              <w:rPr>
                <w:rFonts w:cs="Century Gothic"/>
                <w:color w:val="000000"/>
                <w:sz w:val="18"/>
                <w:szCs w:val="18"/>
              </w:rPr>
            </w:pPr>
            <w:r w:rsidRPr="00A66C5C">
              <w:rPr>
                <w:rFonts w:cs="Arial"/>
                <w:sz w:val="18"/>
                <w:szCs w:val="18"/>
              </w:rPr>
              <w:t>5,287</w:t>
            </w:r>
          </w:p>
        </w:tc>
        <w:tc>
          <w:tcPr>
            <w:tcW w:w="1308" w:type="dxa"/>
            <w:tcBorders>
              <w:top w:val="single" w:sz="6" w:space="0" w:color="808080"/>
              <w:left w:val="nil"/>
              <w:bottom w:val="single" w:sz="6" w:space="0" w:color="auto"/>
              <w:right w:val="nil"/>
            </w:tcBorders>
          </w:tcPr>
          <w:p w14:paraId="08446568"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5,441</w:t>
            </w:r>
          </w:p>
        </w:tc>
        <w:tc>
          <w:tcPr>
            <w:tcW w:w="1218" w:type="dxa"/>
            <w:gridSpan w:val="2"/>
            <w:tcBorders>
              <w:top w:val="single" w:sz="6" w:space="0" w:color="808080"/>
              <w:left w:val="nil"/>
              <w:bottom w:val="single" w:sz="6" w:space="0" w:color="auto"/>
              <w:right w:val="nil"/>
            </w:tcBorders>
            <w:vAlign w:val="bottom"/>
          </w:tcPr>
          <w:p w14:paraId="42F2E9C6" w14:textId="10BB42A0"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sz w:val="18"/>
                <w:szCs w:val="18"/>
              </w:rPr>
              <w:t>5,600</w:t>
            </w:r>
          </w:p>
        </w:tc>
        <w:tc>
          <w:tcPr>
            <w:tcW w:w="1295" w:type="dxa"/>
            <w:gridSpan w:val="2"/>
            <w:tcBorders>
              <w:top w:val="single" w:sz="6" w:space="0" w:color="808080"/>
              <w:left w:val="nil"/>
              <w:bottom w:val="single" w:sz="6" w:space="0" w:color="auto"/>
              <w:right w:val="nil"/>
            </w:tcBorders>
            <w:vAlign w:val="center"/>
          </w:tcPr>
          <w:p w14:paraId="7BFF2419" w14:textId="0CA5D0F0"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6%</w:t>
            </w:r>
          </w:p>
        </w:tc>
      </w:tr>
      <w:tr w:rsidR="00480DE6" w14:paraId="7532CE68" w14:textId="77777777" w:rsidTr="00547E58">
        <w:tblPrEx>
          <w:tblCellMar>
            <w:left w:w="115" w:type="dxa"/>
            <w:right w:w="115" w:type="dxa"/>
          </w:tblCellMar>
          <w:tblLook w:val="0000" w:firstRow="0" w:lastRow="0" w:firstColumn="0" w:lastColumn="0" w:noHBand="0" w:noVBand="0"/>
        </w:tblPrEx>
        <w:trPr>
          <w:trHeight w:val="45"/>
        </w:trPr>
        <w:tc>
          <w:tcPr>
            <w:tcW w:w="2557" w:type="dxa"/>
            <w:gridSpan w:val="2"/>
            <w:tcBorders>
              <w:top w:val="single" w:sz="6" w:space="0" w:color="808080"/>
              <w:left w:val="nil"/>
              <w:bottom w:val="single" w:sz="6" w:space="0" w:color="auto"/>
              <w:right w:val="nil"/>
            </w:tcBorders>
            <w:vAlign w:val="center"/>
          </w:tcPr>
          <w:p w14:paraId="7F40C25A" w14:textId="77777777" w:rsidR="00480DE6" w:rsidRDefault="00480DE6" w:rsidP="002B0964">
            <w:pPr>
              <w:widowControl w:val="0"/>
              <w:autoSpaceDE w:val="0"/>
              <w:autoSpaceDN w:val="0"/>
              <w:adjustRightInd w:val="0"/>
              <w:rPr>
                <w:color w:val="000000"/>
                <w:sz w:val="18"/>
                <w:szCs w:val="18"/>
              </w:rPr>
            </w:pPr>
            <w:r>
              <w:rPr>
                <w:color w:val="000000"/>
                <w:sz w:val="18"/>
                <w:szCs w:val="18"/>
              </w:rPr>
              <w:t>Unincorporated</w:t>
            </w:r>
          </w:p>
        </w:tc>
        <w:tc>
          <w:tcPr>
            <w:tcW w:w="949" w:type="dxa"/>
            <w:tcBorders>
              <w:top w:val="single" w:sz="6" w:space="0" w:color="808080"/>
              <w:left w:val="nil"/>
              <w:bottom w:val="single" w:sz="6" w:space="0" w:color="auto"/>
              <w:right w:val="nil"/>
            </w:tcBorders>
            <w:vAlign w:val="bottom"/>
          </w:tcPr>
          <w:p w14:paraId="726CF745" w14:textId="77777777" w:rsidR="00480DE6" w:rsidRDefault="00480DE6" w:rsidP="002B0964">
            <w:pPr>
              <w:widowControl w:val="0"/>
              <w:autoSpaceDE w:val="0"/>
              <w:autoSpaceDN w:val="0"/>
              <w:adjustRightInd w:val="0"/>
              <w:jc w:val="right"/>
              <w:rPr>
                <w:color w:val="000000"/>
                <w:sz w:val="18"/>
                <w:szCs w:val="18"/>
              </w:rPr>
            </w:pPr>
            <w:r>
              <w:rPr>
                <w:color w:val="000000"/>
                <w:sz w:val="18"/>
                <w:szCs w:val="18"/>
              </w:rPr>
              <w:t>61,277</w:t>
            </w:r>
          </w:p>
        </w:tc>
        <w:tc>
          <w:tcPr>
            <w:tcW w:w="900" w:type="dxa"/>
            <w:tcBorders>
              <w:top w:val="single" w:sz="6" w:space="0" w:color="808080"/>
              <w:left w:val="nil"/>
              <w:bottom w:val="single" w:sz="6" w:space="0" w:color="auto"/>
              <w:right w:val="nil"/>
            </w:tcBorders>
            <w:vAlign w:val="bottom"/>
          </w:tcPr>
          <w:p w14:paraId="59570694" w14:textId="77777777" w:rsidR="00480DE6" w:rsidRPr="00A66C5C" w:rsidRDefault="00480DE6" w:rsidP="002B0964">
            <w:pPr>
              <w:widowControl w:val="0"/>
              <w:autoSpaceDE w:val="0"/>
              <w:autoSpaceDN w:val="0"/>
              <w:adjustRightInd w:val="0"/>
              <w:jc w:val="right"/>
              <w:rPr>
                <w:rFonts w:cs="Arial"/>
                <w:sz w:val="18"/>
                <w:szCs w:val="18"/>
              </w:rPr>
            </w:pPr>
            <w:r>
              <w:rPr>
                <w:rFonts w:cs="Arial"/>
                <w:sz w:val="18"/>
                <w:szCs w:val="18"/>
              </w:rPr>
              <w:t>61,611</w:t>
            </w:r>
          </w:p>
        </w:tc>
        <w:tc>
          <w:tcPr>
            <w:tcW w:w="1308" w:type="dxa"/>
            <w:tcBorders>
              <w:top w:val="single" w:sz="6" w:space="0" w:color="808080"/>
              <w:left w:val="nil"/>
              <w:bottom w:val="single" w:sz="6" w:space="0" w:color="auto"/>
              <w:right w:val="nil"/>
            </w:tcBorders>
          </w:tcPr>
          <w:p w14:paraId="7AA446FC" w14:textId="77777777" w:rsidR="00480DE6" w:rsidRPr="005B7C27" w:rsidRDefault="00480DE6" w:rsidP="002B0964">
            <w:pPr>
              <w:widowControl w:val="0"/>
              <w:autoSpaceDE w:val="0"/>
              <w:autoSpaceDN w:val="0"/>
              <w:adjustRightInd w:val="0"/>
              <w:jc w:val="right"/>
              <w:rPr>
                <w:color w:val="000000" w:themeColor="text1"/>
                <w:sz w:val="18"/>
                <w:szCs w:val="18"/>
              </w:rPr>
            </w:pPr>
            <w:r>
              <w:rPr>
                <w:color w:val="000000" w:themeColor="text1"/>
                <w:sz w:val="18"/>
                <w:szCs w:val="18"/>
              </w:rPr>
              <w:t>63,603</w:t>
            </w:r>
          </w:p>
        </w:tc>
        <w:tc>
          <w:tcPr>
            <w:tcW w:w="1218" w:type="dxa"/>
            <w:gridSpan w:val="2"/>
            <w:tcBorders>
              <w:top w:val="single" w:sz="6" w:space="0" w:color="808080"/>
              <w:left w:val="nil"/>
              <w:bottom w:val="single" w:sz="6" w:space="0" w:color="auto"/>
              <w:right w:val="nil"/>
            </w:tcBorders>
            <w:vAlign w:val="bottom"/>
          </w:tcPr>
          <w:p w14:paraId="0B442EFB" w14:textId="3BED7328" w:rsidR="00480DE6" w:rsidRDefault="00480DE6" w:rsidP="002B0964">
            <w:pPr>
              <w:widowControl w:val="0"/>
              <w:autoSpaceDE w:val="0"/>
              <w:autoSpaceDN w:val="0"/>
              <w:adjustRightInd w:val="0"/>
              <w:jc w:val="right"/>
              <w:rPr>
                <w:color w:val="000000"/>
                <w:sz w:val="18"/>
                <w:szCs w:val="18"/>
              </w:rPr>
            </w:pPr>
            <w:r w:rsidRPr="00E37C37">
              <w:rPr>
                <w:rFonts w:eastAsia="Times New Roman" w:cs="Tahoma"/>
                <w:sz w:val="18"/>
                <w:szCs w:val="18"/>
              </w:rPr>
              <w:t>73,900</w:t>
            </w:r>
          </w:p>
        </w:tc>
        <w:tc>
          <w:tcPr>
            <w:tcW w:w="1295" w:type="dxa"/>
            <w:gridSpan w:val="2"/>
            <w:tcBorders>
              <w:top w:val="single" w:sz="6" w:space="0" w:color="808080"/>
              <w:left w:val="nil"/>
              <w:bottom w:val="single" w:sz="6" w:space="0" w:color="auto"/>
              <w:right w:val="nil"/>
            </w:tcBorders>
            <w:vAlign w:val="center"/>
          </w:tcPr>
          <w:p w14:paraId="51CB095B" w14:textId="658D8EDB" w:rsidR="00480DE6" w:rsidRDefault="00480DE6" w:rsidP="002B0964">
            <w:pPr>
              <w:widowControl w:val="0"/>
              <w:autoSpaceDE w:val="0"/>
              <w:autoSpaceDN w:val="0"/>
              <w:adjustRightInd w:val="0"/>
              <w:jc w:val="right"/>
              <w:rPr>
                <w:color w:val="000000"/>
                <w:sz w:val="18"/>
                <w:szCs w:val="18"/>
              </w:rPr>
            </w:pPr>
            <w:r w:rsidRPr="00E37C37">
              <w:rPr>
                <w:rFonts w:eastAsia="Times New Roman" w:cs="Times New Roman"/>
                <w:color w:val="000000"/>
                <w:sz w:val="18"/>
                <w:szCs w:val="18"/>
              </w:rPr>
              <w:t>20%</w:t>
            </w:r>
          </w:p>
        </w:tc>
      </w:tr>
      <w:tr w:rsidR="00480DE6" w14:paraId="29902057" w14:textId="77777777" w:rsidTr="00547E58">
        <w:tblPrEx>
          <w:tblCellMar>
            <w:left w:w="115" w:type="dxa"/>
            <w:right w:w="115" w:type="dxa"/>
          </w:tblCellMar>
          <w:tblLook w:val="0000" w:firstRow="0" w:lastRow="0" w:firstColumn="0" w:lastColumn="0" w:noHBand="0" w:noVBand="0"/>
        </w:tblPrEx>
        <w:trPr>
          <w:trHeight w:val="138"/>
        </w:trPr>
        <w:tc>
          <w:tcPr>
            <w:tcW w:w="2557" w:type="dxa"/>
            <w:gridSpan w:val="2"/>
            <w:tcBorders>
              <w:top w:val="single" w:sz="6" w:space="0" w:color="auto"/>
              <w:left w:val="nil"/>
              <w:bottom w:val="single" w:sz="6" w:space="0" w:color="auto"/>
              <w:right w:val="nil"/>
            </w:tcBorders>
            <w:vAlign w:val="center"/>
          </w:tcPr>
          <w:p w14:paraId="392570A1" w14:textId="77777777" w:rsidR="00480DE6" w:rsidRDefault="00480DE6" w:rsidP="002B0964">
            <w:pPr>
              <w:widowControl w:val="0"/>
              <w:autoSpaceDE w:val="0"/>
              <w:autoSpaceDN w:val="0"/>
              <w:adjustRightInd w:val="0"/>
              <w:rPr>
                <w:rFonts w:cs="Century Gothic"/>
                <w:color w:val="000000"/>
                <w:sz w:val="18"/>
                <w:szCs w:val="18"/>
              </w:rPr>
            </w:pPr>
            <w:r>
              <w:rPr>
                <w:color w:val="000000"/>
                <w:sz w:val="18"/>
                <w:szCs w:val="18"/>
              </w:rPr>
              <w:t>San Mateo County Total</w:t>
            </w:r>
          </w:p>
        </w:tc>
        <w:tc>
          <w:tcPr>
            <w:tcW w:w="949" w:type="dxa"/>
            <w:tcBorders>
              <w:top w:val="single" w:sz="6" w:space="0" w:color="auto"/>
              <w:left w:val="nil"/>
              <w:bottom w:val="single" w:sz="6" w:space="0" w:color="auto"/>
              <w:right w:val="nil"/>
            </w:tcBorders>
            <w:vAlign w:val="bottom"/>
          </w:tcPr>
          <w:p w14:paraId="6C5EAC46"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707,163</w:t>
            </w:r>
          </w:p>
        </w:tc>
        <w:tc>
          <w:tcPr>
            <w:tcW w:w="900" w:type="dxa"/>
            <w:tcBorders>
              <w:top w:val="single" w:sz="6" w:space="0" w:color="auto"/>
              <w:left w:val="nil"/>
              <w:bottom w:val="single" w:sz="6" w:space="0" w:color="auto"/>
              <w:right w:val="nil"/>
            </w:tcBorders>
            <w:vAlign w:val="bottom"/>
          </w:tcPr>
          <w:p w14:paraId="0703E6D4" w14:textId="77777777" w:rsidR="00480DE6" w:rsidRDefault="00480DE6" w:rsidP="002B0964">
            <w:pPr>
              <w:widowControl w:val="0"/>
              <w:autoSpaceDE w:val="0"/>
              <w:autoSpaceDN w:val="0"/>
              <w:adjustRightInd w:val="0"/>
              <w:jc w:val="right"/>
              <w:rPr>
                <w:rFonts w:cs="Century Gothic"/>
                <w:color w:val="000000"/>
                <w:sz w:val="18"/>
                <w:szCs w:val="18"/>
              </w:rPr>
            </w:pPr>
            <w:r>
              <w:rPr>
                <w:color w:val="000000"/>
                <w:sz w:val="18"/>
                <w:szCs w:val="18"/>
              </w:rPr>
              <w:t>718,451</w:t>
            </w:r>
          </w:p>
        </w:tc>
        <w:tc>
          <w:tcPr>
            <w:tcW w:w="1308" w:type="dxa"/>
            <w:tcBorders>
              <w:top w:val="single" w:sz="6" w:space="0" w:color="auto"/>
              <w:left w:val="nil"/>
              <w:bottom w:val="single" w:sz="6" w:space="0" w:color="auto"/>
              <w:right w:val="nil"/>
            </w:tcBorders>
          </w:tcPr>
          <w:p w14:paraId="3BBB0DFC" w14:textId="77777777" w:rsidR="00480DE6" w:rsidRPr="00C30273" w:rsidRDefault="00480DE6" w:rsidP="002B0964">
            <w:pPr>
              <w:widowControl w:val="0"/>
              <w:autoSpaceDE w:val="0"/>
              <w:autoSpaceDN w:val="0"/>
              <w:adjustRightInd w:val="0"/>
              <w:jc w:val="right"/>
              <w:rPr>
                <w:color w:val="000000" w:themeColor="text1"/>
                <w:sz w:val="18"/>
                <w:szCs w:val="18"/>
              </w:rPr>
            </w:pPr>
            <w:r w:rsidRPr="00C30273">
              <w:rPr>
                <w:color w:val="000000" w:themeColor="text1"/>
                <w:sz w:val="18"/>
                <w:szCs w:val="18"/>
              </w:rPr>
              <w:t>735,678</w:t>
            </w:r>
          </w:p>
        </w:tc>
        <w:tc>
          <w:tcPr>
            <w:tcW w:w="1218" w:type="dxa"/>
            <w:gridSpan w:val="2"/>
            <w:tcBorders>
              <w:top w:val="single" w:sz="6" w:space="0" w:color="auto"/>
              <w:left w:val="nil"/>
              <w:bottom w:val="single" w:sz="6" w:space="0" w:color="auto"/>
              <w:right w:val="nil"/>
            </w:tcBorders>
            <w:vAlign w:val="bottom"/>
          </w:tcPr>
          <w:p w14:paraId="12145484" w14:textId="7260341A"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ahoma"/>
                <w:bCs/>
                <w:sz w:val="18"/>
                <w:szCs w:val="18"/>
              </w:rPr>
              <w:t>836,100</w:t>
            </w:r>
          </w:p>
        </w:tc>
        <w:tc>
          <w:tcPr>
            <w:tcW w:w="1295" w:type="dxa"/>
            <w:gridSpan w:val="2"/>
            <w:tcBorders>
              <w:top w:val="single" w:sz="6" w:space="0" w:color="auto"/>
              <w:left w:val="nil"/>
              <w:bottom w:val="single" w:sz="6" w:space="0" w:color="auto"/>
              <w:right w:val="nil"/>
            </w:tcBorders>
            <w:vAlign w:val="center"/>
          </w:tcPr>
          <w:p w14:paraId="30FB08DF" w14:textId="12170F47" w:rsidR="00480DE6" w:rsidRDefault="00480DE6" w:rsidP="002B0964">
            <w:pPr>
              <w:widowControl w:val="0"/>
              <w:autoSpaceDE w:val="0"/>
              <w:autoSpaceDN w:val="0"/>
              <w:adjustRightInd w:val="0"/>
              <w:jc w:val="right"/>
              <w:rPr>
                <w:rFonts w:cs="Century Gothic"/>
                <w:color w:val="000000"/>
                <w:sz w:val="18"/>
                <w:szCs w:val="18"/>
              </w:rPr>
            </w:pPr>
            <w:r w:rsidRPr="00E37C37">
              <w:rPr>
                <w:rFonts w:eastAsia="Times New Roman" w:cs="Times New Roman"/>
                <w:color w:val="000000"/>
                <w:sz w:val="18"/>
                <w:szCs w:val="18"/>
              </w:rPr>
              <w:t>16%</w:t>
            </w:r>
          </w:p>
        </w:tc>
      </w:tr>
      <w:tr w:rsidR="002B0964" w14:paraId="51EE19FF" w14:textId="77777777" w:rsidTr="002B0964">
        <w:tblPrEx>
          <w:tblCellMar>
            <w:left w:w="115" w:type="dxa"/>
            <w:right w:w="115" w:type="dxa"/>
          </w:tblCellMar>
          <w:tblLook w:val="0000" w:firstRow="0" w:lastRow="0" w:firstColumn="0" w:lastColumn="0" w:noHBand="0" w:noVBand="0"/>
        </w:tblPrEx>
        <w:trPr>
          <w:trHeight w:val="138"/>
        </w:trPr>
        <w:tc>
          <w:tcPr>
            <w:tcW w:w="8227" w:type="dxa"/>
            <w:gridSpan w:val="9"/>
            <w:tcBorders>
              <w:top w:val="single" w:sz="6" w:space="0" w:color="auto"/>
              <w:left w:val="nil"/>
              <w:right w:val="nil"/>
            </w:tcBorders>
            <w:vAlign w:val="center"/>
          </w:tcPr>
          <w:p w14:paraId="19356E78" w14:textId="77777777" w:rsidR="002B0964" w:rsidRPr="001C1F0F" w:rsidRDefault="002B0964" w:rsidP="002B0964">
            <w:pPr>
              <w:widowControl w:val="0"/>
              <w:autoSpaceDE w:val="0"/>
              <w:autoSpaceDN w:val="0"/>
              <w:adjustRightInd w:val="0"/>
              <w:ind w:right="-1915"/>
              <w:rPr>
                <w:color w:val="000000"/>
                <w:sz w:val="10"/>
                <w:szCs w:val="18"/>
              </w:rPr>
            </w:pPr>
          </w:p>
          <w:p w14:paraId="31DBA24C" w14:textId="23DD33A9" w:rsidR="002B0964" w:rsidRDefault="00480DE6" w:rsidP="002B0964">
            <w:pPr>
              <w:widowControl w:val="0"/>
              <w:autoSpaceDE w:val="0"/>
              <w:autoSpaceDN w:val="0"/>
              <w:adjustRightInd w:val="0"/>
              <w:rPr>
                <w:color w:val="000000"/>
                <w:sz w:val="18"/>
                <w:szCs w:val="18"/>
              </w:rPr>
            </w:pPr>
            <w:r>
              <w:rPr>
                <w:color w:val="000000"/>
                <w:sz w:val="18"/>
                <w:szCs w:val="18"/>
              </w:rPr>
              <w:t xml:space="preserve">Source: </w:t>
            </w:r>
            <w:r w:rsidRPr="00C433BE">
              <w:rPr>
                <w:rFonts w:cs="Century Gothic"/>
                <w:iCs/>
                <w:color w:val="000000"/>
                <w:sz w:val="18"/>
                <w:szCs w:val="16"/>
              </w:rPr>
              <w:t xml:space="preserve">U.S. Census (2000 and 2010); CA Department of Finance (2013); </w:t>
            </w:r>
            <w:r>
              <w:rPr>
                <w:rFonts w:cs="Century Gothic"/>
                <w:iCs/>
                <w:color w:val="000000"/>
                <w:sz w:val="18"/>
                <w:szCs w:val="16"/>
              </w:rPr>
              <w:t xml:space="preserve">and, </w:t>
            </w:r>
            <w:r w:rsidRPr="00C433BE">
              <w:rPr>
                <w:rFonts w:cs="Century Gothic"/>
                <w:iCs/>
                <w:color w:val="000000"/>
                <w:sz w:val="18"/>
                <w:szCs w:val="16"/>
              </w:rPr>
              <w:t>Association of Bay Area Governments, Projections 20</w:t>
            </w:r>
            <w:r>
              <w:rPr>
                <w:rFonts w:cs="Century Gothic"/>
                <w:iCs/>
                <w:color w:val="000000"/>
                <w:sz w:val="18"/>
                <w:szCs w:val="16"/>
              </w:rPr>
              <w:t>13</w:t>
            </w:r>
          </w:p>
        </w:tc>
      </w:tr>
    </w:tbl>
    <w:p w14:paraId="3668240E" w14:textId="77777777" w:rsidR="002B0964" w:rsidRDefault="002B0964" w:rsidP="002B0964">
      <w:pPr>
        <w:widowControl w:val="0"/>
        <w:autoSpaceDE w:val="0"/>
        <w:autoSpaceDN w:val="0"/>
        <w:adjustRightInd w:val="0"/>
        <w:rPr>
          <w:rFonts w:ascii="ArialMT" w:hAnsi="ArialMT" w:cs="ArialMT"/>
          <w:szCs w:val="22"/>
        </w:rPr>
      </w:pPr>
    </w:p>
    <w:p w14:paraId="56F9A096" w14:textId="38905412" w:rsidR="00953768" w:rsidRDefault="004B6601" w:rsidP="00067077">
      <w:pPr>
        <w:pStyle w:val="21ElementsText"/>
      </w:pPr>
      <w:r>
        <w:t>The graph below and th</w:t>
      </w:r>
      <w:r w:rsidR="00953768">
        <w:t xml:space="preserve">e table that follows, show population trends in </w:t>
      </w:r>
      <w:r w:rsidR="00853231">
        <w:t>Hillsborough</w:t>
      </w:r>
      <w:r w:rsidR="00953768">
        <w:t xml:space="preserve"> itself and in comparison to the rate of population growth in San Mateo County as a whole and throughout the State of California. </w:t>
      </w:r>
    </w:p>
    <w:p w14:paraId="4EB3E21B" w14:textId="5CD79920" w:rsidR="002C36FD" w:rsidRDefault="007B7EDB" w:rsidP="00F12F9F">
      <w:r>
        <w:rPr>
          <w:noProof/>
        </w:rPr>
        <w:drawing>
          <wp:inline distT="0" distB="0" distL="0" distR="0" wp14:anchorId="561A3F69" wp14:editId="47FF705E">
            <wp:extent cx="5486400" cy="3209290"/>
            <wp:effectExtent l="0" t="0" r="0" b="0"/>
            <wp:docPr id="1" name="Chart 1" title="Population Growth in Atherton (1990-20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4CE4AF" w14:textId="530FF80F" w:rsidR="007B67EC" w:rsidRPr="00C433BE" w:rsidRDefault="007B67EC" w:rsidP="007B67EC">
      <w:pPr>
        <w:tabs>
          <w:tab w:val="right" w:pos="7740"/>
        </w:tabs>
        <w:spacing w:line="240" w:lineRule="auto"/>
        <w:ind w:left="810" w:right="1620"/>
        <w:rPr>
          <w:sz w:val="24"/>
        </w:rPr>
      </w:pPr>
      <w:r w:rsidRPr="00C433BE">
        <w:rPr>
          <w:rFonts w:cs="Century Gothic"/>
          <w:iCs/>
          <w:color w:val="000000"/>
          <w:sz w:val="18"/>
          <w:szCs w:val="16"/>
        </w:rPr>
        <w:t>Source: U.S. Census (1990, 2000 and 2010); Association of Bay Area Governments, Projections 20</w:t>
      </w:r>
      <w:r w:rsidR="007B7EDB">
        <w:rPr>
          <w:rFonts w:cs="Century Gothic"/>
          <w:iCs/>
          <w:color w:val="000000"/>
          <w:sz w:val="18"/>
          <w:szCs w:val="16"/>
        </w:rPr>
        <w:t>13</w:t>
      </w:r>
      <w:r w:rsidRPr="00C433BE">
        <w:rPr>
          <w:rFonts w:cs="Century Gothic"/>
          <w:iCs/>
          <w:color w:val="000000"/>
          <w:sz w:val="18"/>
          <w:szCs w:val="16"/>
        </w:rPr>
        <w:t xml:space="preserve"> </w:t>
      </w:r>
      <w:r w:rsidR="00F12F9F">
        <w:rPr>
          <w:rFonts w:cs="Century Gothic"/>
          <w:iCs/>
          <w:color w:val="000000"/>
          <w:sz w:val="18"/>
          <w:szCs w:val="16"/>
        </w:rPr>
        <w:t>for the years 2020 and 2030</w:t>
      </w:r>
    </w:p>
    <w:p w14:paraId="6CEDD5CD" w14:textId="77777777" w:rsidR="007B67EC" w:rsidRPr="007B67EC" w:rsidRDefault="007B67EC" w:rsidP="00067077">
      <w:pPr>
        <w:rPr>
          <w:sz w:val="28"/>
        </w:rPr>
      </w:pPr>
    </w:p>
    <w:tbl>
      <w:tblPr>
        <w:tblW w:w="9390" w:type="dxa"/>
        <w:tblInd w:w="93" w:type="dxa"/>
        <w:tblLayout w:type="fixed"/>
        <w:tblLook w:val="04A0" w:firstRow="1" w:lastRow="0" w:firstColumn="1" w:lastColumn="0" w:noHBand="0" w:noVBand="1"/>
      </w:tblPr>
      <w:tblGrid>
        <w:gridCol w:w="1926"/>
        <w:gridCol w:w="1329"/>
        <w:gridCol w:w="1189"/>
        <w:gridCol w:w="1350"/>
        <w:gridCol w:w="1331"/>
        <w:gridCol w:w="1210"/>
        <w:gridCol w:w="295"/>
        <w:gridCol w:w="760"/>
      </w:tblGrid>
      <w:tr w:rsidR="00F4100C" w:rsidRPr="00F4100C" w14:paraId="127E24B3" w14:textId="77777777" w:rsidTr="003B2F93">
        <w:trPr>
          <w:trHeight w:val="300"/>
        </w:trPr>
        <w:tc>
          <w:tcPr>
            <w:tcW w:w="9390" w:type="dxa"/>
            <w:gridSpan w:val="8"/>
            <w:tcBorders>
              <w:top w:val="nil"/>
              <w:left w:val="nil"/>
              <w:bottom w:val="nil"/>
              <w:right w:val="nil"/>
            </w:tcBorders>
            <w:shd w:val="clear" w:color="000000" w:fill="000000"/>
            <w:noWrap/>
            <w:vAlign w:val="bottom"/>
            <w:hideMark/>
          </w:tcPr>
          <w:p w14:paraId="034894B9" w14:textId="2B9F42C5" w:rsidR="00F4100C" w:rsidRPr="003B2F93" w:rsidRDefault="00030E6D" w:rsidP="00A03E5F">
            <w:pPr>
              <w:rPr>
                <w:rFonts w:eastAsia="Times New Roman" w:cs="Times New Roman"/>
                <w:b/>
                <w:bCs/>
                <w:color w:val="FFFFFF"/>
                <w:sz w:val="20"/>
                <w:szCs w:val="20"/>
              </w:rPr>
            </w:pPr>
            <w:r w:rsidRPr="003B2F93">
              <w:rPr>
                <w:rFonts w:eastAsia="Times New Roman" w:cs="Times New Roman"/>
                <w:b/>
                <w:bCs/>
                <w:color w:val="FFFFFF"/>
                <w:sz w:val="20"/>
                <w:szCs w:val="20"/>
              </w:rPr>
              <w:t>Comparison of P</w:t>
            </w:r>
            <w:r w:rsidR="00F4100C" w:rsidRPr="003B2F93">
              <w:rPr>
                <w:rFonts w:eastAsia="Times New Roman" w:cs="Times New Roman"/>
                <w:b/>
                <w:bCs/>
                <w:color w:val="FFFFFF"/>
                <w:sz w:val="20"/>
                <w:szCs w:val="20"/>
              </w:rPr>
              <w:t>opulation Growth</w:t>
            </w:r>
            <w:r w:rsidR="00A03E5F" w:rsidRPr="003B2F93">
              <w:rPr>
                <w:rFonts w:eastAsia="Times New Roman" w:cs="Times New Roman"/>
                <w:b/>
                <w:bCs/>
                <w:color w:val="FFFFFF"/>
                <w:sz w:val="20"/>
                <w:szCs w:val="20"/>
              </w:rPr>
              <w:t xml:space="preserve"> Trends and Projections</w:t>
            </w:r>
            <w:r w:rsidR="003B2F93" w:rsidRPr="003B2F93">
              <w:rPr>
                <w:rFonts w:eastAsia="Times New Roman" w:cs="Times New Roman"/>
                <w:b/>
                <w:bCs/>
                <w:color w:val="FFFFFF"/>
                <w:sz w:val="20"/>
                <w:szCs w:val="20"/>
              </w:rPr>
              <w:t xml:space="preserve"> (1990-2030)</w:t>
            </w:r>
          </w:p>
        </w:tc>
      </w:tr>
      <w:tr w:rsidR="00F4100C" w:rsidRPr="00F4100C" w14:paraId="42FDAB5E" w14:textId="77777777" w:rsidTr="003B2F93">
        <w:trPr>
          <w:trHeight w:val="300"/>
        </w:trPr>
        <w:tc>
          <w:tcPr>
            <w:tcW w:w="1926" w:type="dxa"/>
            <w:tcBorders>
              <w:top w:val="nil"/>
              <w:left w:val="nil"/>
              <w:bottom w:val="nil"/>
              <w:right w:val="nil"/>
            </w:tcBorders>
            <w:shd w:val="clear" w:color="auto" w:fill="auto"/>
            <w:noWrap/>
            <w:vAlign w:val="bottom"/>
            <w:hideMark/>
          </w:tcPr>
          <w:p w14:paraId="0C52A6F1" w14:textId="77777777" w:rsidR="00F4100C" w:rsidRPr="00F4100C" w:rsidRDefault="00F4100C" w:rsidP="00C433BE">
            <w:pPr>
              <w:spacing w:line="240" w:lineRule="auto"/>
              <w:rPr>
                <w:rFonts w:eastAsia="Times New Roman" w:cs="Times New Roman"/>
                <w:i/>
                <w:iCs/>
                <w:color w:val="000000"/>
                <w:sz w:val="18"/>
                <w:szCs w:val="18"/>
              </w:rPr>
            </w:pPr>
          </w:p>
        </w:tc>
        <w:tc>
          <w:tcPr>
            <w:tcW w:w="3868" w:type="dxa"/>
            <w:gridSpan w:val="3"/>
            <w:tcBorders>
              <w:top w:val="nil"/>
              <w:left w:val="nil"/>
              <w:bottom w:val="nil"/>
              <w:right w:val="nil"/>
            </w:tcBorders>
            <w:shd w:val="clear" w:color="auto" w:fill="auto"/>
            <w:noWrap/>
            <w:vAlign w:val="bottom"/>
            <w:hideMark/>
          </w:tcPr>
          <w:p w14:paraId="3CF77DCB" w14:textId="77777777" w:rsidR="00F4100C" w:rsidRPr="003B2F93" w:rsidRDefault="00F4100C" w:rsidP="00C433BE">
            <w:pPr>
              <w:spacing w:line="240" w:lineRule="auto"/>
              <w:jc w:val="center"/>
              <w:rPr>
                <w:rFonts w:eastAsia="Times New Roman" w:cs="Times New Roman"/>
                <w:b/>
                <w:bCs/>
                <w:color w:val="000000"/>
                <w:sz w:val="18"/>
                <w:szCs w:val="18"/>
              </w:rPr>
            </w:pPr>
            <w:r w:rsidRPr="003B2F93">
              <w:rPr>
                <w:rFonts w:eastAsia="Times New Roman" w:cs="Times New Roman"/>
                <w:b/>
                <w:bCs/>
                <w:color w:val="000000"/>
                <w:sz w:val="18"/>
                <w:szCs w:val="18"/>
              </w:rPr>
              <w:t>Number</w:t>
            </w:r>
          </w:p>
          <w:p w14:paraId="59DB1514" w14:textId="77777777" w:rsidR="00C433BE" w:rsidRPr="003B2F93" w:rsidRDefault="00C433BE" w:rsidP="00C433BE">
            <w:pPr>
              <w:spacing w:line="240" w:lineRule="auto"/>
              <w:jc w:val="center"/>
              <w:rPr>
                <w:rFonts w:eastAsia="Times New Roman" w:cs="Times New Roman"/>
                <w:b/>
                <w:bCs/>
                <w:color w:val="000000"/>
                <w:sz w:val="10"/>
                <w:szCs w:val="18"/>
              </w:rPr>
            </w:pPr>
          </w:p>
        </w:tc>
        <w:tc>
          <w:tcPr>
            <w:tcW w:w="3596" w:type="dxa"/>
            <w:gridSpan w:val="4"/>
            <w:tcBorders>
              <w:top w:val="nil"/>
              <w:left w:val="nil"/>
              <w:bottom w:val="nil"/>
              <w:right w:val="nil"/>
            </w:tcBorders>
            <w:shd w:val="clear" w:color="auto" w:fill="auto"/>
            <w:noWrap/>
            <w:vAlign w:val="bottom"/>
            <w:hideMark/>
          </w:tcPr>
          <w:p w14:paraId="099B5FE6" w14:textId="77777777" w:rsidR="00A03E5F" w:rsidRPr="003B2F93" w:rsidRDefault="00A03E5F" w:rsidP="00C433BE">
            <w:pPr>
              <w:spacing w:line="240" w:lineRule="auto"/>
              <w:jc w:val="center"/>
              <w:rPr>
                <w:rFonts w:eastAsia="Times New Roman" w:cs="Times New Roman"/>
                <w:b/>
                <w:bCs/>
                <w:color w:val="000000"/>
                <w:sz w:val="18"/>
                <w:szCs w:val="18"/>
              </w:rPr>
            </w:pPr>
          </w:p>
          <w:p w14:paraId="37A7D732" w14:textId="77777777" w:rsidR="00F4100C" w:rsidRPr="003B2F93" w:rsidRDefault="00F4100C" w:rsidP="00C433BE">
            <w:pPr>
              <w:spacing w:line="240" w:lineRule="auto"/>
              <w:jc w:val="center"/>
              <w:rPr>
                <w:rFonts w:eastAsia="Times New Roman" w:cs="Times New Roman"/>
                <w:b/>
                <w:bCs/>
                <w:color w:val="000000"/>
                <w:sz w:val="18"/>
                <w:szCs w:val="18"/>
              </w:rPr>
            </w:pPr>
            <w:r w:rsidRPr="003B2F93">
              <w:rPr>
                <w:rFonts w:eastAsia="Times New Roman" w:cs="Times New Roman"/>
                <w:b/>
                <w:bCs/>
                <w:color w:val="000000"/>
                <w:sz w:val="18"/>
                <w:szCs w:val="18"/>
              </w:rPr>
              <w:t>Percent Change</w:t>
            </w:r>
          </w:p>
          <w:p w14:paraId="44C48A62" w14:textId="77777777" w:rsidR="00C433BE" w:rsidRPr="003B2F93" w:rsidRDefault="00C433BE" w:rsidP="00C433BE">
            <w:pPr>
              <w:spacing w:line="240" w:lineRule="auto"/>
              <w:jc w:val="center"/>
              <w:rPr>
                <w:rFonts w:eastAsia="Times New Roman" w:cs="Times New Roman"/>
                <w:b/>
                <w:bCs/>
                <w:color w:val="000000"/>
                <w:sz w:val="10"/>
                <w:szCs w:val="18"/>
              </w:rPr>
            </w:pPr>
          </w:p>
        </w:tc>
      </w:tr>
      <w:tr w:rsidR="00F4100C" w:rsidRPr="00F4100C" w14:paraId="492708C4" w14:textId="77777777" w:rsidTr="003B2F93">
        <w:trPr>
          <w:trHeight w:val="320"/>
        </w:trPr>
        <w:tc>
          <w:tcPr>
            <w:tcW w:w="1926" w:type="dxa"/>
            <w:tcBorders>
              <w:top w:val="nil"/>
              <w:left w:val="nil"/>
              <w:bottom w:val="single" w:sz="8" w:space="0" w:color="auto"/>
              <w:right w:val="nil"/>
            </w:tcBorders>
            <w:shd w:val="clear" w:color="auto" w:fill="auto"/>
            <w:noWrap/>
            <w:vAlign w:val="bottom"/>
            <w:hideMark/>
          </w:tcPr>
          <w:p w14:paraId="18A3FFDB" w14:textId="77777777" w:rsidR="00F4100C" w:rsidRPr="00F4100C" w:rsidRDefault="00F4100C" w:rsidP="00C433BE">
            <w:pPr>
              <w:spacing w:line="240" w:lineRule="auto"/>
              <w:rPr>
                <w:rFonts w:eastAsia="Times New Roman" w:cs="Times New Roman"/>
                <w:i/>
                <w:iCs/>
                <w:color w:val="000000"/>
                <w:sz w:val="18"/>
                <w:szCs w:val="18"/>
              </w:rPr>
            </w:pPr>
            <w:r w:rsidRPr="00F4100C">
              <w:rPr>
                <w:rFonts w:eastAsia="Times New Roman" w:cs="Times New Roman"/>
                <w:i/>
                <w:iCs/>
                <w:color w:val="000000"/>
                <w:sz w:val="18"/>
                <w:szCs w:val="18"/>
              </w:rPr>
              <w:t> </w:t>
            </w:r>
          </w:p>
        </w:tc>
        <w:tc>
          <w:tcPr>
            <w:tcW w:w="1329" w:type="dxa"/>
            <w:tcBorders>
              <w:top w:val="nil"/>
              <w:left w:val="nil"/>
              <w:bottom w:val="single" w:sz="8" w:space="0" w:color="auto"/>
              <w:right w:val="nil"/>
            </w:tcBorders>
            <w:shd w:val="clear" w:color="auto" w:fill="auto"/>
            <w:noWrap/>
            <w:vAlign w:val="bottom"/>
            <w:hideMark/>
          </w:tcPr>
          <w:p w14:paraId="504B6534" w14:textId="3BF797BD" w:rsidR="00F4100C" w:rsidRPr="003B2F93" w:rsidRDefault="00853231" w:rsidP="00C433BE">
            <w:pPr>
              <w:spacing w:line="240" w:lineRule="auto"/>
              <w:jc w:val="right"/>
              <w:rPr>
                <w:rFonts w:eastAsia="Times New Roman" w:cs="Times New Roman"/>
                <w:color w:val="000000"/>
                <w:sz w:val="18"/>
                <w:szCs w:val="18"/>
              </w:rPr>
            </w:pPr>
            <w:r w:rsidRPr="003B2F93">
              <w:rPr>
                <w:rFonts w:eastAsia="Times New Roman" w:cs="Times New Roman"/>
                <w:color w:val="000000"/>
                <w:sz w:val="18"/>
                <w:szCs w:val="18"/>
              </w:rPr>
              <w:t>Hillsborough</w:t>
            </w:r>
          </w:p>
          <w:p w14:paraId="669B2BB4" w14:textId="77777777" w:rsidR="00A03E5F" w:rsidRPr="003B2F93" w:rsidRDefault="00A03E5F" w:rsidP="00C433BE">
            <w:pPr>
              <w:spacing w:line="240" w:lineRule="auto"/>
              <w:jc w:val="right"/>
              <w:rPr>
                <w:rFonts w:eastAsia="Times New Roman" w:cs="Times New Roman"/>
                <w:color w:val="000000"/>
                <w:sz w:val="10"/>
                <w:szCs w:val="18"/>
              </w:rPr>
            </w:pPr>
          </w:p>
        </w:tc>
        <w:tc>
          <w:tcPr>
            <w:tcW w:w="1189" w:type="dxa"/>
            <w:tcBorders>
              <w:top w:val="nil"/>
              <w:left w:val="nil"/>
              <w:bottom w:val="single" w:sz="8" w:space="0" w:color="auto"/>
              <w:right w:val="nil"/>
            </w:tcBorders>
            <w:shd w:val="clear" w:color="auto" w:fill="auto"/>
            <w:noWrap/>
            <w:vAlign w:val="bottom"/>
            <w:hideMark/>
          </w:tcPr>
          <w:p w14:paraId="6C6A97B8" w14:textId="77777777" w:rsidR="00F4100C" w:rsidRPr="003B2F93" w:rsidRDefault="00C433BE" w:rsidP="00C433BE">
            <w:pPr>
              <w:spacing w:line="240" w:lineRule="auto"/>
              <w:jc w:val="right"/>
              <w:rPr>
                <w:rFonts w:eastAsia="Times New Roman" w:cs="Times New Roman"/>
                <w:color w:val="000000"/>
                <w:sz w:val="18"/>
                <w:szCs w:val="18"/>
              </w:rPr>
            </w:pPr>
            <w:r w:rsidRPr="003B2F93">
              <w:rPr>
                <w:rFonts w:eastAsia="Times New Roman" w:cs="Times New Roman"/>
                <w:color w:val="000000"/>
                <w:sz w:val="18"/>
                <w:szCs w:val="18"/>
              </w:rPr>
              <w:t>San Mateo County</w:t>
            </w:r>
          </w:p>
          <w:p w14:paraId="69E88C9A" w14:textId="32C807B2" w:rsidR="00A03E5F" w:rsidRPr="003B2F93" w:rsidRDefault="00A03E5F" w:rsidP="00C433BE">
            <w:pPr>
              <w:spacing w:line="240" w:lineRule="auto"/>
              <w:jc w:val="right"/>
              <w:rPr>
                <w:rFonts w:eastAsia="Times New Roman" w:cs="Times New Roman"/>
                <w:color w:val="000000"/>
                <w:sz w:val="10"/>
                <w:szCs w:val="18"/>
              </w:rPr>
            </w:pPr>
          </w:p>
        </w:tc>
        <w:tc>
          <w:tcPr>
            <w:tcW w:w="1350" w:type="dxa"/>
            <w:tcBorders>
              <w:top w:val="nil"/>
              <w:left w:val="nil"/>
              <w:bottom w:val="single" w:sz="8" w:space="0" w:color="auto"/>
              <w:right w:val="nil"/>
            </w:tcBorders>
            <w:shd w:val="clear" w:color="auto" w:fill="auto"/>
            <w:noWrap/>
            <w:vAlign w:val="bottom"/>
            <w:hideMark/>
          </w:tcPr>
          <w:p w14:paraId="38CB5AE3" w14:textId="77777777" w:rsidR="00F4100C" w:rsidRPr="003B2F93" w:rsidRDefault="00C433BE" w:rsidP="00C433BE">
            <w:pPr>
              <w:spacing w:line="240" w:lineRule="auto"/>
              <w:jc w:val="right"/>
              <w:rPr>
                <w:rFonts w:eastAsia="Times New Roman" w:cs="Times New Roman"/>
                <w:color w:val="000000"/>
                <w:sz w:val="18"/>
                <w:szCs w:val="18"/>
              </w:rPr>
            </w:pPr>
            <w:r w:rsidRPr="003B2F93">
              <w:rPr>
                <w:rFonts w:eastAsia="Times New Roman" w:cs="Times New Roman"/>
                <w:color w:val="000000"/>
                <w:sz w:val="18"/>
                <w:szCs w:val="18"/>
              </w:rPr>
              <w:t>State of California</w:t>
            </w:r>
          </w:p>
          <w:p w14:paraId="1966E596" w14:textId="1822FB5F" w:rsidR="00A03E5F" w:rsidRPr="003B2F93" w:rsidRDefault="00A03E5F" w:rsidP="00C433BE">
            <w:pPr>
              <w:spacing w:line="240" w:lineRule="auto"/>
              <w:jc w:val="right"/>
              <w:rPr>
                <w:rFonts w:eastAsia="Times New Roman" w:cs="Times New Roman"/>
                <w:color w:val="000000"/>
                <w:sz w:val="10"/>
                <w:szCs w:val="18"/>
              </w:rPr>
            </w:pPr>
          </w:p>
        </w:tc>
        <w:tc>
          <w:tcPr>
            <w:tcW w:w="1331" w:type="dxa"/>
            <w:tcBorders>
              <w:top w:val="nil"/>
              <w:left w:val="nil"/>
              <w:bottom w:val="single" w:sz="8" w:space="0" w:color="auto"/>
              <w:right w:val="nil"/>
            </w:tcBorders>
            <w:shd w:val="clear" w:color="auto" w:fill="auto"/>
            <w:noWrap/>
            <w:vAlign w:val="bottom"/>
            <w:hideMark/>
          </w:tcPr>
          <w:p w14:paraId="4E589EA7" w14:textId="1CABE020" w:rsidR="00F4100C" w:rsidRPr="003B2F93" w:rsidRDefault="00853231" w:rsidP="00C433BE">
            <w:pPr>
              <w:spacing w:line="240" w:lineRule="auto"/>
              <w:jc w:val="right"/>
              <w:rPr>
                <w:rFonts w:eastAsia="Times New Roman" w:cs="Times New Roman"/>
                <w:color w:val="000000"/>
                <w:sz w:val="18"/>
                <w:szCs w:val="18"/>
              </w:rPr>
            </w:pPr>
            <w:r w:rsidRPr="003B2F93">
              <w:rPr>
                <w:rFonts w:eastAsia="Times New Roman" w:cs="Times New Roman"/>
                <w:color w:val="000000"/>
                <w:sz w:val="18"/>
                <w:szCs w:val="18"/>
              </w:rPr>
              <w:t>Hillsborough</w:t>
            </w:r>
          </w:p>
          <w:p w14:paraId="1B8265B7" w14:textId="77777777" w:rsidR="00A03E5F" w:rsidRPr="003B2F93" w:rsidRDefault="00A03E5F" w:rsidP="00C433BE">
            <w:pPr>
              <w:spacing w:line="240" w:lineRule="auto"/>
              <w:jc w:val="right"/>
              <w:rPr>
                <w:rFonts w:eastAsia="Times New Roman" w:cs="Times New Roman"/>
                <w:color w:val="000000"/>
                <w:sz w:val="10"/>
                <w:szCs w:val="18"/>
              </w:rPr>
            </w:pPr>
          </w:p>
        </w:tc>
        <w:tc>
          <w:tcPr>
            <w:tcW w:w="1210" w:type="dxa"/>
            <w:tcBorders>
              <w:top w:val="nil"/>
              <w:left w:val="nil"/>
              <w:bottom w:val="single" w:sz="8" w:space="0" w:color="auto"/>
              <w:right w:val="nil"/>
            </w:tcBorders>
            <w:shd w:val="clear" w:color="auto" w:fill="auto"/>
            <w:noWrap/>
            <w:vAlign w:val="bottom"/>
            <w:hideMark/>
          </w:tcPr>
          <w:p w14:paraId="7A529CDC" w14:textId="77777777" w:rsidR="00F4100C" w:rsidRPr="003B2F93" w:rsidRDefault="00C433BE" w:rsidP="00C433BE">
            <w:pPr>
              <w:spacing w:line="240" w:lineRule="auto"/>
              <w:jc w:val="right"/>
              <w:rPr>
                <w:rFonts w:eastAsia="Times New Roman" w:cs="Times New Roman"/>
                <w:color w:val="000000"/>
                <w:sz w:val="18"/>
                <w:szCs w:val="18"/>
              </w:rPr>
            </w:pPr>
            <w:r w:rsidRPr="003B2F93">
              <w:rPr>
                <w:rFonts w:eastAsia="Times New Roman" w:cs="Times New Roman"/>
                <w:color w:val="000000"/>
                <w:sz w:val="18"/>
                <w:szCs w:val="18"/>
              </w:rPr>
              <w:t>San Mateo County</w:t>
            </w:r>
          </w:p>
          <w:p w14:paraId="7484D620" w14:textId="0C26625E" w:rsidR="00A03E5F" w:rsidRPr="003B2F93" w:rsidRDefault="00A03E5F" w:rsidP="00C433BE">
            <w:pPr>
              <w:spacing w:line="240" w:lineRule="auto"/>
              <w:jc w:val="right"/>
              <w:rPr>
                <w:rFonts w:eastAsia="Times New Roman" w:cs="Times New Roman"/>
                <w:color w:val="000000"/>
                <w:sz w:val="10"/>
                <w:szCs w:val="18"/>
              </w:rPr>
            </w:pPr>
          </w:p>
        </w:tc>
        <w:tc>
          <w:tcPr>
            <w:tcW w:w="1055" w:type="dxa"/>
            <w:gridSpan w:val="2"/>
            <w:tcBorders>
              <w:top w:val="nil"/>
              <w:left w:val="nil"/>
              <w:bottom w:val="single" w:sz="8" w:space="0" w:color="auto"/>
              <w:right w:val="nil"/>
            </w:tcBorders>
            <w:shd w:val="clear" w:color="auto" w:fill="auto"/>
            <w:noWrap/>
            <w:vAlign w:val="bottom"/>
            <w:hideMark/>
          </w:tcPr>
          <w:p w14:paraId="334BB45A" w14:textId="77777777" w:rsidR="00F4100C" w:rsidRPr="003B2F93" w:rsidRDefault="00C433BE" w:rsidP="00C433BE">
            <w:pPr>
              <w:spacing w:line="240" w:lineRule="auto"/>
              <w:jc w:val="right"/>
              <w:rPr>
                <w:rFonts w:eastAsia="Times New Roman" w:cs="Times New Roman"/>
                <w:color w:val="000000"/>
                <w:sz w:val="18"/>
                <w:szCs w:val="18"/>
              </w:rPr>
            </w:pPr>
            <w:r w:rsidRPr="003B2F93">
              <w:rPr>
                <w:rFonts w:eastAsia="Times New Roman" w:cs="Times New Roman"/>
                <w:color w:val="000000"/>
                <w:sz w:val="18"/>
                <w:szCs w:val="18"/>
              </w:rPr>
              <w:t>State of California</w:t>
            </w:r>
          </w:p>
          <w:p w14:paraId="27176FC1" w14:textId="0D97751A" w:rsidR="00A03E5F" w:rsidRPr="003B2F93" w:rsidRDefault="00A03E5F" w:rsidP="00C433BE">
            <w:pPr>
              <w:spacing w:line="240" w:lineRule="auto"/>
              <w:jc w:val="right"/>
              <w:rPr>
                <w:rFonts w:eastAsia="Times New Roman" w:cs="Times New Roman"/>
                <w:color w:val="000000"/>
                <w:sz w:val="10"/>
                <w:szCs w:val="18"/>
              </w:rPr>
            </w:pPr>
          </w:p>
        </w:tc>
      </w:tr>
      <w:tr w:rsidR="003B2F93" w:rsidRPr="00F4100C" w14:paraId="66288BD2" w14:textId="77777777" w:rsidTr="003B2F93">
        <w:trPr>
          <w:trHeight w:val="300"/>
        </w:trPr>
        <w:tc>
          <w:tcPr>
            <w:tcW w:w="1926" w:type="dxa"/>
            <w:tcBorders>
              <w:top w:val="nil"/>
              <w:left w:val="nil"/>
              <w:bottom w:val="nil"/>
              <w:right w:val="nil"/>
            </w:tcBorders>
            <w:shd w:val="clear" w:color="auto" w:fill="auto"/>
            <w:noWrap/>
            <w:vAlign w:val="bottom"/>
            <w:hideMark/>
          </w:tcPr>
          <w:p w14:paraId="7988363E" w14:textId="77777777" w:rsidR="003B2F93" w:rsidRPr="00F4100C" w:rsidRDefault="003B2F93" w:rsidP="00067077">
            <w:pPr>
              <w:rPr>
                <w:rFonts w:eastAsia="Times New Roman" w:cs="Times New Roman"/>
                <w:color w:val="000000"/>
                <w:sz w:val="18"/>
                <w:szCs w:val="18"/>
              </w:rPr>
            </w:pPr>
            <w:r w:rsidRPr="00F4100C">
              <w:rPr>
                <w:rFonts w:eastAsia="Times New Roman" w:cs="Times New Roman"/>
                <w:color w:val="000000"/>
                <w:sz w:val="18"/>
                <w:szCs w:val="18"/>
              </w:rPr>
              <w:t>1990</w:t>
            </w:r>
          </w:p>
        </w:tc>
        <w:tc>
          <w:tcPr>
            <w:tcW w:w="1329" w:type="dxa"/>
            <w:tcBorders>
              <w:top w:val="nil"/>
              <w:left w:val="nil"/>
              <w:bottom w:val="nil"/>
              <w:right w:val="nil"/>
            </w:tcBorders>
            <w:shd w:val="clear" w:color="auto" w:fill="auto"/>
            <w:noWrap/>
            <w:vAlign w:val="bottom"/>
            <w:hideMark/>
          </w:tcPr>
          <w:p w14:paraId="7995F011" w14:textId="10488EC7" w:rsidR="003B2F93" w:rsidRPr="003B2F93" w:rsidRDefault="003B2F93" w:rsidP="00067077">
            <w:pPr>
              <w:jc w:val="right"/>
              <w:rPr>
                <w:rFonts w:eastAsia="Times New Roman" w:cs="Times New Roman"/>
                <w:color w:val="000000"/>
                <w:sz w:val="18"/>
                <w:szCs w:val="18"/>
              </w:rPr>
            </w:pPr>
            <w:r w:rsidRPr="00917D3B">
              <w:rPr>
                <w:rFonts w:eastAsia="Times New Roman" w:cs="Times New Roman"/>
                <w:color w:val="000000"/>
                <w:sz w:val="18"/>
                <w:szCs w:val="18"/>
              </w:rPr>
              <w:t>10,667</w:t>
            </w:r>
          </w:p>
        </w:tc>
        <w:tc>
          <w:tcPr>
            <w:tcW w:w="1189" w:type="dxa"/>
            <w:tcBorders>
              <w:top w:val="nil"/>
              <w:left w:val="nil"/>
              <w:bottom w:val="nil"/>
              <w:right w:val="nil"/>
            </w:tcBorders>
            <w:shd w:val="clear" w:color="auto" w:fill="auto"/>
            <w:noWrap/>
            <w:vAlign w:val="bottom"/>
            <w:hideMark/>
          </w:tcPr>
          <w:p w14:paraId="0827ACA6"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649,623</w:t>
            </w:r>
          </w:p>
        </w:tc>
        <w:tc>
          <w:tcPr>
            <w:tcW w:w="1350" w:type="dxa"/>
            <w:tcBorders>
              <w:top w:val="nil"/>
              <w:left w:val="nil"/>
              <w:bottom w:val="nil"/>
              <w:right w:val="nil"/>
            </w:tcBorders>
            <w:shd w:val="clear" w:color="auto" w:fill="auto"/>
            <w:noWrap/>
            <w:vAlign w:val="bottom"/>
            <w:hideMark/>
          </w:tcPr>
          <w:p w14:paraId="75170224"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29,760,021</w:t>
            </w:r>
          </w:p>
        </w:tc>
        <w:tc>
          <w:tcPr>
            <w:tcW w:w="1331" w:type="dxa"/>
            <w:tcBorders>
              <w:top w:val="single" w:sz="8" w:space="0" w:color="auto"/>
              <w:left w:val="nil"/>
              <w:bottom w:val="single" w:sz="4" w:space="0" w:color="808080"/>
              <w:right w:val="nil"/>
            </w:tcBorders>
            <w:shd w:val="clear" w:color="auto" w:fill="E0E0E0"/>
            <w:noWrap/>
            <w:vAlign w:val="bottom"/>
            <w:hideMark/>
          </w:tcPr>
          <w:p w14:paraId="0EBA14DE" w14:textId="215F047C" w:rsidR="003B2F93" w:rsidRPr="003B2F93" w:rsidRDefault="003B2F93" w:rsidP="00067077">
            <w:pPr>
              <w:jc w:val="right"/>
              <w:rPr>
                <w:rFonts w:eastAsia="Times New Roman" w:cs="Times New Roman"/>
                <w:color w:val="000000"/>
                <w:sz w:val="18"/>
                <w:szCs w:val="18"/>
              </w:rPr>
            </w:pPr>
          </w:p>
        </w:tc>
        <w:tc>
          <w:tcPr>
            <w:tcW w:w="1210" w:type="dxa"/>
            <w:tcBorders>
              <w:top w:val="single" w:sz="8" w:space="0" w:color="auto"/>
              <w:left w:val="nil"/>
              <w:bottom w:val="single" w:sz="4" w:space="0" w:color="808080"/>
              <w:right w:val="nil"/>
            </w:tcBorders>
            <w:shd w:val="clear" w:color="auto" w:fill="E0E0E0"/>
            <w:noWrap/>
            <w:vAlign w:val="bottom"/>
            <w:hideMark/>
          </w:tcPr>
          <w:p w14:paraId="13BF50CF" w14:textId="553BDDCA" w:rsidR="003B2F93" w:rsidRPr="003B2F93" w:rsidRDefault="003B2F93" w:rsidP="00067077">
            <w:pPr>
              <w:jc w:val="right"/>
              <w:rPr>
                <w:rFonts w:eastAsia="Times New Roman" w:cs="Times New Roman"/>
                <w:color w:val="000000"/>
                <w:sz w:val="18"/>
                <w:szCs w:val="18"/>
              </w:rPr>
            </w:pPr>
          </w:p>
        </w:tc>
        <w:tc>
          <w:tcPr>
            <w:tcW w:w="1055" w:type="dxa"/>
            <w:gridSpan w:val="2"/>
            <w:tcBorders>
              <w:top w:val="single" w:sz="8" w:space="0" w:color="auto"/>
              <w:left w:val="nil"/>
              <w:bottom w:val="single" w:sz="4" w:space="0" w:color="808080"/>
              <w:right w:val="nil"/>
            </w:tcBorders>
            <w:shd w:val="clear" w:color="auto" w:fill="E0E0E0"/>
            <w:noWrap/>
            <w:vAlign w:val="bottom"/>
            <w:hideMark/>
          </w:tcPr>
          <w:p w14:paraId="2D8BC59B" w14:textId="74B878EE" w:rsidR="003B2F93" w:rsidRPr="003B2F93" w:rsidRDefault="003B2F93" w:rsidP="00067077">
            <w:pPr>
              <w:jc w:val="right"/>
              <w:rPr>
                <w:rFonts w:eastAsia="Times New Roman" w:cs="Times New Roman"/>
                <w:color w:val="000000"/>
                <w:sz w:val="18"/>
                <w:szCs w:val="18"/>
              </w:rPr>
            </w:pPr>
          </w:p>
        </w:tc>
      </w:tr>
      <w:tr w:rsidR="003B2F93" w:rsidRPr="00F4100C" w14:paraId="528149A8" w14:textId="77777777" w:rsidTr="003B2F93">
        <w:trPr>
          <w:trHeight w:val="300"/>
        </w:trPr>
        <w:tc>
          <w:tcPr>
            <w:tcW w:w="1926" w:type="dxa"/>
            <w:tcBorders>
              <w:top w:val="single" w:sz="4" w:space="0" w:color="808080"/>
              <w:left w:val="nil"/>
              <w:bottom w:val="single" w:sz="4" w:space="0" w:color="808080"/>
              <w:right w:val="nil"/>
            </w:tcBorders>
            <w:shd w:val="clear" w:color="auto" w:fill="auto"/>
            <w:noWrap/>
            <w:vAlign w:val="bottom"/>
            <w:hideMark/>
          </w:tcPr>
          <w:p w14:paraId="3C88E030" w14:textId="77777777" w:rsidR="003B2F93" w:rsidRPr="00F4100C" w:rsidRDefault="003B2F93" w:rsidP="00067077">
            <w:pPr>
              <w:rPr>
                <w:rFonts w:eastAsia="Times New Roman" w:cs="Times New Roman"/>
                <w:color w:val="000000"/>
                <w:sz w:val="18"/>
                <w:szCs w:val="18"/>
              </w:rPr>
            </w:pPr>
            <w:r w:rsidRPr="00F4100C">
              <w:rPr>
                <w:rFonts w:eastAsia="Times New Roman" w:cs="Times New Roman"/>
                <w:color w:val="000000"/>
                <w:sz w:val="18"/>
                <w:szCs w:val="18"/>
              </w:rPr>
              <w:t>2000</w:t>
            </w:r>
          </w:p>
        </w:tc>
        <w:tc>
          <w:tcPr>
            <w:tcW w:w="1329" w:type="dxa"/>
            <w:tcBorders>
              <w:top w:val="single" w:sz="4" w:space="0" w:color="808080"/>
              <w:left w:val="nil"/>
              <w:bottom w:val="single" w:sz="4" w:space="0" w:color="808080"/>
              <w:right w:val="nil"/>
            </w:tcBorders>
            <w:shd w:val="clear" w:color="auto" w:fill="auto"/>
            <w:noWrap/>
            <w:vAlign w:val="bottom"/>
            <w:hideMark/>
          </w:tcPr>
          <w:p w14:paraId="6A0D76AA" w14:textId="16029C6A" w:rsidR="003B2F93" w:rsidRPr="003B2F93" w:rsidRDefault="003B2F93" w:rsidP="00067077">
            <w:pPr>
              <w:jc w:val="right"/>
              <w:rPr>
                <w:rFonts w:eastAsia="Times New Roman" w:cs="Times New Roman"/>
                <w:color w:val="000000"/>
                <w:sz w:val="18"/>
                <w:szCs w:val="18"/>
              </w:rPr>
            </w:pPr>
            <w:r w:rsidRPr="00917D3B">
              <w:rPr>
                <w:rFonts w:eastAsia="Times New Roman" w:cs="Times New Roman"/>
                <w:color w:val="000000"/>
                <w:sz w:val="18"/>
                <w:szCs w:val="18"/>
              </w:rPr>
              <w:t>10,825</w:t>
            </w:r>
          </w:p>
        </w:tc>
        <w:tc>
          <w:tcPr>
            <w:tcW w:w="1189" w:type="dxa"/>
            <w:tcBorders>
              <w:top w:val="single" w:sz="4" w:space="0" w:color="808080"/>
              <w:left w:val="nil"/>
              <w:bottom w:val="single" w:sz="4" w:space="0" w:color="808080"/>
              <w:right w:val="nil"/>
            </w:tcBorders>
            <w:shd w:val="clear" w:color="auto" w:fill="auto"/>
            <w:noWrap/>
            <w:vAlign w:val="bottom"/>
            <w:hideMark/>
          </w:tcPr>
          <w:p w14:paraId="218E40CF"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707,163</w:t>
            </w:r>
          </w:p>
        </w:tc>
        <w:tc>
          <w:tcPr>
            <w:tcW w:w="1350" w:type="dxa"/>
            <w:tcBorders>
              <w:top w:val="single" w:sz="4" w:space="0" w:color="808080"/>
              <w:left w:val="nil"/>
              <w:bottom w:val="single" w:sz="4" w:space="0" w:color="808080"/>
              <w:right w:val="nil"/>
            </w:tcBorders>
            <w:shd w:val="clear" w:color="auto" w:fill="auto"/>
            <w:noWrap/>
            <w:vAlign w:val="bottom"/>
            <w:hideMark/>
          </w:tcPr>
          <w:p w14:paraId="69591200"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33,871,648</w:t>
            </w:r>
          </w:p>
        </w:tc>
        <w:tc>
          <w:tcPr>
            <w:tcW w:w="1331" w:type="dxa"/>
            <w:tcBorders>
              <w:top w:val="single" w:sz="4" w:space="0" w:color="808080"/>
              <w:left w:val="nil"/>
              <w:bottom w:val="single" w:sz="4" w:space="0" w:color="808080"/>
              <w:right w:val="nil"/>
            </w:tcBorders>
            <w:shd w:val="clear" w:color="auto" w:fill="auto"/>
            <w:noWrap/>
            <w:vAlign w:val="bottom"/>
            <w:hideMark/>
          </w:tcPr>
          <w:p w14:paraId="19146ACF" w14:textId="526496DB" w:rsidR="003B2F93" w:rsidRPr="003B2F93" w:rsidRDefault="003B2F93" w:rsidP="00067077">
            <w:pPr>
              <w:jc w:val="right"/>
              <w:rPr>
                <w:rFonts w:eastAsia="Times New Roman" w:cs="Times New Roman"/>
                <w:color w:val="000000"/>
                <w:sz w:val="18"/>
                <w:szCs w:val="18"/>
              </w:rPr>
            </w:pPr>
            <w:r w:rsidRPr="00917D3B">
              <w:rPr>
                <w:rFonts w:eastAsia="Times New Roman" w:cs="Times New Roman"/>
                <w:color w:val="000000"/>
                <w:sz w:val="18"/>
                <w:szCs w:val="18"/>
              </w:rPr>
              <w:t>1%</w:t>
            </w:r>
          </w:p>
        </w:tc>
        <w:tc>
          <w:tcPr>
            <w:tcW w:w="1210" w:type="dxa"/>
            <w:tcBorders>
              <w:top w:val="single" w:sz="4" w:space="0" w:color="808080"/>
              <w:left w:val="nil"/>
              <w:bottom w:val="single" w:sz="4" w:space="0" w:color="808080"/>
              <w:right w:val="nil"/>
            </w:tcBorders>
            <w:shd w:val="clear" w:color="auto" w:fill="auto"/>
            <w:noWrap/>
            <w:vAlign w:val="bottom"/>
            <w:hideMark/>
          </w:tcPr>
          <w:p w14:paraId="3F5254C0"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9%</w:t>
            </w:r>
          </w:p>
        </w:tc>
        <w:tc>
          <w:tcPr>
            <w:tcW w:w="1055" w:type="dxa"/>
            <w:gridSpan w:val="2"/>
            <w:tcBorders>
              <w:top w:val="single" w:sz="4" w:space="0" w:color="808080"/>
              <w:left w:val="nil"/>
              <w:bottom w:val="single" w:sz="4" w:space="0" w:color="808080"/>
              <w:right w:val="nil"/>
            </w:tcBorders>
            <w:shd w:val="clear" w:color="auto" w:fill="auto"/>
            <w:noWrap/>
            <w:vAlign w:val="bottom"/>
            <w:hideMark/>
          </w:tcPr>
          <w:p w14:paraId="548A2383"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14%</w:t>
            </w:r>
          </w:p>
        </w:tc>
      </w:tr>
      <w:tr w:rsidR="003B2F93" w:rsidRPr="00F4100C" w14:paraId="2E949C6F" w14:textId="77777777" w:rsidTr="003B2F93">
        <w:trPr>
          <w:trHeight w:val="300"/>
        </w:trPr>
        <w:tc>
          <w:tcPr>
            <w:tcW w:w="1926" w:type="dxa"/>
            <w:tcBorders>
              <w:top w:val="nil"/>
              <w:left w:val="nil"/>
              <w:bottom w:val="single" w:sz="4" w:space="0" w:color="808080"/>
              <w:right w:val="nil"/>
            </w:tcBorders>
            <w:shd w:val="clear" w:color="auto" w:fill="auto"/>
            <w:noWrap/>
            <w:vAlign w:val="bottom"/>
            <w:hideMark/>
          </w:tcPr>
          <w:p w14:paraId="44F38F8B" w14:textId="77777777" w:rsidR="003B2F93" w:rsidRPr="00F4100C" w:rsidRDefault="003B2F93" w:rsidP="00067077">
            <w:pPr>
              <w:rPr>
                <w:rFonts w:eastAsia="Times New Roman" w:cs="Times New Roman"/>
                <w:color w:val="000000"/>
                <w:sz w:val="18"/>
                <w:szCs w:val="18"/>
              </w:rPr>
            </w:pPr>
            <w:r w:rsidRPr="00F4100C">
              <w:rPr>
                <w:rFonts w:eastAsia="Times New Roman" w:cs="Times New Roman"/>
                <w:color w:val="000000"/>
                <w:sz w:val="18"/>
                <w:szCs w:val="18"/>
              </w:rPr>
              <w:t>2010</w:t>
            </w:r>
          </w:p>
        </w:tc>
        <w:tc>
          <w:tcPr>
            <w:tcW w:w="1329" w:type="dxa"/>
            <w:tcBorders>
              <w:top w:val="nil"/>
              <w:left w:val="nil"/>
              <w:bottom w:val="single" w:sz="4" w:space="0" w:color="808080"/>
              <w:right w:val="nil"/>
            </w:tcBorders>
            <w:shd w:val="clear" w:color="auto" w:fill="auto"/>
            <w:noWrap/>
            <w:vAlign w:val="bottom"/>
            <w:hideMark/>
          </w:tcPr>
          <w:p w14:paraId="4ED69559" w14:textId="4AE87DDC" w:rsidR="003B2F93" w:rsidRPr="003B2F93" w:rsidRDefault="003B2F93" w:rsidP="00067077">
            <w:pPr>
              <w:jc w:val="right"/>
              <w:rPr>
                <w:rFonts w:eastAsia="Times New Roman" w:cs="Times New Roman"/>
                <w:color w:val="000000"/>
                <w:sz w:val="18"/>
                <w:szCs w:val="18"/>
              </w:rPr>
            </w:pPr>
            <w:r w:rsidRPr="00917D3B">
              <w:rPr>
                <w:rFonts w:eastAsia="Times New Roman" w:cs="Times New Roman"/>
                <w:color w:val="000000"/>
                <w:sz w:val="18"/>
                <w:szCs w:val="18"/>
              </w:rPr>
              <w:t>10,825</w:t>
            </w:r>
          </w:p>
        </w:tc>
        <w:tc>
          <w:tcPr>
            <w:tcW w:w="1189" w:type="dxa"/>
            <w:tcBorders>
              <w:top w:val="nil"/>
              <w:left w:val="nil"/>
              <w:bottom w:val="single" w:sz="4" w:space="0" w:color="808080"/>
              <w:right w:val="nil"/>
            </w:tcBorders>
            <w:shd w:val="clear" w:color="auto" w:fill="auto"/>
            <w:noWrap/>
            <w:vAlign w:val="bottom"/>
            <w:hideMark/>
          </w:tcPr>
          <w:p w14:paraId="192C469C"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718,451</w:t>
            </w:r>
          </w:p>
        </w:tc>
        <w:tc>
          <w:tcPr>
            <w:tcW w:w="1350" w:type="dxa"/>
            <w:tcBorders>
              <w:top w:val="nil"/>
              <w:left w:val="nil"/>
              <w:bottom w:val="single" w:sz="4" w:space="0" w:color="808080"/>
              <w:right w:val="nil"/>
            </w:tcBorders>
            <w:shd w:val="clear" w:color="auto" w:fill="auto"/>
            <w:noWrap/>
            <w:vAlign w:val="bottom"/>
            <w:hideMark/>
          </w:tcPr>
          <w:p w14:paraId="529D88E4"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37,253,956</w:t>
            </w:r>
          </w:p>
        </w:tc>
        <w:tc>
          <w:tcPr>
            <w:tcW w:w="1331" w:type="dxa"/>
            <w:tcBorders>
              <w:top w:val="nil"/>
              <w:left w:val="nil"/>
              <w:bottom w:val="single" w:sz="4" w:space="0" w:color="808080"/>
              <w:right w:val="nil"/>
            </w:tcBorders>
            <w:shd w:val="clear" w:color="auto" w:fill="auto"/>
            <w:noWrap/>
            <w:vAlign w:val="bottom"/>
            <w:hideMark/>
          </w:tcPr>
          <w:p w14:paraId="009971D7" w14:textId="2259825F" w:rsidR="003B2F93" w:rsidRPr="003B2F93" w:rsidRDefault="003B2F93" w:rsidP="00067077">
            <w:pPr>
              <w:jc w:val="right"/>
              <w:rPr>
                <w:rFonts w:eastAsia="Times New Roman" w:cs="Times New Roman"/>
                <w:color w:val="000000"/>
                <w:sz w:val="18"/>
                <w:szCs w:val="18"/>
              </w:rPr>
            </w:pPr>
            <w:r w:rsidRPr="00917D3B">
              <w:rPr>
                <w:rFonts w:eastAsia="Times New Roman" w:cs="Times New Roman"/>
                <w:color w:val="000000"/>
                <w:sz w:val="18"/>
                <w:szCs w:val="18"/>
              </w:rPr>
              <w:t>0%</w:t>
            </w:r>
          </w:p>
        </w:tc>
        <w:tc>
          <w:tcPr>
            <w:tcW w:w="1210" w:type="dxa"/>
            <w:tcBorders>
              <w:top w:val="nil"/>
              <w:left w:val="nil"/>
              <w:bottom w:val="single" w:sz="4" w:space="0" w:color="808080"/>
              <w:right w:val="nil"/>
            </w:tcBorders>
            <w:shd w:val="clear" w:color="auto" w:fill="auto"/>
            <w:noWrap/>
            <w:vAlign w:val="bottom"/>
            <w:hideMark/>
          </w:tcPr>
          <w:p w14:paraId="19B104DF"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2%</w:t>
            </w:r>
          </w:p>
        </w:tc>
        <w:tc>
          <w:tcPr>
            <w:tcW w:w="1055" w:type="dxa"/>
            <w:gridSpan w:val="2"/>
            <w:tcBorders>
              <w:top w:val="nil"/>
              <w:left w:val="nil"/>
              <w:bottom w:val="single" w:sz="4" w:space="0" w:color="808080"/>
              <w:right w:val="nil"/>
            </w:tcBorders>
            <w:shd w:val="clear" w:color="auto" w:fill="auto"/>
            <w:noWrap/>
            <w:vAlign w:val="bottom"/>
            <w:hideMark/>
          </w:tcPr>
          <w:p w14:paraId="3714A898" w14:textId="77777777" w:rsidR="003B2F93" w:rsidRPr="003B2F93" w:rsidRDefault="003B2F93" w:rsidP="00067077">
            <w:pPr>
              <w:jc w:val="right"/>
              <w:rPr>
                <w:rFonts w:eastAsia="Times New Roman" w:cs="Times New Roman"/>
                <w:color w:val="000000"/>
                <w:sz w:val="18"/>
                <w:szCs w:val="18"/>
              </w:rPr>
            </w:pPr>
            <w:r w:rsidRPr="003B2F93">
              <w:rPr>
                <w:rFonts w:eastAsia="Times New Roman" w:cs="Times New Roman"/>
                <w:color w:val="000000"/>
                <w:sz w:val="18"/>
                <w:szCs w:val="18"/>
              </w:rPr>
              <w:t>10%</w:t>
            </w:r>
          </w:p>
        </w:tc>
      </w:tr>
      <w:tr w:rsidR="005D037F" w:rsidRPr="00F4100C" w14:paraId="02A9AD4E" w14:textId="77777777" w:rsidTr="00547E58">
        <w:trPr>
          <w:trHeight w:val="300"/>
        </w:trPr>
        <w:tc>
          <w:tcPr>
            <w:tcW w:w="1926" w:type="dxa"/>
            <w:tcBorders>
              <w:top w:val="nil"/>
              <w:left w:val="nil"/>
              <w:bottom w:val="single" w:sz="4" w:space="0" w:color="808080"/>
              <w:right w:val="nil"/>
            </w:tcBorders>
            <w:shd w:val="clear" w:color="auto" w:fill="auto"/>
            <w:noWrap/>
            <w:vAlign w:val="bottom"/>
            <w:hideMark/>
          </w:tcPr>
          <w:p w14:paraId="16421BF4" w14:textId="77777777" w:rsidR="005D037F" w:rsidRPr="00F4100C" w:rsidRDefault="005D037F" w:rsidP="00067077">
            <w:pPr>
              <w:rPr>
                <w:rFonts w:eastAsia="Times New Roman" w:cs="Times New Roman"/>
                <w:color w:val="000000"/>
                <w:sz w:val="18"/>
                <w:szCs w:val="18"/>
              </w:rPr>
            </w:pPr>
            <w:r w:rsidRPr="00F4100C">
              <w:rPr>
                <w:rFonts w:eastAsia="Times New Roman" w:cs="Times New Roman"/>
                <w:color w:val="000000"/>
                <w:sz w:val="18"/>
                <w:szCs w:val="18"/>
              </w:rPr>
              <w:t>2020 (Projected)</w:t>
            </w:r>
          </w:p>
        </w:tc>
        <w:tc>
          <w:tcPr>
            <w:tcW w:w="1329" w:type="dxa"/>
            <w:tcBorders>
              <w:top w:val="nil"/>
              <w:left w:val="nil"/>
              <w:bottom w:val="single" w:sz="4" w:space="0" w:color="808080"/>
              <w:right w:val="nil"/>
            </w:tcBorders>
            <w:shd w:val="clear" w:color="auto" w:fill="auto"/>
            <w:noWrap/>
            <w:vAlign w:val="center"/>
            <w:hideMark/>
          </w:tcPr>
          <w:p w14:paraId="01371A04" w14:textId="41CFB452"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11,200</w:t>
            </w:r>
          </w:p>
        </w:tc>
        <w:tc>
          <w:tcPr>
            <w:tcW w:w="1189" w:type="dxa"/>
            <w:tcBorders>
              <w:top w:val="nil"/>
              <w:left w:val="nil"/>
              <w:bottom w:val="single" w:sz="4" w:space="0" w:color="808080"/>
              <w:right w:val="nil"/>
            </w:tcBorders>
            <w:shd w:val="clear" w:color="auto" w:fill="auto"/>
            <w:noWrap/>
            <w:vAlign w:val="center"/>
            <w:hideMark/>
          </w:tcPr>
          <w:p w14:paraId="39EDABAC" w14:textId="7C772AEC"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775,100</w:t>
            </w:r>
          </w:p>
        </w:tc>
        <w:tc>
          <w:tcPr>
            <w:tcW w:w="1350" w:type="dxa"/>
            <w:tcBorders>
              <w:top w:val="nil"/>
              <w:left w:val="nil"/>
              <w:bottom w:val="single" w:sz="4" w:space="0" w:color="808080"/>
              <w:right w:val="nil"/>
            </w:tcBorders>
            <w:shd w:val="clear" w:color="auto" w:fill="auto"/>
            <w:noWrap/>
            <w:vAlign w:val="center"/>
            <w:hideMark/>
          </w:tcPr>
          <w:p w14:paraId="6DDFC35E" w14:textId="312B827E"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40,643,643</w:t>
            </w:r>
          </w:p>
        </w:tc>
        <w:tc>
          <w:tcPr>
            <w:tcW w:w="1331" w:type="dxa"/>
            <w:tcBorders>
              <w:top w:val="nil"/>
              <w:left w:val="nil"/>
              <w:bottom w:val="single" w:sz="4" w:space="0" w:color="808080"/>
              <w:right w:val="nil"/>
            </w:tcBorders>
            <w:shd w:val="clear" w:color="auto" w:fill="auto"/>
            <w:noWrap/>
            <w:vAlign w:val="center"/>
            <w:hideMark/>
          </w:tcPr>
          <w:p w14:paraId="3C56E94E" w14:textId="62571ECE"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3%</w:t>
            </w:r>
          </w:p>
        </w:tc>
        <w:tc>
          <w:tcPr>
            <w:tcW w:w="1210" w:type="dxa"/>
            <w:tcBorders>
              <w:top w:val="nil"/>
              <w:left w:val="nil"/>
              <w:bottom w:val="single" w:sz="4" w:space="0" w:color="808080"/>
              <w:right w:val="nil"/>
            </w:tcBorders>
            <w:shd w:val="clear" w:color="auto" w:fill="auto"/>
            <w:noWrap/>
            <w:vAlign w:val="bottom"/>
            <w:hideMark/>
          </w:tcPr>
          <w:p w14:paraId="6D412E6C" w14:textId="7C9F1567"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8</w:t>
            </w:r>
            <w:r w:rsidRPr="00F4100C">
              <w:rPr>
                <w:rFonts w:eastAsia="Times New Roman" w:cs="Times New Roman"/>
                <w:color w:val="000000"/>
                <w:sz w:val="18"/>
                <w:szCs w:val="18"/>
              </w:rPr>
              <w:t>%</w:t>
            </w:r>
          </w:p>
        </w:tc>
        <w:tc>
          <w:tcPr>
            <w:tcW w:w="1055" w:type="dxa"/>
            <w:gridSpan w:val="2"/>
            <w:tcBorders>
              <w:top w:val="nil"/>
              <w:left w:val="nil"/>
              <w:bottom w:val="single" w:sz="4" w:space="0" w:color="808080"/>
              <w:right w:val="nil"/>
            </w:tcBorders>
            <w:shd w:val="clear" w:color="auto" w:fill="auto"/>
            <w:noWrap/>
            <w:vAlign w:val="bottom"/>
            <w:hideMark/>
          </w:tcPr>
          <w:p w14:paraId="789EE44F" w14:textId="20D1D2BD"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9%</w:t>
            </w:r>
          </w:p>
        </w:tc>
      </w:tr>
      <w:tr w:rsidR="005D037F" w:rsidRPr="00F4100C" w14:paraId="52DC1AA2" w14:textId="77777777" w:rsidTr="00547E58">
        <w:trPr>
          <w:trHeight w:val="300"/>
        </w:trPr>
        <w:tc>
          <w:tcPr>
            <w:tcW w:w="1926" w:type="dxa"/>
            <w:tcBorders>
              <w:top w:val="nil"/>
              <w:left w:val="nil"/>
              <w:bottom w:val="single" w:sz="4" w:space="0" w:color="auto"/>
              <w:right w:val="nil"/>
            </w:tcBorders>
            <w:shd w:val="clear" w:color="auto" w:fill="auto"/>
            <w:noWrap/>
            <w:vAlign w:val="bottom"/>
            <w:hideMark/>
          </w:tcPr>
          <w:p w14:paraId="426A2D87" w14:textId="77777777" w:rsidR="005D037F" w:rsidRPr="00F4100C" w:rsidRDefault="005D037F" w:rsidP="00067077">
            <w:pPr>
              <w:rPr>
                <w:rFonts w:eastAsia="Times New Roman" w:cs="Times New Roman"/>
                <w:color w:val="000000"/>
                <w:sz w:val="18"/>
                <w:szCs w:val="18"/>
              </w:rPr>
            </w:pPr>
            <w:r w:rsidRPr="00F4100C">
              <w:rPr>
                <w:rFonts w:eastAsia="Times New Roman" w:cs="Times New Roman"/>
                <w:color w:val="000000"/>
                <w:sz w:val="18"/>
                <w:szCs w:val="18"/>
              </w:rPr>
              <w:t>2030 (Projected)</w:t>
            </w:r>
          </w:p>
        </w:tc>
        <w:tc>
          <w:tcPr>
            <w:tcW w:w="1329" w:type="dxa"/>
            <w:tcBorders>
              <w:top w:val="nil"/>
              <w:left w:val="nil"/>
              <w:bottom w:val="single" w:sz="4" w:space="0" w:color="auto"/>
              <w:right w:val="nil"/>
            </w:tcBorders>
            <w:shd w:val="clear" w:color="auto" w:fill="auto"/>
            <w:noWrap/>
            <w:vAlign w:val="center"/>
            <w:hideMark/>
          </w:tcPr>
          <w:p w14:paraId="7E61639E" w14:textId="638B85FF"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11,600</w:t>
            </w:r>
          </w:p>
        </w:tc>
        <w:tc>
          <w:tcPr>
            <w:tcW w:w="1189" w:type="dxa"/>
            <w:tcBorders>
              <w:top w:val="nil"/>
              <w:left w:val="nil"/>
              <w:bottom w:val="single" w:sz="4" w:space="0" w:color="auto"/>
              <w:right w:val="nil"/>
            </w:tcBorders>
            <w:shd w:val="clear" w:color="auto" w:fill="auto"/>
            <w:noWrap/>
            <w:vAlign w:val="center"/>
            <w:hideMark/>
          </w:tcPr>
          <w:p w14:paraId="7937917E" w14:textId="79716CD4"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836,100</w:t>
            </w:r>
          </w:p>
        </w:tc>
        <w:tc>
          <w:tcPr>
            <w:tcW w:w="1350" w:type="dxa"/>
            <w:tcBorders>
              <w:top w:val="nil"/>
              <w:left w:val="nil"/>
              <w:bottom w:val="single" w:sz="4" w:space="0" w:color="auto"/>
              <w:right w:val="nil"/>
            </w:tcBorders>
            <w:shd w:val="clear" w:color="auto" w:fill="auto"/>
            <w:noWrap/>
            <w:vAlign w:val="center"/>
            <w:hideMark/>
          </w:tcPr>
          <w:p w14:paraId="63D57A98" w14:textId="4A329529"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44,279,354</w:t>
            </w:r>
          </w:p>
        </w:tc>
        <w:tc>
          <w:tcPr>
            <w:tcW w:w="1331" w:type="dxa"/>
            <w:tcBorders>
              <w:top w:val="nil"/>
              <w:left w:val="nil"/>
              <w:bottom w:val="single" w:sz="4" w:space="0" w:color="auto"/>
              <w:right w:val="nil"/>
            </w:tcBorders>
            <w:shd w:val="clear" w:color="auto" w:fill="auto"/>
            <w:noWrap/>
            <w:vAlign w:val="center"/>
            <w:hideMark/>
          </w:tcPr>
          <w:p w14:paraId="0FCD01BF" w14:textId="06D76858"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4%</w:t>
            </w:r>
          </w:p>
        </w:tc>
        <w:tc>
          <w:tcPr>
            <w:tcW w:w="1210" w:type="dxa"/>
            <w:tcBorders>
              <w:top w:val="nil"/>
              <w:left w:val="nil"/>
              <w:bottom w:val="single" w:sz="4" w:space="0" w:color="auto"/>
              <w:right w:val="nil"/>
            </w:tcBorders>
            <w:shd w:val="clear" w:color="auto" w:fill="auto"/>
            <w:noWrap/>
            <w:vAlign w:val="bottom"/>
            <w:hideMark/>
          </w:tcPr>
          <w:p w14:paraId="46C8BEC6" w14:textId="2F2C6010" w:rsidR="005D037F" w:rsidRPr="003B2F93" w:rsidRDefault="005D037F" w:rsidP="00067077">
            <w:pPr>
              <w:jc w:val="right"/>
              <w:rPr>
                <w:rFonts w:eastAsia="Times New Roman" w:cs="Times New Roman"/>
                <w:color w:val="000000"/>
                <w:sz w:val="18"/>
                <w:szCs w:val="18"/>
              </w:rPr>
            </w:pPr>
            <w:r w:rsidRPr="00F4100C">
              <w:rPr>
                <w:rFonts w:eastAsia="Times New Roman" w:cs="Times New Roman"/>
                <w:color w:val="000000"/>
                <w:sz w:val="18"/>
                <w:szCs w:val="18"/>
              </w:rPr>
              <w:t>8%</w:t>
            </w:r>
          </w:p>
        </w:tc>
        <w:tc>
          <w:tcPr>
            <w:tcW w:w="1055" w:type="dxa"/>
            <w:gridSpan w:val="2"/>
            <w:tcBorders>
              <w:top w:val="nil"/>
              <w:left w:val="nil"/>
              <w:bottom w:val="single" w:sz="4" w:space="0" w:color="auto"/>
              <w:right w:val="nil"/>
            </w:tcBorders>
            <w:shd w:val="clear" w:color="auto" w:fill="auto"/>
            <w:noWrap/>
            <w:vAlign w:val="bottom"/>
            <w:hideMark/>
          </w:tcPr>
          <w:p w14:paraId="1E4B8939" w14:textId="1E70CA79" w:rsidR="005D037F" w:rsidRPr="003B2F93" w:rsidRDefault="005D037F" w:rsidP="00067077">
            <w:pPr>
              <w:jc w:val="right"/>
              <w:rPr>
                <w:rFonts w:eastAsia="Times New Roman" w:cs="Times New Roman"/>
                <w:color w:val="000000"/>
                <w:sz w:val="18"/>
                <w:szCs w:val="18"/>
              </w:rPr>
            </w:pPr>
            <w:r>
              <w:rPr>
                <w:rFonts w:eastAsia="Times New Roman" w:cs="Times New Roman"/>
                <w:color w:val="000000"/>
                <w:sz w:val="18"/>
                <w:szCs w:val="18"/>
              </w:rPr>
              <w:t>9%</w:t>
            </w:r>
          </w:p>
        </w:tc>
      </w:tr>
      <w:tr w:rsidR="00F4100C" w:rsidRPr="00F4100C" w14:paraId="7215378D" w14:textId="77777777" w:rsidTr="003B2F93">
        <w:trPr>
          <w:gridAfter w:val="1"/>
          <w:wAfter w:w="760" w:type="dxa"/>
          <w:trHeight w:val="300"/>
        </w:trPr>
        <w:tc>
          <w:tcPr>
            <w:tcW w:w="8630" w:type="dxa"/>
            <w:gridSpan w:val="7"/>
            <w:tcBorders>
              <w:top w:val="single" w:sz="4" w:space="0" w:color="auto"/>
              <w:left w:val="nil"/>
              <w:bottom w:val="nil"/>
              <w:right w:val="nil"/>
            </w:tcBorders>
            <w:shd w:val="clear" w:color="auto" w:fill="auto"/>
            <w:noWrap/>
            <w:vAlign w:val="bottom"/>
            <w:hideMark/>
          </w:tcPr>
          <w:p w14:paraId="575BFEAB" w14:textId="77777777" w:rsidR="00C433BE" w:rsidRPr="00A03E5F" w:rsidRDefault="00C433BE" w:rsidP="001759FD">
            <w:pPr>
              <w:spacing w:line="240" w:lineRule="auto"/>
              <w:rPr>
                <w:rFonts w:eastAsia="Times New Roman" w:cs="Times New Roman"/>
                <w:iCs/>
                <w:color w:val="000000"/>
                <w:sz w:val="12"/>
                <w:szCs w:val="16"/>
              </w:rPr>
            </w:pPr>
          </w:p>
          <w:p w14:paraId="2B959E4C" w14:textId="6DD2AA23" w:rsidR="00F4100C" w:rsidRDefault="00F4100C" w:rsidP="001759FD">
            <w:pPr>
              <w:spacing w:line="240" w:lineRule="auto"/>
              <w:rPr>
                <w:rFonts w:eastAsia="Times New Roman" w:cs="Times New Roman"/>
                <w:iCs/>
                <w:color w:val="000000"/>
                <w:sz w:val="18"/>
                <w:szCs w:val="16"/>
              </w:rPr>
            </w:pPr>
            <w:r w:rsidRPr="001759FD">
              <w:rPr>
                <w:rFonts w:eastAsia="Times New Roman" w:cs="Times New Roman"/>
                <w:iCs/>
                <w:color w:val="000000"/>
                <w:sz w:val="18"/>
                <w:szCs w:val="16"/>
              </w:rPr>
              <w:t>Source: Association of Bay Area Governments, Projections 20</w:t>
            </w:r>
            <w:r w:rsidR="005D037F">
              <w:rPr>
                <w:rFonts w:eastAsia="Times New Roman" w:cs="Times New Roman"/>
                <w:iCs/>
                <w:color w:val="000000"/>
                <w:sz w:val="18"/>
                <w:szCs w:val="16"/>
              </w:rPr>
              <w:t>13</w:t>
            </w:r>
            <w:r w:rsidRPr="001759FD">
              <w:rPr>
                <w:rFonts w:eastAsia="Times New Roman" w:cs="Times New Roman"/>
                <w:iCs/>
                <w:color w:val="000000"/>
                <w:sz w:val="18"/>
                <w:szCs w:val="16"/>
              </w:rPr>
              <w:t>; US Census SF1 1990-2010</w:t>
            </w:r>
            <w:r w:rsidR="00A03E5F">
              <w:rPr>
                <w:rFonts w:eastAsia="Times New Roman" w:cs="Times New Roman"/>
                <w:iCs/>
                <w:color w:val="000000"/>
                <w:sz w:val="18"/>
                <w:szCs w:val="16"/>
              </w:rPr>
              <w:t xml:space="preserve">; California Department of Finance projections for California (January 2013), </w:t>
            </w:r>
            <w:hyperlink r:id="rId11" w:history="1">
              <w:r w:rsidR="00A03E5F" w:rsidRPr="005D1326">
                <w:rPr>
                  <w:rStyle w:val="Hyperlink"/>
                  <w:rFonts w:eastAsia="Times New Roman" w:cs="Times New Roman"/>
                  <w:iCs/>
                  <w:sz w:val="18"/>
                  <w:szCs w:val="16"/>
                </w:rPr>
                <w:t>http://www.dof.ca.gov/research/demographic/reports/projections/P-1/</w:t>
              </w:r>
            </w:hyperlink>
          </w:p>
          <w:p w14:paraId="60F6AB44" w14:textId="7E98161F" w:rsidR="00A03E5F" w:rsidRPr="001759FD" w:rsidRDefault="00A03E5F" w:rsidP="001759FD">
            <w:pPr>
              <w:spacing w:line="240" w:lineRule="auto"/>
              <w:rPr>
                <w:rFonts w:eastAsia="Times New Roman" w:cs="Times New Roman"/>
                <w:iCs/>
                <w:color w:val="000000"/>
                <w:sz w:val="16"/>
                <w:szCs w:val="16"/>
              </w:rPr>
            </w:pPr>
          </w:p>
        </w:tc>
      </w:tr>
    </w:tbl>
    <w:p w14:paraId="392C5A77" w14:textId="77777777" w:rsidR="00A03E5F" w:rsidRPr="00A03E5F" w:rsidRDefault="00A03E5F" w:rsidP="00953768">
      <w:pPr>
        <w:pStyle w:val="21ElementsText"/>
        <w:rPr>
          <w:sz w:val="14"/>
        </w:rPr>
      </w:pPr>
    </w:p>
    <w:p w14:paraId="76A635BB" w14:textId="77777777" w:rsidR="00651989" w:rsidRPr="00672DF9" w:rsidRDefault="00651989" w:rsidP="00651989">
      <w:pPr>
        <w:pStyle w:val="21ElementsText"/>
      </w:pPr>
      <w:r w:rsidRPr="00672DF9">
        <w:t>The table below shows Plan Bay Area projections (approved July 2013) for housing units, house</w:t>
      </w:r>
      <w:r>
        <w:t xml:space="preserve">holds and local jobs. The following tables </w:t>
      </w:r>
      <w:r w:rsidRPr="00672DF9">
        <w:t>are ABAG Projections 2013, which provide more detailed information on household characteristics, types of jobs, etc. ABAG Projections 2013 provide an indicator of trends and conditions in San Mateo County and its jurisdictions.</w:t>
      </w:r>
    </w:p>
    <w:p w14:paraId="616841F7" w14:textId="77777777" w:rsidR="00651989" w:rsidRPr="00672DF9" w:rsidRDefault="00651989" w:rsidP="00651989">
      <w:pPr>
        <w:pStyle w:val="21ElementsText"/>
        <w:rPr>
          <w:sz w:val="4"/>
        </w:rPr>
      </w:pPr>
    </w:p>
    <w:p w14:paraId="77B78475" w14:textId="77777777" w:rsidR="00651989" w:rsidRPr="00672DF9" w:rsidRDefault="00651989" w:rsidP="00651989">
      <w:pPr>
        <w:rPr>
          <w:rFonts w:cs="Lucida Grande"/>
          <w:color w:val="000000"/>
          <w:szCs w:val="22"/>
        </w:rPr>
      </w:pPr>
    </w:p>
    <w:p w14:paraId="566173A4" w14:textId="77777777" w:rsidR="00651989" w:rsidRPr="00672DF9" w:rsidRDefault="00651989" w:rsidP="00651989">
      <w:pPr>
        <w:rPr>
          <w:rFonts w:cs="Lucida Grande"/>
          <w:color w:val="000000"/>
          <w:szCs w:val="22"/>
        </w:rPr>
      </w:pPr>
      <w:r w:rsidRPr="00672DF9">
        <w:rPr>
          <w:rFonts w:cs="Lucida Grande"/>
          <w:color w:val="000000"/>
          <w:szCs w:val="22"/>
        </w:rPr>
        <w:t>ABAG Projections 2013 are based on 2010 demographic data taken directly from the U.S. Census. The 2010 employment data are derived from (1) California County-Level Economic Forecast, 2011-2040, California Department of Transportation; (2) Bay Area Job Growth to 2040: Projections and Analysis, Center for Continuing Study of the California Economy; and, (3) 1989-2009 National Establishment Times-Series (NETS) Database, Walls &amp; Associates using Dun and Bradstreet data; and labor force data from U.S. Bureau of Labor Statistics and the U.S. Census Bureau's 2005-2009 A</w:t>
      </w:r>
      <w:r>
        <w:rPr>
          <w:rFonts w:cs="Lucida Grande"/>
          <w:color w:val="000000"/>
          <w:szCs w:val="22"/>
        </w:rPr>
        <w:t xml:space="preserve">CS. </w:t>
      </w:r>
    </w:p>
    <w:p w14:paraId="76F2337A" w14:textId="739E2D39" w:rsidR="00651989" w:rsidRDefault="00651989">
      <w:pPr>
        <w:spacing w:line="240" w:lineRule="auto"/>
        <w:rPr>
          <w:rFonts w:ascii="Arial" w:hAnsi="Arial" w:cs="Arial"/>
          <w:sz w:val="4"/>
          <w:szCs w:val="20"/>
        </w:rPr>
      </w:pPr>
      <w:r>
        <w:rPr>
          <w:rFonts w:ascii="Arial" w:hAnsi="Arial" w:cs="Arial"/>
          <w:sz w:val="4"/>
          <w:szCs w:val="20"/>
        </w:rPr>
        <w:br w:type="page"/>
      </w:r>
    </w:p>
    <w:p w14:paraId="1639CAF6" w14:textId="77777777" w:rsidR="00A82E5D" w:rsidRDefault="00A82E5D" w:rsidP="00A82E5D">
      <w:pPr>
        <w:autoSpaceDE w:val="0"/>
        <w:autoSpaceDN w:val="0"/>
        <w:adjustRightInd w:val="0"/>
        <w:rPr>
          <w:rFonts w:ascii="Arial" w:hAnsi="Arial" w:cs="Arial"/>
          <w:sz w:val="4"/>
          <w:szCs w:val="20"/>
        </w:rPr>
      </w:pPr>
    </w:p>
    <w:p w14:paraId="44ADD0CC" w14:textId="77777777" w:rsidR="00A82E5D" w:rsidRDefault="00A82E5D" w:rsidP="00A82E5D">
      <w:pPr>
        <w:autoSpaceDE w:val="0"/>
        <w:autoSpaceDN w:val="0"/>
        <w:adjustRightInd w:val="0"/>
        <w:rPr>
          <w:rFonts w:ascii="Arial" w:hAnsi="Arial" w:cs="Arial"/>
          <w:sz w:val="4"/>
          <w:szCs w:val="20"/>
        </w:rPr>
      </w:pPr>
    </w:p>
    <w:p w14:paraId="2D37AFEB" w14:textId="77777777" w:rsidR="00917AAA" w:rsidRDefault="00917AAA" w:rsidP="00917AAA">
      <w:pPr>
        <w:pStyle w:val="21ElementsText"/>
      </w:pPr>
    </w:p>
    <w:p w14:paraId="4C649453" w14:textId="2A6BF328" w:rsidR="00917AAA" w:rsidRPr="00B4447B" w:rsidRDefault="00917AAA" w:rsidP="00917AAA">
      <w:pPr>
        <w:pStyle w:val="21ElementsText"/>
        <w:rPr>
          <w:rFonts w:ascii="Arial" w:hAnsi="Arial" w:cs="Arial"/>
          <w:sz w:val="2"/>
          <w:szCs w:val="20"/>
        </w:rPr>
      </w:pPr>
    </w:p>
    <w:tbl>
      <w:tblPr>
        <w:tblW w:w="10890" w:type="dxa"/>
        <w:tblInd w:w="-612" w:type="dxa"/>
        <w:tblLayout w:type="fixed"/>
        <w:tblLook w:val="0000" w:firstRow="0" w:lastRow="0" w:firstColumn="0" w:lastColumn="0" w:noHBand="0" w:noVBand="0"/>
      </w:tblPr>
      <w:tblGrid>
        <w:gridCol w:w="1980"/>
        <w:gridCol w:w="990"/>
        <w:gridCol w:w="900"/>
        <w:gridCol w:w="900"/>
        <w:gridCol w:w="1170"/>
        <w:gridCol w:w="1170"/>
        <w:gridCol w:w="900"/>
        <w:gridCol w:w="900"/>
        <w:gridCol w:w="990"/>
        <w:gridCol w:w="540"/>
        <w:gridCol w:w="450"/>
      </w:tblGrid>
      <w:tr w:rsidR="00917AAA" w:rsidRPr="00A82E5D" w14:paraId="5E0FA873" w14:textId="77777777" w:rsidTr="00BB1DF7">
        <w:trPr>
          <w:trHeight w:val="300"/>
        </w:trPr>
        <w:tc>
          <w:tcPr>
            <w:tcW w:w="10890" w:type="dxa"/>
            <w:gridSpan w:val="11"/>
            <w:tcBorders>
              <w:top w:val="nil"/>
              <w:left w:val="nil"/>
              <w:bottom w:val="nil"/>
              <w:right w:val="nil"/>
            </w:tcBorders>
            <w:shd w:val="solid" w:color="000000" w:fill="auto"/>
          </w:tcPr>
          <w:p w14:paraId="499B18B5" w14:textId="77777777" w:rsidR="00917AAA" w:rsidRPr="00A82E5D" w:rsidRDefault="00917AAA" w:rsidP="00DC16E6">
            <w:pPr>
              <w:pStyle w:val="Heading1"/>
              <w:spacing w:before="60" w:line="336" w:lineRule="auto"/>
              <w:rPr>
                <w:szCs w:val="20"/>
              </w:rPr>
            </w:pPr>
            <w:r>
              <w:rPr>
                <w:szCs w:val="20"/>
              </w:rPr>
              <w:t xml:space="preserve">ABAG/MTC </w:t>
            </w:r>
            <w:r w:rsidRPr="00A82E5D">
              <w:rPr>
                <w:szCs w:val="20"/>
              </w:rPr>
              <w:t xml:space="preserve">Plan Bay Area </w:t>
            </w:r>
            <w:r>
              <w:rPr>
                <w:szCs w:val="20"/>
              </w:rPr>
              <w:t xml:space="preserve">Projections for </w:t>
            </w:r>
            <w:r w:rsidRPr="00A82E5D">
              <w:rPr>
                <w:szCs w:val="20"/>
              </w:rPr>
              <w:t xml:space="preserve">Housing, Households and Jobs </w:t>
            </w:r>
            <w:r>
              <w:rPr>
                <w:szCs w:val="20"/>
              </w:rPr>
              <w:t>(2010-2040)</w:t>
            </w:r>
          </w:p>
        </w:tc>
      </w:tr>
      <w:tr w:rsidR="00917AAA" w:rsidRPr="008852D7" w14:paraId="50EFF45C" w14:textId="77777777" w:rsidTr="00BB1DF7">
        <w:tblPrEx>
          <w:tblCellMar>
            <w:left w:w="115" w:type="dxa"/>
            <w:right w:w="115" w:type="dxa"/>
          </w:tblCellMar>
        </w:tblPrEx>
        <w:trPr>
          <w:trHeight w:val="603"/>
        </w:trPr>
        <w:tc>
          <w:tcPr>
            <w:tcW w:w="1980" w:type="dxa"/>
            <w:tcBorders>
              <w:top w:val="nil"/>
              <w:left w:val="nil"/>
              <w:bottom w:val="single" w:sz="2" w:space="0" w:color="auto"/>
              <w:right w:val="nil"/>
            </w:tcBorders>
          </w:tcPr>
          <w:p w14:paraId="19BE35AC" w14:textId="77777777" w:rsidR="00917AAA" w:rsidRPr="008852D7" w:rsidRDefault="00917AAA" w:rsidP="00C30273">
            <w:pPr>
              <w:widowControl w:val="0"/>
              <w:autoSpaceDE w:val="0"/>
              <w:autoSpaceDN w:val="0"/>
              <w:adjustRightInd w:val="0"/>
              <w:spacing w:line="240" w:lineRule="auto"/>
              <w:ind w:right="-115"/>
              <w:jc w:val="right"/>
              <w:rPr>
                <w:rFonts w:cs="Century Gothic"/>
                <w:color w:val="000000"/>
                <w:sz w:val="16"/>
                <w:szCs w:val="16"/>
              </w:rPr>
            </w:pPr>
          </w:p>
        </w:tc>
        <w:tc>
          <w:tcPr>
            <w:tcW w:w="990" w:type="dxa"/>
            <w:tcBorders>
              <w:top w:val="nil"/>
              <w:left w:val="nil"/>
              <w:bottom w:val="single" w:sz="2" w:space="0" w:color="auto"/>
              <w:right w:val="nil"/>
            </w:tcBorders>
            <w:vAlign w:val="bottom"/>
          </w:tcPr>
          <w:p w14:paraId="311DBE8F"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2010</w:t>
            </w:r>
          </w:p>
          <w:p w14:paraId="5D243AD4"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Housing Units</w:t>
            </w:r>
          </w:p>
          <w:p w14:paraId="51F1D0C6"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p>
        </w:tc>
        <w:tc>
          <w:tcPr>
            <w:tcW w:w="900" w:type="dxa"/>
            <w:tcBorders>
              <w:top w:val="nil"/>
              <w:left w:val="nil"/>
              <w:bottom w:val="single" w:sz="2" w:space="0" w:color="auto"/>
            </w:tcBorders>
            <w:vAlign w:val="bottom"/>
          </w:tcPr>
          <w:p w14:paraId="44E31C23"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2040 Housing Units</w:t>
            </w:r>
          </w:p>
          <w:p w14:paraId="57BB4D3F"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p>
        </w:tc>
        <w:tc>
          <w:tcPr>
            <w:tcW w:w="900" w:type="dxa"/>
            <w:tcBorders>
              <w:top w:val="nil"/>
              <w:left w:val="nil"/>
              <w:bottom w:val="single" w:sz="2" w:space="0" w:color="auto"/>
              <w:right w:val="single" w:sz="2" w:space="0" w:color="auto"/>
            </w:tcBorders>
            <w:vAlign w:val="bottom"/>
          </w:tcPr>
          <w:p w14:paraId="478F3E41"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Percent Change</w:t>
            </w:r>
          </w:p>
          <w:p w14:paraId="5D5431AE" w14:textId="77777777" w:rsidR="00917AAA" w:rsidRPr="00534769" w:rsidRDefault="00917AAA" w:rsidP="00DC16E6">
            <w:pPr>
              <w:widowControl w:val="0"/>
              <w:autoSpaceDE w:val="0"/>
              <w:autoSpaceDN w:val="0"/>
              <w:adjustRightInd w:val="0"/>
              <w:spacing w:line="240" w:lineRule="auto"/>
              <w:jc w:val="right"/>
              <w:rPr>
                <w:rFonts w:cs="Century Gothic"/>
                <w:b/>
                <w:bCs/>
                <w:color w:val="000000" w:themeColor="text1"/>
                <w:sz w:val="16"/>
                <w:szCs w:val="18"/>
              </w:rPr>
            </w:pPr>
          </w:p>
        </w:tc>
        <w:tc>
          <w:tcPr>
            <w:tcW w:w="1170" w:type="dxa"/>
            <w:tcBorders>
              <w:top w:val="nil"/>
              <w:left w:val="single" w:sz="2" w:space="0" w:color="auto"/>
              <w:bottom w:val="single" w:sz="2" w:space="0" w:color="auto"/>
              <w:right w:val="nil"/>
            </w:tcBorders>
          </w:tcPr>
          <w:p w14:paraId="0202D9E6" w14:textId="77777777" w:rsidR="00917AAA" w:rsidRPr="00534769" w:rsidRDefault="00917AAA" w:rsidP="00DC16E6">
            <w:pPr>
              <w:widowControl w:val="0"/>
              <w:autoSpaceDE w:val="0"/>
              <w:autoSpaceDN w:val="0"/>
              <w:adjustRightInd w:val="0"/>
              <w:spacing w:line="240" w:lineRule="auto"/>
              <w:jc w:val="right"/>
              <w:rPr>
                <w:rFonts w:cs="Century Gothic"/>
                <w:b/>
                <w:bCs/>
                <w:color w:val="000000" w:themeColor="text1"/>
                <w:sz w:val="16"/>
                <w:szCs w:val="18"/>
              </w:rPr>
            </w:pPr>
          </w:p>
          <w:p w14:paraId="426DFF6E" w14:textId="77777777" w:rsidR="00917AAA" w:rsidRPr="00C30273" w:rsidRDefault="00917AAA" w:rsidP="00DC16E6">
            <w:pPr>
              <w:widowControl w:val="0"/>
              <w:autoSpaceDE w:val="0"/>
              <w:autoSpaceDN w:val="0"/>
              <w:adjustRightInd w:val="0"/>
              <w:spacing w:line="240" w:lineRule="auto"/>
              <w:jc w:val="right"/>
              <w:rPr>
                <w:rFonts w:cs="Century Gothic"/>
                <w:b/>
                <w:bCs/>
                <w:color w:val="000000" w:themeColor="text1"/>
                <w:sz w:val="16"/>
                <w:szCs w:val="18"/>
              </w:rPr>
            </w:pPr>
          </w:p>
          <w:p w14:paraId="10ED059E" w14:textId="77777777" w:rsidR="00917AAA" w:rsidRPr="00534769" w:rsidRDefault="00917AAA" w:rsidP="00DC16E6">
            <w:pPr>
              <w:widowControl w:val="0"/>
              <w:autoSpaceDE w:val="0"/>
              <w:autoSpaceDN w:val="0"/>
              <w:adjustRightInd w:val="0"/>
              <w:spacing w:line="240" w:lineRule="auto"/>
              <w:jc w:val="right"/>
              <w:rPr>
                <w:rFonts w:cs="Century Gothic"/>
                <w:b/>
                <w:bCs/>
                <w:color w:val="000000" w:themeColor="text1"/>
                <w:sz w:val="16"/>
                <w:szCs w:val="18"/>
              </w:rPr>
            </w:pPr>
          </w:p>
          <w:p w14:paraId="6FFD4308" w14:textId="77777777" w:rsidR="00917AAA" w:rsidRPr="00534769" w:rsidRDefault="00917AAA" w:rsidP="00DC16E6">
            <w:pPr>
              <w:widowControl w:val="0"/>
              <w:autoSpaceDE w:val="0"/>
              <w:autoSpaceDN w:val="0"/>
              <w:adjustRightInd w:val="0"/>
              <w:spacing w:line="240" w:lineRule="auto"/>
              <w:jc w:val="right"/>
              <w:rPr>
                <w:rFonts w:cs="Century Gothic"/>
                <w:b/>
                <w:bCs/>
                <w:color w:val="000000" w:themeColor="text1"/>
                <w:sz w:val="16"/>
                <w:szCs w:val="18"/>
              </w:rPr>
            </w:pPr>
            <w:r w:rsidRPr="00534769">
              <w:rPr>
                <w:rFonts w:cs="Century Gothic"/>
                <w:b/>
                <w:bCs/>
                <w:color w:val="000000" w:themeColor="text1"/>
                <w:sz w:val="16"/>
                <w:szCs w:val="18"/>
              </w:rPr>
              <w:t>2010 Households</w:t>
            </w:r>
          </w:p>
          <w:p w14:paraId="6201726E" w14:textId="77777777" w:rsidR="00917AAA" w:rsidRPr="00C30273" w:rsidRDefault="00917AAA" w:rsidP="00DC16E6">
            <w:pPr>
              <w:widowControl w:val="0"/>
              <w:autoSpaceDE w:val="0"/>
              <w:autoSpaceDN w:val="0"/>
              <w:adjustRightInd w:val="0"/>
              <w:spacing w:line="240" w:lineRule="auto"/>
              <w:jc w:val="right"/>
              <w:rPr>
                <w:rFonts w:cs="Century Gothic"/>
                <w:b/>
                <w:bCs/>
                <w:color w:val="000000" w:themeColor="text1"/>
                <w:sz w:val="16"/>
                <w:szCs w:val="18"/>
              </w:rPr>
            </w:pPr>
            <w:r w:rsidRPr="00C30273">
              <w:rPr>
                <w:rFonts w:cs="Century Gothic"/>
                <w:b/>
                <w:bCs/>
                <w:color w:val="000000" w:themeColor="text1"/>
                <w:sz w:val="16"/>
                <w:szCs w:val="18"/>
              </w:rPr>
              <w:t xml:space="preserve"> </w:t>
            </w:r>
          </w:p>
        </w:tc>
        <w:tc>
          <w:tcPr>
            <w:tcW w:w="1170" w:type="dxa"/>
            <w:tcBorders>
              <w:top w:val="nil"/>
              <w:left w:val="nil"/>
              <w:bottom w:val="single" w:sz="2" w:space="0" w:color="auto"/>
              <w:right w:val="nil"/>
            </w:tcBorders>
            <w:vAlign w:val="bottom"/>
          </w:tcPr>
          <w:p w14:paraId="6C8FCEC9" w14:textId="77777777" w:rsidR="00917AAA" w:rsidRPr="00534769" w:rsidRDefault="00917AAA" w:rsidP="00DC16E6">
            <w:pPr>
              <w:widowControl w:val="0"/>
              <w:autoSpaceDE w:val="0"/>
              <w:autoSpaceDN w:val="0"/>
              <w:adjustRightInd w:val="0"/>
              <w:spacing w:line="240" w:lineRule="auto"/>
              <w:ind w:right="17"/>
              <w:jc w:val="right"/>
              <w:rPr>
                <w:rFonts w:cs="Century Gothic"/>
                <w:b/>
                <w:bCs/>
                <w:color w:val="000000"/>
                <w:sz w:val="16"/>
                <w:szCs w:val="18"/>
              </w:rPr>
            </w:pPr>
            <w:r w:rsidRPr="00534769">
              <w:rPr>
                <w:rFonts w:cs="Century Gothic"/>
                <w:b/>
                <w:bCs/>
                <w:color w:val="000000"/>
                <w:sz w:val="16"/>
                <w:szCs w:val="18"/>
              </w:rPr>
              <w:t>2040</w:t>
            </w:r>
          </w:p>
          <w:p w14:paraId="63FCD347" w14:textId="77777777" w:rsidR="00917AAA" w:rsidRPr="00534769" w:rsidRDefault="00917AAA" w:rsidP="00DC16E6">
            <w:pPr>
              <w:widowControl w:val="0"/>
              <w:autoSpaceDE w:val="0"/>
              <w:autoSpaceDN w:val="0"/>
              <w:adjustRightInd w:val="0"/>
              <w:spacing w:line="240" w:lineRule="auto"/>
              <w:ind w:right="17"/>
              <w:jc w:val="right"/>
              <w:rPr>
                <w:rFonts w:cs="Century Gothic"/>
                <w:b/>
                <w:bCs/>
                <w:color w:val="000000"/>
                <w:sz w:val="16"/>
                <w:szCs w:val="18"/>
              </w:rPr>
            </w:pPr>
            <w:r w:rsidRPr="00534769">
              <w:rPr>
                <w:rFonts w:cs="Century Gothic"/>
                <w:b/>
                <w:bCs/>
                <w:color w:val="000000"/>
                <w:sz w:val="16"/>
                <w:szCs w:val="18"/>
              </w:rPr>
              <w:t>Households</w:t>
            </w:r>
          </w:p>
          <w:p w14:paraId="7542381C" w14:textId="77777777" w:rsidR="00917AAA" w:rsidRPr="00534769" w:rsidRDefault="00917AAA" w:rsidP="00DC16E6">
            <w:pPr>
              <w:widowControl w:val="0"/>
              <w:autoSpaceDE w:val="0"/>
              <w:autoSpaceDN w:val="0"/>
              <w:adjustRightInd w:val="0"/>
              <w:spacing w:line="240" w:lineRule="auto"/>
              <w:ind w:right="17"/>
              <w:jc w:val="right"/>
              <w:rPr>
                <w:rFonts w:cs="Century Gothic"/>
                <w:b/>
                <w:bCs/>
                <w:color w:val="000000"/>
                <w:sz w:val="16"/>
                <w:szCs w:val="18"/>
              </w:rPr>
            </w:pPr>
          </w:p>
        </w:tc>
        <w:tc>
          <w:tcPr>
            <w:tcW w:w="900" w:type="dxa"/>
            <w:tcBorders>
              <w:top w:val="nil"/>
              <w:left w:val="nil"/>
              <w:bottom w:val="single" w:sz="2" w:space="0" w:color="auto"/>
              <w:right w:val="single" w:sz="2" w:space="0" w:color="auto"/>
            </w:tcBorders>
            <w:vAlign w:val="bottom"/>
          </w:tcPr>
          <w:p w14:paraId="086F8AE7" w14:textId="77777777" w:rsidR="00917AAA" w:rsidRPr="00534769" w:rsidRDefault="00917AAA" w:rsidP="00C30273">
            <w:pPr>
              <w:widowControl w:val="0"/>
              <w:autoSpaceDE w:val="0"/>
              <w:autoSpaceDN w:val="0"/>
              <w:adjustRightInd w:val="0"/>
              <w:spacing w:line="240" w:lineRule="auto"/>
              <w:ind w:right="17"/>
              <w:jc w:val="right"/>
              <w:rPr>
                <w:rFonts w:eastAsiaTheme="majorEastAsia" w:cs="Century Gothic"/>
                <w:b/>
                <w:bCs/>
                <w:color w:val="000000"/>
                <w:sz w:val="16"/>
                <w:szCs w:val="18"/>
              </w:rPr>
            </w:pPr>
            <w:r w:rsidRPr="00534769">
              <w:rPr>
                <w:rFonts w:cs="Century Gothic"/>
                <w:b/>
                <w:bCs/>
                <w:color w:val="000000"/>
                <w:sz w:val="16"/>
                <w:szCs w:val="18"/>
              </w:rPr>
              <w:t>Percent Change</w:t>
            </w:r>
          </w:p>
          <w:p w14:paraId="3A3075CB" w14:textId="77777777" w:rsidR="00917AAA" w:rsidRPr="00534769" w:rsidRDefault="00917AAA" w:rsidP="00C30273">
            <w:pPr>
              <w:widowControl w:val="0"/>
              <w:autoSpaceDE w:val="0"/>
              <w:autoSpaceDN w:val="0"/>
              <w:adjustRightInd w:val="0"/>
              <w:spacing w:line="240" w:lineRule="auto"/>
              <w:ind w:right="17"/>
              <w:jc w:val="right"/>
              <w:rPr>
                <w:rFonts w:cs="Century Gothic"/>
                <w:b/>
                <w:bCs/>
                <w:color w:val="000000"/>
                <w:sz w:val="16"/>
                <w:szCs w:val="18"/>
              </w:rPr>
            </w:pPr>
          </w:p>
        </w:tc>
        <w:tc>
          <w:tcPr>
            <w:tcW w:w="900" w:type="dxa"/>
            <w:tcBorders>
              <w:top w:val="nil"/>
              <w:left w:val="single" w:sz="2" w:space="0" w:color="auto"/>
              <w:bottom w:val="single" w:sz="2" w:space="0" w:color="auto"/>
              <w:right w:val="nil"/>
            </w:tcBorders>
            <w:vAlign w:val="bottom"/>
          </w:tcPr>
          <w:p w14:paraId="7023B739"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2010</w:t>
            </w:r>
          </w:p>
          <w:p w14:paraId="2538F4AE"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Jobs</w:t>
            </w:r>
          </w:p>
          <w:p w14:paraId="150F6B24"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p>
        </w:tc>
        <w:tc>
          <w:tcPr>
            <w:tcW w:w="990" w:type="dxa"/>
            <w:tcBorders>
              <w:top w:val="nil"/>
              <w:left w:val="nil"/>
              <w:bottom w:val="single" w:sz="2" w:space="0" w:color="auto"/>
              <w:right w:val="nil"/>
            </w:tcBorders>
            <w:vAlign w:val="bottom"/>
          </w:tcPr>
          <w:p w14:paraId="0B8DF2D6"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2040</w:t>
            </w:r>
          </w:p>
          <w:p w14:paraId="5FA9BC67"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r w:rsidRPr="00534769">
              <w:rPr>
                <w:rFonts w:cs="Century Gothic"/>
                <w:b/>
                <w:bCs/>
                <w:color w:val="000000"/>
                <w:sz w:val="16"/>
                <w:szCs w:val="18"/>
              </w:rPr>
              <w:t>Jobs</w:t>
            </w:r>
          </w:p>
          <w:p w14:paraId="0DADB242"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p>
        </w:tc>
        <w:tc>
          <w:tcPr>
            <w:tcW w:w="990" w:type="dxa"/>
            <w:gridSpan w:val="2"/>
            <w:tcBorders>
              <w:top w:val="nil"/>
              <w:left w:val="nil"/>
              <w:bottom w:val="single" w:sz="2" w:space="0" w:color="auto"/>
              <w:right w:val="nil"/>
            </w:tcBorders>
            <w:vAlign w:val="bottom"/>
          </w:tcPr>
          <w:p w14:paraId="5B9C4499" w14:textId="77777777" w:rsidR="00917AAA" w:rsidRPr="00534769" w:rsidRDefault="00917AAA" w:rsidP="00DC16E6">
            <w:pPr>
              <w:widowControl w:val="0"/>
              <w:autoSpaceDE w:val="0"/>
              <w:autoSpaceDN w:val="0"/>
              <w:adjustRightInd w:val="0"/>
              <w:spacing w:line="240" w:lineRule="auto"/>
              <w:ind w:right="17"/>
              <w:jc w:val="right"/>
              <w:rPr>
                <w:rFonts w:cs="Century Gothic"/>
                <w:b/>
                <w:bCs/>
                <w:color w:val="000000"/>
                <w:sz w:val="16"/>
                <w:szCs w:val="18"/>
              </w:rPr>
            </w:pPr>
            <w:r w:rsidRPr="00534769">
              <w:rPr>
                <w:rFonts w:cs="Century Gothic"/>
                <w:b/>
                <w:bCs/>
                <w:color w:val="000000"/>
                <w:sz w:val="16"/>
                <w:szCs w:val="18"/>
              </w:rPr>
              <w:t>Percent Change</w:t>
            </w:r>
          </w:p>
          <w:p w14:paraId="15008B62" w14:textId="77777777" w:rsidR="00917AAA" w:rsidRPr="00534769" w:rsidRDefault="00917AAA" w:rsidP="00DC16E6">
            <w:pPr>
              <w:widowControl w:val="0"/>
              <w:autoSpaceDE w:val="0"/>
              <w:autoSpaceDN w:val="0"/>
              <w:adjustRightInd w:val="0"/>
              <w:spacing w:line="240" w:lineRule="auto"/>
              <w:jc w:val="right"/>
              <w:rPr>
                <w:rFonts w:cs="Century Gothic"/>
                <w:b/>
                <w:bCs/>
                <w:color w:val="000000"/>
                <w:sz w:val="16"/>
                <w:szCs w:val="18"/>
              </w:rPr>
            </w:pPr>
          </w:p>
        </w:tc>
      </w:tr>
      <w:tr w:rsidR="00917AAA" w:rsidRPr="009C57FF" w14:paraId="2EE8FD66" w14:textId="77777777" w:rsidTr="00BB1DF7">
        <w:tblPrEx>
          <w:tblCellMar>
            <w:left w:w="115" w:type="dxa"/>
            <w:right w:w="115" w:type="dxa"/>
          </w:tblCellMar>
        </w:tblPrEx>
        <w:trPr>
          <w:trHeight w:val="132"/>
        </w:trPr>
        <w:tc>
          <w:tcPr>
            <w:tcW w:w="1980" w:type="dxa"/>
            <w:tcBorders>
              <w:top w:val="nil"/>
              <w:left w:val="nil"/>
              <w:bottom w:val="single" w:sz="6" w:space="0" w:color="808080"/>
              <w:right w:val="nil"/>
            </w:tcBorders>
            <w:vAlign w:val="center"/>
          </w:tcPr>
          <w:p w14:paraId="207E4B62" w14:textId="30D9C98F" w:rsidR="00917AAA" w:rsidRPr="009C57FF" w:rsidRDefault="00E02427" w:rsidP="00C30273">
            <w:pPr>
              <w:widowControl w:val="0"/>
              <w:autoSpaceDE w:val="0"/>
              <w:autoSpaceDN w:val="0"/>
              <w:adjustRightInd w:val="0"/>
              <w:spacing w:line="360" w:lineRule="auto"/>
              <w:ind w:right="-115"/>
              <w:rPr>
                <w:rFonts w:eastAsiaTheme="majorEastAsia" w:cs="Century Gothic"/>
                <w:b/>
                <w:bCs/>
                <w:color w:val="000000"/>
                <w:sz w:val="18"/>
                <w:szCs w:val="18"/>
              </w:rPr>
            </w:pPr>
            <w:r>
              <w:rPr>
                <w:color w:val="000000"/>
                <w:sz w:val="18"/>
                <w:szCs w:val="18"/>
              </w:rPr>
              <w:t>Atherton</w:t>
            </w:r>
          </w:p>
        </w:tc>
        <w:tc>
          <w:tcPr>
            <w:tcW w:w="990" w:type="dxa"/>
            <w:tcBorders>
              <w:top w:val="nil"/>
              <w:left w:val="nil"/>
              <w:bottom w:val="single" w:sz="6" w:space="0" w:color="808080"/>
              <w:right w:val="nil"/>
            </w:tcBorders>
            <w:vAlign w:val="bottom"/>
          </w:tcPr>
          <w:p w14:paraId="281EBFE7" w14:textId="77777777" w:rsidR="00917AAA" w:rsidRPr="009C57FF" w:rsidRDefault="00917AAA" w:rsidP="00F76EA2">
            <w:pPr>
              <w:widowControl w:val="0"/>
              <w:autoSpaceDE w:val="0"/>
              <w:autoSpaceDN w:val="0"/>
              <w:adjustRightInd w:val="0"/>
              <w:spacing w:line="360" w:lineRule="auto"/>
              <w:jc w:val="right"/>
              <w:rPr>
                <w:rFonts w:cs="Century Gothic"/>
                <w:color w:val="000000"/>
                <w:sz w:val="18"/>
                <w:szCs w:val="18"/>
              </w:rPr>
            </w:pPr>
            <w:r w:rsidRPr="009C57FF">
              <w:rPr>
                <w:color w:val="000000"/>
                <w:sz w:val="18"/>
                <w:szCs w:val="18"/>
              </w:rPr>
              <w:t>2,530</w:t>
            </w:r>
          </w:p>
        </w:tc>
        <w:tc>
          <w:tcPr>
            <w:tcW w:w="900" w:type="dxa"/>
            <w:tcBorders>
              <w:top w:val="nil"/>
              <w:left w:val="nil"/>
              <w:bottom w:val="single" w:sz="6" w:space="0" w:color="808080"/>
            </w:tcBorders>
            <w:vAlign w:val="bottom"/>
          </w:tcPr>
          <w:p w14:paraId="3EB4B777" w14:textId="77777777" w:rsidR="00917AAA" w:rsidRPr="009C57FF" w:rsidRDefault="00917AAA" w:rsidP="00F76EA2">
            <w:pPr>
              <w:widowControl w:val="0"/>
              <w:autoSpaceDE w:val="0"/>
              <w:autoSpaceDN w:val="0"/>
              <w:adjustRightInd w:val="0"/>
              <w:spacing w:line="360" w:lineRule="auto"/>
              <w:jc w:val="right"/>
              <w:rPr>
                <w:rFonts w:cs="Century Gothic"/>
                <w:color w:val="000000"/>
                <w:sz w:val="18"/>
                <w:szCs w:val="18"/>
              </w:rPr>
            </w:pPr>
            <w:r w:rsidRPr="009C57FF">
              <w:rPr>
                <w:rFonts w:cs="Arial"/>
                <w:sz w:val="18"/>
                <w:szCs w:val="18"/>
              </w:rPr>
              <w:t>2,750</w:t>
            </w:r>
          </w:p>
        </w:tc>
        <w:tc>
          <w:tcPr>
            <w:tcW w:w="900" w:type="dxa"/>
            <w:tcBorders>
              <w:top w:val="nil"/>
              <w:left w:val="nil"/>
              <w:bottom w:val="single" w:sz="6" w:space="0" w:color="808080"/>
              <w:right w:val="single" w:sz="2" w:space="0" w:color="auto"/>
            </w:tcBorders>
            <w:vAlign w:val="center"/>
          </w:tcPr>
          <w:p w14:paraId="35EF3310" w14:textId="77777777" w:rsidR="00917AAA" w:rsidRPr="009C57FF" w:rsidRDefault="00917AAA" w:rsidP="00F76EA2">
            <w:pPr>
              <w:widowControl w:val="0"/>
              <w:autoSpaceDE w:val="0"/>
              <w:autoSpaceDN w:val="0"/>
              <w:adjustRightInd w:val="0"/>
              <w:spacing w:line="360" w:lineRule="auto"/>
              <w:jc w:val="right"/>
              <w:rPr>
                <w:color w:val="000000" w:themeColor="text1"/>
                <w:sz w:val="18"/>
                <w:szCs w:val="18"/>
              </w:rPr>
            </w:pPr>
            <w:r w:rsidRPr="009C57FF">
              <w:rPr>
                <w:rFonts w:eastAsia="Times New Roman" w:cs="Times New Roman"/>
                <w:color w:val="000000"/>
                <w:sz w:val="18"/>
                <w:szCs w:val="18"/>
              </w:rPr>
              <w:t>+9%</w:t>
            </w:r>
          </w:p>
        </w:tc>
        <w:tc>
          <w:tcPr>
            <w:tcW w:w="1170" w:type="dxa"/>
            <w:tcBorders>
              <w:top w:val="nil"/>
              <w:left w:val="single" w:sz="2" w:space="0" w:color="auto"/>
              <w:bottom w:val="single" w:sz="6" w:space="0" w:color="808080"/>
              <w:right w:val="nil"/>
            </w:tcBorders>
          </w:tcPr>
          <w:p w14:paraId="3486B6B1"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9C57FF">
              <w:rPr>
                <w:color w:val="000000" w:themeColor="text1"/>
                <w:sz w:val="18"/>
                <w:szCs w:val="18"/>
              </w:rPr>
              <w:t>2,330</w:t>
            </w:r>
          </w:p>
        </w:tc>
        <w:tc>
          <w:tcPr>
            <w:tcW w:w="1170" w:type="dxa"/>
            <w:tcBorders>
              <w:top w:val="nil"/>
              <w:left w:val="nil"/>
              <w:bottom w:val="single" w:sz="6" w:space="0" w:color="808080"/>
              <w:right w:val="nil"/>
            </w:tcBorders>
            <w:vAlign w:val="center"/>
          </w:tcPr>
          <w:p w14:paraId="2F1B81E3" w14:textId="77777777" w:rsidR="00917AAA" w:rsidRPr="009C57FF" w:rsidRDefault="00917AAA" w:rsidP="00F76EA2">
            <w:pPr>
              <w:widowControl w:val="0"/>
              <w:autoSpaceDE w:val="0"/>
              <w:autoSpaceDN w:val="0"/>
              <w:adjustRightInd w:val="0"/>
              <w:spacing w:line="360" w:lineRule="auto"/>
              <w:ind w:right="17"/>
              <w:jc w:val="right"/>
              <w:rPr>
                <w:color w:val="000000"/>
                <w:sz w:val="18"/>
                <w:szCs w:val="18"/>
              </w:rPr>
            </w:pPr>
            <w:r w:rsidRPr="009C57FF">
              <w:rPr>
                <w:rFonts w:eastAsia="Times New Roman" w:cs="Times New Roman"/>
                <w:color w:val="000000"/>
                <w:sz w:val="18"/>
                <w:szCs w:val="18"/>
              </w:rPr>
              <w:t>2,580</w:t>
            </w:r>
          </w:p>
        </w:tc>
        <w:tc>
          <w:tcPr>
            <w:tcW w:w="900" w:type="dxa"/>
            <w:tcBorders>
              <w:top w:val="nil"/>
              <w:left w:val="nil"/>
              <w:bottom w:val="single" w:sz="6" w:space="0" w:color="808080"/>
              <w:right w:val="single" w:sz="2" w:space="0" w:color="auto"/>
            </w:tcBorders>
            <w:vAlign w:val="center"/>
          </w:tcPr>
          <w:p w14:paraId="4D52B648" w14:textId="77777777" w:rsidR="00917AAA" w:rsidRPr="009C57FF"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9C57FF">
              <w:rPr>
                <w:rFonts w:eastAsia="Times New Roman" w:cs="Times New Roman"/>
                <w:color w:val="000000"/>
                <w:sz w:val="18"/>
                <w:szCs w:val="18"/>
              </w:rPr>
              <w:t>+11%</w:t>
            </w:r>
          </w:p>
        </w:tc>
        <w:tc>
          <w:tcPr>
            <w:tcW w:w="900" w:type="dxa"/>
            <w:tcBorders>
              <w:top w:val="nil"/>
              <w:left w:val="single" w:sz="2" w:space="0" w:color="auto"/>
              <w:bottom w:val="single" w:sz="6" w:space="0" w:color="808080"/>
              <w:right w:val="nil"/>
            </w:tcBorders>
            <w:vAlign w:val="bottom"/>
          </w:tcPr>
          <w:p w14:paraId="7927D9AB" w14:textId="77777777" w:rsidR="00917AAA" w:rsidRPr="009C57FF" w:rsidRDefault="00917AAA" w:rsidP="00F76EA2">
            <w:pPr>
              <w:widowControl w:val="0"/>
              <w:autoSpaceDE w:val="0"/>
              <w:autoSpaceDN w:val="0"/>
              <w:adjustRightInd w:val="0"/>
              <w:spacing w:line="360" w:lineRule="auto"/>
              <w:jc w:val="right"/>
              <w:rPr>
                <w:rFonts w:cs="Century Gothic"/>
                <w:color w:val="000000"/>
                <w:sz w:val="18"/>
                <w:szCs w:val="18"/>
              </w:rPr>
            </w:pPr>
            <w:r w:rsidRPr="009C57FF">
              <w:rPr>
                <w:color w:val="000000"/>
                <w:sz w:val="18"/>
                <w:szCs w:val="18"/>
              </w:rPr>
              <w:t>2,610</w:t>
            </w:r>
          </w:p>
        </w:tc>
        <w:tc>
          <w:tcPr>
            <w:tcW w:w="990" w:type="dxa"/>
            <w:tcBorders>
              <w:top w:val="nil"/>
              <w:left w:val="nil"/>
              <w:bottom w:val="single" w:sz="6" w:space="0" w:color="808080"/>
              <w:right w:val="nil"/>
            </w:tcBorders>
            <w:vAlign w:val="bottom"/>
          </w:tcPr>
          <w:p w14:paraId="08D67C72" w14:textId="77777777" w:rsidR="00917AAA" w:rsidRPr="009C57FF" w:rsidRDefault="00917AAA" w:rsidP="00F76EA2">
            <w:pPr>
              <w:widowControl w:val="0"/>
              <w:autoSpaceDE w:val="0"/>
              <w:autoSpaceDN w:val="0"/>
              <w:adjustRightInd w:val="0"/>
              <w:spacing w:line="360" w:lineRule="auto"/>
              <w:jc w:val="right"/>
              <w:rPr>
                <w:rFonts w:cs="Century Gothic"/>
                <w:color w:val="000000"/>
                <w:sz w:val="18"/>
                <w:szCs w:val="18"/>
              </w:rPr>
            </w:pPr>
            <w:r w:rsidRPr="009C57FF">
              <w:rPr>
                <w:color w:val="000000"/>
                <w:sz w:val="18"/>
                <w:szCs w:val="18"/>
              </w:rPr>
              <w:t>3,160</w:t>
            </w:r>
          </w:p>
        </w:tc>
        <w:tc>
          <w:tcPr>
            <w:tcW w:w="990" w:type="dxa"/>
            <w:gridSpan w:val="2"/>
            <w:tcBorders>
              <w:top w:val="nil"/>
              <w:left w:val="nil"/>
              <w:bottom w:val="single" w:sz="6" w:space="0" w:color="808080"/>
              <w:right w:val="nil"/>
            </w:tcBorders>
            <w:vAlign w:val="center"/>
          </w:tcPr>
          <w:p w14:paraId="2770D6B1" w14:textId="77777777" w:rsidR="00917AAA" w:rsidRPr="009C57FF" w:rsidRDefault="00917AAA" w:rsidP="00F76EA2">
            <w:pPr>
              <w:widowControl w:val="0"/>
              <w:autoSpaceDE w:val="0"/>
              <w:autoSpaceDN w:val="0"/>
              <w:adjustRightInd w:val="0"/>
              <w:spacing w:line="360" w:lineRule="auto"/>
              <w:jc w:val="right"/>
              <w:rPr>
                <w:color w:val="000000"/>
                <w:sz w:val="18"/>
                <w:szCs w:val="18"/>
              </w:rPr>
            </w:pPr>
            <w:r w:rsidRPr="009C57FF">
              <w:rPr>
                <w:rFonts w:eastAsia="Times New Roman" w:cs="Times New Roman"/>
                <w:color w:val="000000"/>
                <w:sz w:val="18"/>
                <w:szCs w:val="18"/>
              </w:rPr>
              <w:t>+21%</w:t>
            </w:r>
          </w:p>
        </w:tc>
      </w:tr>
      <w:tr w:rsidR="00917AAA" w:rsidRPr="008852D7" w14:paraId="49558AE8" w14:textId="77777777" w:rsidTr="00BB1DF7">
        <w:tblPrEx>
          <w:tblCellMar>
            <w:left w:w="115" w:type="dxa"/>
            <w:right w:w="115" w:type="dxa"/>
          </w:tblCellMar>
        </w:tblPrEx>
        <w:trPr>
          <w:trHeight w:val="84"/>
        </w:trPr>
        <w:tc>
          <w:tcPr>
            <w:tcW w:w="1980" w:type="dxa"/>
            <w:tcBorders>
              <w:top w:val="single" w:sz="6" w:space="0" w:color="808080"/>
              <w:left w:val="nil"/>
              <w:bottom w:val="single" w:sz="6" w:space="0" w:color="808080"/>
              <w:right w:val="nil"/>
            </w:tcBorders>
            <w:vAlign w:val="center"/>
          </w:tcPr>
          <w:p w14:paraId="3B4DF544"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Belmont</w:t>
            </w:r>
          </w:p>
        </w:tc>
        <w:tc>
          <w:tcPr>
            <w:tcW w:w="990" w:type="dxa"/>
            <w:tcBorders>
              <w:top w:val="single" w:sz="6" w:space="0" w:color="808080"/>
              <w:left w:val="nil"/>
              <w:bottom w:val="single" w:sz="6" w:space="0" w:color="808080"/>
              <w:right w:val="nil"/>
            </w:tcBorders>
            <w:vAlign w:val="bottom"/>
          </w:tcPr>
          <w:p w14:paraId="38C708EC"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11,030</w:t>
            </w:r>
          </w:p>
        </w:tc>
        <w:tc>
          <w:tcPr>
            <w:tcW w:w="900" w:type="dxa"/>
            <w:tcBorders>
              <w:top w:val="single" w:sz="6" w:space="0" w:color="808080"/>
              <w:left w:val="nil"/>
              <w:bottom w:val="single" w:sz="6" w:space="0" w:color="808080"/>
            </w:tcBorders>
            <w:vAlign w:val="bottom"/>
          </w:tcPr>
          <w:p w14:paraId="46AE09B2"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12,150</w:t>
            </w:r>
          </w:p>
        </w:tc>
        <w:tc>
          <w:tcPr>
            <w:tcW w:w="900" w:type="dxa"/>
            <w:tcBorders>
              <w:top w:val="single" w:sz="6" w:space="0" w:color="808080"/>
              <w:left w:val="nil"/>
              <w:bottom w:val="single" w:sz="6" w:space="0" w:color="808080"/>
              <w:right w:val="single" w:sz="2" w:space="0" w:color="auto"/>
            </w:tcBorders>
            <w:vAlign w:val="center"/>
          </w:tcPr>
          <w:p w14:paraId="1DB6C1D7"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+10%</w:t>
            </w:r>
          </w:p>
        </w:tc>
        <w:tc>
          <w:tcPr>
            <w:tcW w:w="1170" w:type="dxa"/>
            <w:tcBorders>
              <w:top w:val="single" w:sz="6" w:space="0" w:color="808080"/>
              <w:left w:val="single" w:sz="2" w:space="0" w:color="auto"/>
              <w:bottom w:val="single" w:sz="6" w:space="0" w:color="808080"/>
              <w:right w:val="nil"/>
            </w:tcBorders>
          </w:tcPr>
          <w:p w14:paraId="07371639"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10,580</w:t>
            </w:r>
          </w:p>
        </w:tc>
        <w:tc>
          <w:tcPr>
            <w:tcW w:w="1170" w:type="dxa"/>
            <w:tcBorders>
              <w:top w:val="single" w:sz="6" w:space="0" w:color="808080"/>
              <w:left w:val="nil"/>
              <w:bottom w:val="single" w:sz="6" w:space="0" w:color="808080"/>
              <w:right w:val="nil"/>
            </w:tcBorders>
            <w:vAlign w:val="center"/>
          </w:tcPr>
          <w:p w14:paraId="675C3643"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11,790</w:t>
            </w:r>
          </w:p>
        </w:tc>
        <w:tc>
          <w:tcPr>
            <w:tcW w:w="900" w:type="dxa"/>
            <w:tcBorders>
              <w:top w:val="single" w:sz="6" w:space="0" w:color="808080"/>
              <w:left w:val="nil"/>
              <w:bottom w:val="single" w:sz="6" w:space="0" w:color="808080"/>
              <w:right w:val="single" w:sz="2" w:space="0" w:color="auto"/>
            </w:tcBorders>
            <w:vAlign w:val="center"/>
          </w:tcPr>
          <w:p w14:paraId="579A92F6"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+11%</w:t>
            </w:r>
          </w:p>
        </w:tc>
        <w:tc>
          <w:tcPr>
            <w:tcW w:w="900" w:type="dxa"/>
            <w:tcBorders>
              <w:top w:val="single" w:sz="6" w:space="0" w:color="808080"/>
              <w:left w:val="single" w:sz="2" w:space="0" w:color="auto"/>
              <w:bottom w:val="single" w:sz="6" w:space="0" w:color="808080"/>
              <w:right w:val="nil"/>
            </w:tcBorders>
            <w:vAlign w:val="bottom"/>
          </w:tcPr>
          <w:p w14:paraId="6004D36A"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8,180</w:t>
            </w:r>
          </w:p>
        </w:tc>
        <w:tc>
          <w:tcPr>
            <w:tcW w:w="990" w:type="dxa"/>
            <w:tcBorders>
              <w:top w:val="single" w:sz="6" w:space="0" w:color="808080"/>
              <w:left w:val="nil"/>
              <w:bottom w:val="single" w:sz="6" w:space="0" w:color="808080"/>
              <w:right w:val="nil"/>
            </w:tcBorders>
            <w:vAlign w:val="bottom"/>
          </w:tcPr>
          <w:p w14:paraId="342F6080"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10,450</w:t>
            </w:r>
          </w:p>
        </w:tc>
        <w:tc>
          <w:tcPr>
            <w:tcW w:w="990" w:type="dxa"/>
            <w:gridSpan w:val="2"/>
            <w:tcBorders>
              <w:top w:val="single" w:sz="6" w:space="0" w:color="808080"/>
              <w:left w:val="nil"/>
              <w:bottom w:val="single" w:sz="6" w:space="0" w:color="808080"/>
              <w:right w:val="nil"/>
            </w:tcBorders>
            <w:vAlign w:val="center"/>
          </w:tcPr>
          <w:p w14:paraId="1895E3EC"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+28%</w:t>
            </w:r>
          </w:p>
        </w:tc>
      </w:tr>
      <w:tr w:rsidR="00917AAA" w:rsidRPr="008852D7" w14:paraId="0B0F7952" w14:textId="77777777" w:rsidTr="00BB1DF7">
        <w:tblPrEx>
          <w:tblCellMar>
            <w:left w:w="115" w:type="dxa"/>
            <w:right w:w="115" w:type="dxa"/>
          </w:tblCellMar>
        </w:tblPrEx>
        <w:trPr>
          <w:trHeight w:val="48"/>
        </w:trPr>
        <w:tc>
          <w:tcPr>
            <w:tcW w:w="1980" w:type="dxa"/>
            <w:tcBorders>
              <w:top w:val="single" w:sz="6" w:space="0" w:color="808080"/>
              <w:left w:val="nil"/>
              <w:bottom w:val="single" w:sz="6" w:space="0" w:color="808080"/>
              <w:right w:val="nil"/>
            </w:tcBorders>
            <w:vAlign w:val="center"/>
          </w:tcPr>
          <w:p w14:paraId="71BECCA1"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Brisbane</w:t>
            </w:r>
          </w:p>
        </w:tc>
        <w:tc>
          <w:tcPr>
            <w:tcW w:w="990" w:type="dxa"/>
            <w:tcBorders>
              <w:top w:val="single" w:sz="6" w:space="0" w:color="808080"/>
              <w:left w:val="nil"/>
              <w:bottom w:val="single" w:sz="6" w:space="0" w:color="808080"/>
              <w:right w:val="nil"/>
            </w:tcBorders>
            <w:vAlign w:val="bottom"/>
          </w:tcPr>
          <w:p w14:paraId="3FBD4156"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1,930</w:t>
            </w:r>
          </w:p>
        </w:tc>
        <w:tc>
          <w:tcPr>
            <w:tcW w:w="900" w:type="dxa"/>
            <w:tcBorders>
              <w:top w:val="single" w:sz="6" w:space="0" w:color="808080"/>
              <w:left w:val="nil"/>
              <w:bottom w:val="single" w:sz="6" w:space="0" w:color="808080"/>
            </w:tcBorders>
            <w:vAlign w:val="bottom"/>
          </w:tcPr>
          <w:p w14:paraId="5A805C07" w14:textId="525631E5" w:rsidR="00917AAA" w:rsidRPr="008852D7" w:rsidRDefault="00BB1DF7" w:rsidP="00F76EA2">
            <w:pPr>
              <w:widowControl w:val="0"/>
              <w:autoSpaceDE w:val="0"/>
              <w:autoSpaceDN w:val="0"/>
              <w:adjustRightInd w:val="0"/>
              <w:spacing w:line="360" w:lineRule="auto"/>
              <w:jc w:val="right"/>
              <w:rPr>
                <w:rFonts w:cs="Century Gothic"/>
                <w:color w:val="000000"/>
                <w:sz w:val="18"/>
                <w:szCs w:val="18"/>
              </w:rPr>
            </w:pPr>
            <w:r>
              <w:rPr>
                <w:rFonts w:cs="Arial"/>
                <w:sz w:val="18"/>
                <w:szCs w:val="18"/>
              </w:rPr>
              <w:t>2,180</w:t>
            </w:r>
          </w:p>
        </w:tc>
        <w:tc>
          <w:tcPr>
            <w:tcW w:w="900" w:type="dxa"/>
            <w:tcBorders>
              <w:top w:val="single" w:sz="6" w:space="0" w:color="808080"/>
              <w:left w:val="nil"/>
              <w:bottom w:val="single" w:sz="6" w:space="0" w:color="808080"/>
              <w:right w:val="single" w:sz="2" w:space="0" w:color="auto"/>
            </w:tcBorders>
            <w:vAlign w:val="center"/>
          </w:tcPr>
          <w:p w14:paraId="095765F1" w14:textId="2F92172A"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w:t>
            </w:r>
            <w:r w:rsidR="00BB1DF7">
              <w:rPr>
                <w:rFonts w:eastAsia="Times New Roman" w:cs="Times New Roman"/>
                <w:color w:val="000000"/>
                <w:sz w:val="18"/>
                <w:szCs w:val="18"/>
              </w:rPr>
              <w:t>13</w:t>
            </w:r>
            <w:r w:rsidRPr="008852D7">
              <w:rPr>
                <w:rFonts w:eastAsia="Times New Roman" w:cs="Times New Roman"/>
                <w:color w:val="000000"/>
                <w:sz w:val="18"/>
                <w:szCs w:val="18"/>
              </w:rPr>
              <w:t>%</w:t>
            </w:r>
          </w:p>
        </w:tc>
        <w:tc>
          <w:tcPr>
            <w:tcW w:w="1170" w:type="dxa"/>
            <w:tcBorders>
              <w:top w:val="single" w:sz="6" w:space="0" w:color="808080"/>
              <w:left w:val="single" w:sz="2" w:space="0" w:color="auto"/>
              <w:bottom w:val="single" w:sz="6" w:space="0" w:color="808080"/>
              <w:right w:val="nil"/>
            </w:tcBorders>
          </w:tcPr>
          <w:p w14:paraId="78EE8984"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1,820</w:t>
            </w:r>
          </w:p>
        </w:tc>
        <w:tc>
          <w:tcPr>
            <w:tcW w:w="1170" w:type="dxa"/>
            <w:tcBorders>
              <w:top w:val="single" w:sz="6" w:space="0" w:color="808080"/>
              <w:left w:val="nil"/>
              <w:bottom w:val="single" w:sz="6" w:space="0" w:color="808080"/>
              <w:right w:val="nil"/>
            </w:tcBorders>
            <w:vAlign w:val="center"/>
          </w:tcPr>
          <w:p w14:paraId="721E8B48"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2,090</w:t>
            </w:r>
          </w:p>
        </w:tc>
        <w:tc>
          <w:tcPr>
            <w:tcW w:w="900" w:type="dxa"/>
            <w:tcBorders>
              <w:top w:val="single" w:sz="6" w:space="0" w:color="808080"/>
              <w:left w:val="nil"/>
              <w:bottom w:val="single" w:sz="6" w:space="0" w:color="808080"/>
              <w:right w:val="single" w:sz="2" w:space="0" w:color="auto"/>
            </w:tcBorders>
            <w:vAlign w:val="center"/>
          </w:tcPr>
          <w:p w14:paraId="18D22C97"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+15%</w:t>
            </w:r>
          </w:p>
        </w:tc>
        <w:tc>
          <w:tcPr>
            <w:tcW w:w="900" w:type="dxa"/>
            <w:tcBorders>
              <w:top w:val="single" w:sz="6" w:space="0" w:color="808080"/>
              <w:left w:val="single" w:sz="2" w:space="0" w:color="auto"/>
              <w:bottom w:val="single" w:sz="6" w:space="0" w:color="808080"/>
              <w:right w:val="nil"/>
            </w:tcBorders>
            <w:vAlign w:val="bottom"/>
          </w:tcPr>
          <w:p w14:paraId="520551D4"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6,780</w:t>
            </w:r>
          </w:p>
        </w:tc>
        <w:tc>
          <w:tcPr>
            <w:tcW w:w="990" w:type="dxa"/>
            <w:tcBorders>
              <w:top w:val="single" w:sz="6" w:space="0" w:color="808080"/>
              <w:left w:val="nil"/>
              <w:bottom w:val="single" w:sz="6" w:space="0" w:color="808080"/>
              <w:right w:val="nil"/>
            </w:tcBorders>
            <w:vAlign w:val="bottom"/>
          </w:tcPr>
          <w:p w14:paraId="31211BF7"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7,670</w:t>
            </w:r>
          </w:p>
        </w:tc>
        <w:tc>
          <w:tcPr>
            <w:tcW w:w="990" w:type="dxa"/>
            <w:gridSpan w:val="2"/>
            <w:tcBorders>
              <w:top w:val="single" w:sz="6" w:space="0" w:color="808080"/>
              <w:left w:val="nil"/>
              <w:bottom w:val="single" w:sz="6" w:space="0" w:color="808080"/>
              <w:right w:val="nil"/>
            </w:tcBorders>
            <w:vAlign w:val="center"/>
          </w:tcPr>
          <w:p w14:paraId="5E3AA66D"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+13%</w:t>
            </w:r>
          </w:p>
        </w:tc>
      </w:tr>
      <w:tr w:rsidR="00917AAA" w:rsidRPr="008852D7" w14:paraId="5C32B7A1" w14:textId="77777777" w:rsidTr="00BB1DF7">
        <w:tblPrEx>
          <w:tblCellMar>
            <w:left w:w="115" w:type="dxa"/>
            <w:right w:w="115" w:type="dxa"/>
          </w:tblCellMar>
        </w:tblPrEx>
        <w:trPr>
          <w:trHeight w:val="84"/>
        </w:trPr>
        <w:tc>
          <w:tcPr>
            <w:tcW w:w="1980" w:type="dxa"/>
            <w:tcBorders>
              <w:top w:val="single" w:sz="6" w:space="0" w:color="808080"/>
              <w:left w:val="nil"/>
              <w:bottom w:val="single" w:sz="6" w:space="0" w:color="808080"/>
              <w:right w:val="nil"/>
            </w:tcBorders>
            <w:vAlign w:val="center"/>
          </w:tcPr>
          <w:p w14:paraId="6BADEA78"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Burlingame</w:t>
            </w:r>
          </w:p>
        </w:tc>
        <w:tc>
          <w:tcPr>
            <w:tcW w:w="990" w:type="dxa"/>
            <w:tcBorders>
              <w:top w:val="single" w:sz="6" w:space="0" w:color="808080"/>
              <w:left w:val="nil"/>
              <w:bottom w:val="single" w:sz="6" w:space="0" w:color="808080"/>
              <w:right w:val="nil"/>
            </w:tcBorders>
            <w:vAlign w:val="bottom"/>
          </w:tcPr>
          <w:p w14:paraId="0A08F9D4"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13,030</w:t>
            </w:r>
          </w:p>
        </w:tc>
        <w:tc>
          <w:tcPr>
            <w:tcW w:w="900" w:type="dxa"/>
            <w:tcBorders>
              <w:top w:val="single" w:sz="6" w:space="0" w:color="808080"/>
              <w:left w:val="nil"/>
              <w:bottom w:val="single" w:sz="6" w:space="0" w:color="808080"/>
            </w:tcBorders>
            <w:vAlign w:val="bottom"/>
          </w:tcPr>
          <w:p w14:paraId="1564F3CA" w14:textId="566E4E68" w:rsidR="00917AAA" w:rsidRPr="008852D7" w:rsidRDefault="00BB1DF7" w:rsidP="00F76EA2">
            <w:pPr>
              <w:widowControl w:val="0"/>
              <w:autoSpaceDE w:val="0"/>
              <w:autoSpaceDN w:val="0"/>
              <w:adjustRightInd w:val="0"/>
              <w:spacing w:line="360" w:lineRule="auto"/>
              <w:jc w:val="right"/>
              <w:rPr>
                <w:rFonts w:cs="Century Gothic"/>
                <w:color w:val="000000"/>
                <w:sz w:val="18"/>
                <w:szCs w:val="18"/>
              </w:rPr>
            </w:pPr>
            <w:r>
              <w:rPr>
                <w:rFonts w:cs="Arial"/>
                <w:sz w:val="18"/>
                <w:szCs w:val="18"/>
              </w:rPr>
              <w:t>16,700</w:t>
            </w:r>
          </w:p>
        </w:tc>
        <w:tc>
          <w:tcPr>
            <w:tcW w:w="900" w:type="dxa"/>
            <w:tcBorders>
              <w:top w:val="single" w:sz="6" w:space="0" w:color="808080"/>
              <w:left w:val="nil"/>
              <w:bottom w:val="single" w:sz="6" w:space="0" w:color="808080"/>
              <w:right w:val="single" w:sz="2" w:space="0" w:color="auto"/>
            </w:tcBorders>
            <w:vAlign w:val="center"/>
          </w:tcPr>
          <w:p w14:paraId="5CE94195" w14:textId="24382784"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w:t>
            </w:r>
            <w:r w:rsidR="00BB1DF7">
              <w:rPr>
                <w:rFonts w:eastAsia="Times New Roman" w:cs="Times New Roman"/>
                <w:color w:val="000000"/>
                <w:sz w:val="18"/>
                <w:szCs w:val="18"/>
              </w:rPr>
              <w:t>28</w:t>
            </w:r>
            <w:r w:rsidRPr="008852D7">
              <w:rPr>
                <w:rFonts w:eastAsia="Times New Roman" w:cs="Times New Roman"/>
                <w:color w:val="000000"/>
                <w:sz w:val="18"/>
                <w:szCs w:val="18"/>
              </w:rPr>
              <w:t>%</w:t>
            </w:r>
          </w:p>
        </w:tc>
        <w:tc>
          <w:tcPr>
            <w:tcW w:w="1170" w:type="dxa"/>
            <w:tcBorders>
              <w:top w:val="single" w:sz="6" w:space="0" w:color="808080"/>
              <w:left w:val="single" w:sz="2" w:space="0" w:color="auto"/>
              <w:bottom w:val="single" w:sz="6" w:space="0" w:color="808080"/>
              <w:right w:val="nil"/>
            </w:tcBorders>
          </w:tcPr>
          <w:p w14:paraId="7B85C99E"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12,360</w:t>
            </w:r>
          </w:p>
        </w:tc>
        <w:tc>
          <w:tcPr>
            <w:tcW w:w="1170" w:type="dxa"/>
            <w:tcBorders>
              <w:top w:val="single" w:sz="6" w:space="0" w:color="808080"/>
              <w:left w:val="nil"/>
              <w:bottom w:val="single" w:sz="6" w:space="0" w:color="808080"/>
              <w:right w:val="nil"/>
            </w:tcBorders>
            <w:vAlign w:val="center"/>
          </w:tcPr>
          <w:p w14:paraId="5694A018"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16,170</w:t>
            </w:r>
          </w:p>
        </w:tc>
        <w:tc>
          <w:tcPr>
            <w:tcW w:w="900" w:type="dxa"/>
            <w:tcBorders>
              <w:top w:val="single" w:sz="6" w:space="0" w:color="808080"/>
              <w:left w:val="nil"/>
              <w:bottom w:val="single" w:sz="6" w:space="0" w:color="808080"/>
              <w:right w:val="single" w:sz="2" w:space="0" w:color="auto"/>
            </w:tcBorders>
            <w:vAlign w:val="center"/>
          </w:tcPr>
          <w:p w14:paraId="1ECE8F90"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+31%</w:t>
            </w:r>
          </w:p>
        </w:tc>
        <w:tc>
          <w:tcPr>
            <w:tcW w:w="900" w:type="dxa"/>
            <w:tcBorders>
              <w:top w:val="single" w:sz="6" w:space="0" w:color="808080"/>
              <w:left w:val="single" w:sz="2" w:space="0" w:color="auto"/>
              <w:bottom w:val="single" w:sz="6" w:space="0" w:color="808080"/>
              <w:right w:val="nil"/>
            </w:tcBorders>
            <w:vAlign w:val="bottom"/>
          </w:tcPr>
          <w:p w14:paraId="75664ECB"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29,540</w:t>
            </w:r>
          </w:p>
        </w:tc>
        <w:tc>
          <w:tcPr>
            <w:tcW w:w="990" w:type="dxa"/>
            <w:tcBorders>
              <w:top w:val="single" w:sz="6" w:space="0" w:color="808080"/>
              <w:left w:val="nil"/>
              <w:bottom w:val="single" w:sz="6" w:space="0" w:color="808080"/>
              <w:right w:val="nil"/>
            </w:tcBorders>
            <w:vAlign w:val="bottom"/>
          </w:tcPr>
          <w:p w14:paraId="70E9A686"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37,780</w:t>
            </w:r>
          </w:p>
        </w:tc>
        <w:tc>
          <w:tcPr>
            <w:tcW w:w="990" w:type="dxa"/>
            <w:gridSpan w:val="2"/>
            <w:tcBorders>
              <w:top w:val="single" w:sz="6" w:space="0" w:color="808080"/>
              <w:left w:val="nil"/>
              <w:bottom w:val="single" w:sz="6" w:space="0" w:color="808080"/>
              <w:right w:val="nil"/>
            </w:tcBorders>
            <w:vAlign w:val="center"/>
          </w:tcPr>
          <w:p w14:paraId="4EA6485B"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+28%</w:t>
            </w:r>
          </w:p>
        </w:tc>
      </w:tr>
      <w:tr w:rsidR="00917AAA" w:rsidRPr="000F0FCF" w14:paraId="6D9FE450" w14:textId="77777777" w:rsidTr="00BB1DF7">
        <w:tblPrEx>
          <w:tblCellMar>
            <w:left w:w="115" w:type="dxa"/>
            <w:right w:w="115" w:type="dxa"/>
          </w:tblCellMar>
        </w:tblPrEx>
        <w:trPr>
          <w:trHeight w:val="228"/>
        </w:trPr>
        <w:tc>
          <w:tcPr>
            <w:tcW w:w="1980" w:type="dxa"/>
            <w:tcBorders>
              <w:top w:val="single" w:sz="6" w:space="0" w:color="808080"/>
              <w:left w:val="nil"/>
              <w:bottom w:val="single" w:sz="6" w:space="0" w:color="808080"/>
              <w:right w:val="nil"/>
            </w:tcBorders>
            <w:vAlign w:val="center"/>
          </w:tcPr>
          <w:p w14:paraId="20BB7CE6" w14:textId="518212A1" w:rsidR="00917AAA" w:rsidRPr="000F0FCF" w:rsidRDefault="000F0FCF"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0F0FCF">
              <w:rPr>
                <w:color w:val="000000"/>
                <w:sz w:val="18"/>
                <w:szCs w:val="18"/>
              </w:rPr>
              <w:t>Colma</w:t>
            </w:r>
          </w:p>
        </w:tc>
        <w:tc>
          <w:tcPr>
            <w:tcW w:w="990" w:type="dxa"/>
            <w:tcBorders>
              <w:top w:val="single" w:sz="6" w:space="0" w:color="808080"/>
              <w:left w:val="nil"/>
              <w:bottom w:val="single" w:sz="6" w:space="0" w:color="808080"/>
              <w:right w:val="nil"/>
            </w:tcBorders>
            <w:vAlign w:val="bottom"/>
          </w:tcPr>
          <w:p w14:paraId="53B33C20" w14:textId="77777777" w:rsidR="00917AAA" w:rsidRPr="000F0FCF" w:rsidRDefault="00917AAA" w:rsidP="00F76EA2">
            <w:pPr>
              <w:widowControl w:val="0"/>
              <w:autoSpaceDE w:val="0"/>
              <w:autoSpaceDN w:val="0"/>
              <w:adjustRightInd w:val="0"/>
              <w:spacing w:line="360" w:lineRule="auto"/>
              <w:jc w:val="right"/>
              <w:rPr>
                <w:rFonts w:cs="Century Gothic"/>
                <w:color w:val="000000"/>
                <w:sz w:val="18"/>
                <w:szCs w:val="18"/>
              </w:rPr>
            </w:pPr>
            <w:r w:rsidRPr="000F0FCF">
              <w:rPr>
                <w:color w:val="000000"/>
                <w:sz w:val="18"/>
                <w:szCs w:val="18"/>
              </w:rPr>
              <w:t>430</w:t>
            </w:r>
          </w:p>
        </w:tc>
        <w:tc>
          <w:tcPr>
            <w:tcW w:w="900" w:type="dxa"/>
            <w:tcBorders>
              <w:top w:val="single" w:sz="6" w:space="0" w:color="808080"/>
              <w:left w:val="nil"/>
              <w:bottom w:val="single" w:sz="6" w:space="0" w:color="808080"/>
            </w:tcBorders>
            <w:vAlign w:val="bottom"/>
          </w:tcPr>
          <w:p w14:paraId="1E1676C9" w14:textId="77777777" w:rsidR="00917AAA" w:rsidRPr="000F0FCF" w:rsidRDefault="00917AAA" w:rsidP="00F76EA2">
            <w:pPr>
              <w:widowControl w:val="0"/>
              <w:autoSpaceDE w:val="0"/>
              <w:autoSpaceDN w:val="0"/>
              <w:adjustRightInd w:val="0"/>
              <w:spacing w:line="360" w:lineRule="auto"/>
              <w:jc w:val="right"/>
              <w:rPr>
                <w:rFonts w:cs="Century Gothic"/>
                <w:color w:val="000000"/>
                <w:sz w:val="18"/>
                <w:szCs w:val="18"/>
              </w:rPr>
            </w:pPr>
            <w:r w:rsidRPr="000F0FCF">
              <w:rPr>
                <w:rFonts w:cs="Arial"/>
                <w:sz w:val="18"/>
                <w:szCs w:val="18"/>
              </w:rPr>
              <w:t>680</w:t>
            </w:r>
          </w:p>
        </w:tc>
        <w:tc>
          <w:tcPr>
            <w:tcW w:w="900" w:type="dxa"/>
            <w:tcBorders>
              <w:top w:val="single" w:sz="6" w:space="0" w:color="808080"/>
              <w:left w:val="nil"/>
              <w:bottom w:val="single" w:sz="6" w:space="0" w:color="808080"/>
              <w:right w:val="single" w:sz="2" w:space="0" w:color="auto"/>
            </w:tcBorders>
            <w:vAlign w:val="center"/>
          </w:tcPr>
          <w:p w14:paraId="5ED7CAB8" w14:textId="77777777" w:rsidR="00917AAA" w:rsidRPr="000F0FCF" w:rsidRDefault="00917AAA" w:rsidP="00F76EA2">
            <w:pPr>
              <w:widowControl w:val="0"/>
              <w:autoSpaceDE w:val="0"/>
              <w:autoSpaceDN w:val="0"/>
              <w:adjustRightInd w:val="0"/>
              <w:spacing w:line="360" w:lineRule="auto"/>
              <w:jc w:val="right"/>
              <w:rPr>
                <w:color w:val="000000" w:themeColor="text1"/>
                <w:sz w:val="18"/>
                <w:szCs w:val="18"/>
              </w:rPr>
            </w:pPr>
            <w:r w:rsidRPr="000F0FCF">
              <w:rPr>
                <w:rFonts w:eastAsia="Times New Roman" w:cs="Times New Roman"/>
                <w:color w:val="000000"/>
                <w:sz w:val="18"/>
                <w:szCs w:val="18"/>
              </w:rPr>
              <w:t>+58%</w:t>
            </w:r>
          </w:p>
        </w:tc>
        <w:tc>
          <w:tcPr>
            <w:tcW w:w="1170" w:type="dxa"/>
            <w:tcBorders>
              <w:top w:val="single" w:sz="6" w:space="0" w:color="808080"/>
              <w:left w:val="single" w:sz="2" w:space="0" w:color="auto"/>
              <w:bottom w:val="single" w:sz="6" w:space="0" w:color="808080"/>
              <w:right w:val="nil"/>
            </w:tcBorders>
          </w:tcPr>
          <w:p w14:paraId="1788DC8C"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0F0FCF">
              <w:rPr>
                <w:color w:val="000000" w:themeColor="text1"/>
                <w:sz w:val="18"/>
                <w:szCs w:val="18"/>
              </w:rPr>
              <w:t>410</w:t>
            </w:r>
          </w:p>
        </w:tc>
        <w:tc>
          <w:tcPr>
            <w:tcW w:w="1170" w:type="dxa"/>
            <w:tcBorders>
              <w:top w:val="single" w:sz="6" w:space="0" w:color="808080"/>
              <w:left w:val="nil"/>
              <w:bottom w:val="single" w:sz="6" w:space="0" w:color="808080"/>
              <w:right w:val="nil"/>
            </w:tcBorders>
            <w:vAlign w:val="center"/>
          </w:tcPr>
          <w:p w14:paraId="7881A951" w14:textId="77777777" w:rsidR="00917AAA" w:rsidRPr="000F0FCF" w:rsidRDefault="00917AAA" w:rsidP="00F76EA2">
            <w:pPr>
              <w:widowControl w:val="0"/>
              <w:autoSpaceDE w:val="0"/>
              <w:autoSpaceDN w:val="0"/>
              <w:adjustRightInd w:val="0"/>
              <w:spacing w:line="360" w:lineRule="auto"/>
              <w:ind w:right="17"/>
              <w:jc w:val="right"/>
              <w:rPr>
                <w:color w:val="000000"/>
                <w:sz w:val="18"/>
                <w:szCs w:val="18"/>
              </w:rPr>
            </w:pPr>
            <w:r w:rsidRPr="000F0FCF">
              <w:rPr>
                <w:rFonts w:eastAsia="Times New Roman" w:cs="Times New Roman"/>
                <w:color w:val="000000"/>
                <w:sz w:val="18"/>
                <w:szCs w:val="18"/>
              </w:rPr>
              <w:t>660</w:t>
            </w:r>
          </w:p>
        </w:tc>
        <w:tc>
          <w:tcPr>
            <w:tcW w:w="900" w:type="dxa"/>
            <w:tcBorders>
              <w:top w:val="single" w:sz="6" w:space="0" w:color="808080"/>
              <w:left w:val="nil"/>
              <w:bottom w:val="single" w:sz="6" w:space="0" w:color="808080"/>
              <w:right w:val="single" w:sz="2" w:space="0" w:color="auto"/>
            </w:tcBorders>
            <w:vAlign w:val="center"/>
          </w:tcPr>
          <w:p w14:paraId="21498D0D" w14:textId="77777777" w:rsidR="00917AAA" w:rsidRPr="000F0FCF"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0F0FCF">
              <w:rPr>
                <w:rFonts w:eastAsia="Times New Roman" w:cs="Times New Roman"/>
                <w:color w:val="000000"/>
                <w:sz w:val="18"/>
                <w:szCs w:val="18"/>
              </w:rPr>
              <w:t>+61%</w:t>
            </w:r>
          </w:p>
        </w:tc>
        <w:tc>
          <w:tcPr>
            <w:tcW w:w="900" w:type="dxa"/>
            <w:tcBorders>
              <w:top w:val="single" w:sz="6" w:space="0" w:color="808080"/>
              <w:left w:val="single" w:sz="2" w:space="0" w:color="auto"/>
              <w:bottom w:val="single" w:sz="6" w:space="0" w:color="808080"/>
              <w:right w:val="nil"/>
            </w:tcBorders>
            <w:vAlign w:val="bottom"/>
          </w:tcPr>
          <w:p w14:paraId="1DB4F2AF" w14:textId="77777777" w:rsidR="00917AAA" w:rsidRPr="000F0FCF" w:rsidRDefault="00917AAA" w:rsidP="00F76EA2">
            <w:pPr>
              <w:widowControl w:val="0"/>
              <w:autoSpaceDE w:val="0"/>
              <w:autoSpaceDN w:val="0"/>
              <w:adjustRightInd w:val="0"/>
              <w:spacing w:line="360" w:lineRule="auto"/>
              <w:jc w:val="right"/>
              <w:rPr>
                <w:rFonts w:cs="Century Gothic"/>
                <w:color w:val="000000"/>
                <w:sz w:val="18"/>
                <w:szCs w:val="18"/>
              </w:rPr>
            </w:pPr>
            <w:r w:rsidRPr="000F0FCF">
              <w:rPr>
                <w:color w:val="000000"/>
                <w:sz w:val="18"/>
                <w:szCs w:val="18"/>
              </w:rPr>
              <w:t>2,780</w:t>
            </w:r>
          </w:p>
        </w:tc>
        <w:tc>
          <w:tcPr>
            <w:tcW w:w="990" w:type="dxa"/>
            <w:tcBorders>
              <w:top w:val="single" w:sz="6" w:space="0" w:color="808080"/>
              <w:left w:val="nil"/>
              <w:bottom w:val="single" w:sz="6" w:space="0" w:color="808080"/>
              <w:right w:val="nil"/>
            </w:tcBorders>
            <w:vAlign w:val="bottom"/>
          </w:tcPr>
          <w:p w14:paraId="41CED793" w14:textId="77777777" w:rsidR="00917AAA" w:rsidRPr="000F0FCF" w:rsidRDefault="00917AAA" w:rsidP="00F76EA2">
            <w:pPr>
              <w:widowControl w:val="0"/>
              <w:autoSpaceDE w:val="0"/>
              <w:autoSpaceDN w:val="0"/>
              <w:adjustRightInd w:val="0"/>
              <w:spacing w:line="360" w:lineRule="auto"/>
              <w:jc w:val="right"/>
              <w:rPr>
                <w:rFonts w:cs="Century Gothic"/>
                <w:color w:val="000000"/>
                <w:sz w:val="18"/>
                <w:szCs w:val="18"/>
              </w:rPr>
            </w:pPr>
            <w:r w:rsidRPr="000F0FCF">
              <w:rPr>
                <w:color w:val="000000"/>
                <w:sz w:val="18"/>
                <w:szCs w:val="18"/>
              </w:rPr>
              <w:t>3,200</w:t>
            </w:r>
          </w:p>
        </w:tc>
        <w:tc>
          <w:tcPr>
            <w:tcW w:w="990" w:type="dxa"/>
            <w:gridSpan w:val="2"/>
            <w:tcBorders>
              <w:top w:val="single" w:sz="6" w:space="0" w:color="808080"/>
              <w:left w:val="nil"/>
              <w:bottom w:val="single" w:sz="6" w:space="0" w:color="808080"/>
              <w:right w:val="nil"/>
            </w:tcBorders>
            <w:vAlign w:val="center"/>
          </w:tcPr>
          <w:p w14:paraId="3730FE7D" w14:textId="77777777" w:rsidR="00917AAA" w:rsidRPr="000F0FCF" w:rsidRDefault="00917AAA" w:rsidP="00F76EA2">
            <w:pPr>
              <w:widowControl w:val="0"/>
              <w:autoSpaceDE w:val="0"/>
              <w:autoSpaceDN w:val="0"/>
              <w:adjustRightInd w:val="0"/>
              <w:spacing w:line="360" w:lineRule="auto"/>
              <w:jc w:val="right"/>
              <w:rPr>
                <w:color w:val="000000"/>
                <w:sz w:val="18"/>
                <w:szCs w:val="18"/>
              </w:rPr>
            </w:pPr>
            <w:r w:rsidRPr="000F0FCF">
              <w:rPr>
                <w:rFonts w:eastAsia="Times New Roman" w:cs="Times New Roman"/>
                <w:color w:val="000000"/>
                <w:sz w:val="18"/>
                <w:szCs w:val="18"/>
              </w:rPr>
              <w:t>+15%</w:t>
            </w:r>
          </w:p>
        </w:tc>
      </w:tr>
      <w:tr w:rsidR="00917AAA" w:rsidRPr="008852D7" w14:paraId="323CBF8B" w14:textId="77777777" w:rsidTr="00BB1DF7">
        <w:tblPrEx>
          <w:tblCellMar>
            <w:left w:w="115" w:type="dxa"/>
            <w:right w:w="115" w:type="dxa"/>
          </w:tblCellMar>
        </w:tblPrEx>
        <w:trPr>
          <w:trHeight w:val="174"/>
        </w:trPr>
        <w:tc>
          <w:tcPr>
            <w:tcW w:w="1980" w:type="dxa"/>
            <w:tcBorders>
              <w:top w:val="single" w:sz="6" w:space="0" w:color="808080"/>
              <w:left w:val="nil"/>
              <w:bottom w:val="single" w:sz="6" w:space="0" w:color="808080"/>
              <w:right w:val="nil"/>
            </w:tcBorders>
            <w:vAlign w:val="center"/>
          </w:tcPr>
          <w:p w14:paraId="2A06C846"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Daly City</w:t>
            </w:r>
          </w:p>
        </w:tc>
        <w:tc>
          <w:tcPr>
            <w:tcW w:w="990" w:type="dxa"/>
            <w:tcBorders>
              <w:top w:val="single" w:sz="6" w:space="0" w:color="808080"/>
              <w:left w:val="nil"/>
              <w:bottom w:val="single" w:sz="6" w:space="0" w:color="808080"/>
              <w:right w:val="nil"/>
            </w:tcBorders>
            <w:vAlign w:val="bottom"/>
          </w:tcPr>
          <w:p w14:paraId="613DFEF8"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32,590</w:t>
            </w:r>
          </w:p>
        </w:tc>
        <w:tc>
          <w:tcPr>
            <w:tcW w:w="900" w:type="dxa"/>
            <w:tcBorders>
              <w:top w:val="single" w:sz="6" w:space="0" w:color="808080"/>
              <w:left w:val="nil"/>
              <w:bottom w:val="single" w:sz="6" w:space="0" w:color="808080"/>
            </w:tcBorders>
            <w:vAlign w:val="bottom"/>
          </w:tcPr>
          <w:p w14:paraId="226B4C42"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36,900</w:t>
            </w:r>
          </w:p>
        </w:tc>
        <w:tc>
          <w:tcPr>
            <w:tcW w:w="900" w:type="dxa"/>
            <w:tcBorders>
              <w:top w:val="single" w:sz="6" w:space="0" w:color="808080"/>
              <w:left w:val="nil"/>
              <w:bottom w:val="single" w:sz="6" w:space="0" w:color="808080"/>
              <w:right w:val="single" w:sz="2" w:space="0" w:color="auto"/>
            </w:tcBorders>
            <w:vAlign w:val="center"/>
          </w:tcPr>
          <w:p w14:paraId="0959437E"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+13%</w:t>
            </w:r>
          </w:p>
        </w:tc>
        <w:tc>
          <w:tcPr>
            <w:tcW w:w="1170" w:type="dxa"/>
            <w:tcBorders>
              <w:top w:val="single" w:sz="6" w:space="0" w:color="808080"/>
              <w:left w:val="single" w:sz="2" w:space="0" w:color="auto"/>
              <w:bottom w:val="single" w:sz="6" w:space="0" w:color="808080"/>
              <w:right w:val="nil"/>
            </w:tcBorders>
          </w:tcPr>
          <w:p w14:paraId="407EDF23"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31,090</w:t>
            </w:r>
          </w:p>
        </w:tc>
        <w:tc>
          <w:tcPr>
            <w:tcW w:w="1170" w:type="dxa"/>
            <w:tcBorders>
              <w:top w:val="single" w:sz="6" w:space="0" w:color="808080"/>
              <w:left w:val="nil"/>
              <w:bottom w:val="single" w:sz="6" w:space="0" w:color="808080"/>
              <w:right w:val="nil"/>
            </w:tcBorders>
            <w:vAlign w:val="center"/>
          </w:tcPr>
          <w:p w14:paraId="5E431B8D"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35,770</w:t>
            </w:r>
          </w:p>
        </w:tc>
        <w:tc>
          <w:tcPr>
            <w:tcW w:w="900" w:type="dxa"/>
            <w:tcBorders>
              <w:top w:val="single" w:sz="6" w:space="0" w:color="808080"/>
              <w:left w:val="nil"/>
              <w:bottom w:val="single" w:sz="6" w:space="0" w:color="808080"/>
              <w:right w:val="single" w:sz="2" w:space="0" w:color="auto"/>
            </w:tcBorders>
            <w:vAlign w:val="center"/>
          </w:tcPr>
          <w:p w14:paraId="4F84E842"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+15%</w:t>
            </w:r>
          </w:p>
        </w:tc>
        <w:tc>
          <w:tcPr>
            <w:tcW w:w="900" w:type="dxa"/>
            <w:tcBorders>
              <w:top w:val="single" w:sz="6" w:space="0" w:color="808080"/>
              <w:left w:val="single" w:sz="2" w:space="0" w:color="auto"/>
              <w:bottom w:val="single" w:sz="6" w:space="0" w:color="808080"/>
              <w:right w:val="nil"/>
            </w:tcBorders>
            <w:vAlign w:val="bottom"/>
          </w:tcPr>
          <w:p w14:paraId="38CF055E"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20,760</w:t>
            </w:r>
          </w:p>
        </w:tc>
        <w:tc>
          <w:tcPr>
            <w:tcW w:w="990" w:type="dxa"/>
            <w:tcBorders>
              <w:top w:val="single" w:sz="6" w:space="0" w:color="808080"/>
              <w:left w:val="nil"/>
              <w:bottom w:val="single" w:sz="6" w:space="0" w:color="808080"/>
              <w:right w:val="nil"/>
            </w:tcBorders>
            <w:vAlign w:val="bottom"/>
          </w:tcPr>
          <w:p w14:paraId="790DB55F"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26,580</w:t>
            </w:r>
          </w:p>
        </w:tc>
        <w:tc>
          <w:tcPr>
            <w:tcW w:w="990" w:type="dxa"/>
            <w:gridSpan w:val="2"/>
            <w:tcBorders>
              <w:top w:val="single" w:sz="6" w:space="0" w:color="808080"/>
              <w:left w:val="nil"/>
              <w:bottom w:val="single" w:sz="6" w:space="0" w:color="808080"/>
              <w:right w:val="nil"/>
            </w:tcBorders>
            <w:vAlign w:val="center"/>
          </w:tcPr>
          <w:p w14:paraId="1DF3EFA1"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+28%</w:t>
            </w:r>
          </w:p>
        </w:tc>
      </w:tr>
      <w:tr w:rsidR="00917AAA" w:rsidRPr="008852D7" w14:paraId="75D40A1C" w14:textId="77777777" w:rsidTr="00BB1DF7">
        <w:tblPrEx>
          <w:tblCellMar>
            <w:left w:w="115" w:type="dxa"/>
            <w:right w:w="115" w:type="dxa"/>
          </w:tblCellMar>
        </w:tblPrEx>
        <w:trPr>
          <w:trHeight w:val="138"/>
        </w:trPr>
        <w:tc>
          <w:tcPr>
            <w:tcW w:w="1980" w:type="dxa"/>
            <w:tcBorders>
              <w:top w:val="single" w:sz="6" w:space="0" w:color="808080"/>
              <w:left w:val="nil"/>
              <w:bottom w:val="single" w:sz="6" w:space="0" w:color="808080"/>
              <w:right w:val="nil"/>
            </w:tcBorders>
            <w:vAlign w:val="center"/>
          </w:tcPr>
          <w:p w14:paraId="5F8CF8FB"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East Palo Alto</w:t>
            </w:r>
          </w:p>
        </w:tc>
        <w:tc>
          <w:tcPr>
            <w:tcW w:w="990" w:type="dxa"/>
            <w:tcBorders>
              <w:top w:val="single" w:sz="6" w:space="0" w:color="808080"/>
              <w:left w:val="nil"/>
              <w:bottom w:val="single" w:sz="6" w:space="0" w:color="808080"/>
              <w:right w:val="nil"/>
            </w:tcBorders>
            <w:vAlign w:val="bottom"/>
          </w:tcPr>
          <w:p w14:paraId="3E38ABF2"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7,820</w:t>
            </w:r>
          </w:p>
        </w:tc>
        <w:tc>
          <w:tcPr>
            <w:tcW w:w="900" w:type="dxa"/>
            <w:tcBorders>
              <w:top w:val="single" w:sz="6" w:space="0" w:color="808080"/>
              <w:left w:val="nil"/>
              <w:bottom w:val="single" w:sz="6" w:space="0" w:color="808080"/>
            </w:tcBorders>
            <w:vAlign w:val="bottom"/>
          </w:tcPr>
          <w:p w14:paraId="1F2938EF"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8,670</w:t>
            </w:r>
          </w:p>
        </w:tc>
        <w:tc>
          <w:tcPr>
            <w:tcW w:w="900" w:type="dxa"/>
            <w:tcBorders>
              <w:top w:val="single" w:sz="6" w:space="0" w:color="808080"/>
              <w:left w:val="nil"/>
              <w:bottom w:val="single" w:sz="6" w:space="0" w:color="808080"/>
              <w:right w:val="single" w:sz="2" w:space="0" w:color="auto"/>
            </w:tcBorders>
            <w:vAlign w:val="center"/>
          </w:tcPr>
          <w:p w14:paraId="0B79F062"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+11%</w:t>
            </w:r>
          </w:p>
        </w:tc>
        <w:tc>
          <w:tcPr>
            <w:tcW w:w="1170" w:type="dxa"/>
            <w:tcBorders>
              <w:top w:val="single" w:sz="6" w:space="0" w:color="808080"/>
              <w:left w:val="single" w:sz="2" w:space="0" w:color="auto"/>
              <w:bottom w:val="single" w:sz="6" w:space="0" w:color="808080"/>
              <w:right w:val="nil"/>
            </w:tcBorders>
          </w:tcPr>
          <w:p w14:paraId="6007A4FC"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6,940</w:t>
            </w:r>
          </w:p>
        </w:tc>
        <w:tc>
          <w:tcPr>
            <w:tcW w:w="1170" w:type="dxa"/>
            <w:tcBorders>
              <w:top w:val="single" w:sz="6" w:space="0" w:color="808080"/>
              <w:left w:val="nil"/>
              <w:bottom w:val="single" w:sz="6" w:space="0" w:color="808080"/>
              <w:right w:val="nil"/>
            </w:tcBorders>
            <w:vAlign w:val="center"/>
          </w:tcPr>
          <w:p w14:paraId="20513908"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8,340</w:t>
            </w:r>
          </w:p>
        </w:tc>
        <w:tc>
          <w:tcPr>
            <w:tcW w:w="900" w:type="dxa"/>
            <w:tcBorders>
              <w:top w:val="single" w:sz="6" w:space="0" w:color="808080"/>
              <w:left w:val="nil"/>
              <w:bottom w:val="single" w:sz="6" w:space="0" w:color="808080"/>
              <w:right w:val="single" w:sz="2" w:space="0" w:color="auto"/>
            </w:tcBorders>
            <w:vAlign w:val="center"/>
          </w:tcPr>
          <w:p w14:paraId="6705A772"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+20%</w:t>
            </w:r>
          </w:p>
        </w:tc>
        <w:tc>
          <w:tcPr>
            <w:tcW w:w="900" w:type="dxa"/>
            <w:tcBorders>
              <w:top w:val="single" w:sz="6" w:space="0" w:color="808080"/>
              <w:left w:val="single" w:sz="2" w:space="0" w:color="auto"/>
              <w:bottom w:val="single" w:sz="6" w:space="0" w:color="808080"/>
              <w:right w:val="nil"/>
            </w:tcBorders>
            <w:vAlign w:val="bottom"/>
          </w:tcPr>
          <w:p w14:paraId="5EF59B73"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2,670</w:t>
            </w:r>
          </w:p>
        </w:tc>
        <w:tc>
          <w:tcPr>
            <w:tcW w:w="990" w:type="dxa"/>
            <w:tcBorders>
              <w:top w:val="single" w:sz="6" w:space="0" w:color="808080"/>
              <w:left w:val="nil"/>
              <w:bottom w:val="single" w:sz="6" w:space="0" w:color="808080"/>
              <w:right w:val="nil"/>
            </w:tcBorders>
            <w:vAlign w:val="bottom"/>
          </w:tcPr>
          <w:p w14:paraId="0F597F38"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3,680</w:t>
            </w:r>
          </w:p>
        </w:tc>
        <w:tc>
          <w:tcPr>
            <w:tcW w:w="990" w:type="dxa"/>
            <w:gridSpan w:val="2"/>
            <w:tcBorders>
              <w:top w:val="single" w:sz="6" w:space="0" w:color="808080"/>
              <w:left w:val="nil"/>
              <w:bottom w:val="single" w:sz="6" w:space="0" w:color="808080"/>
              <w:right w:val="nil"/>
            </w:tcBorders>
            <w:vAlign w:val="center"/>
          </w:tcPr>
          <w:p w14:paraId="77724528"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+38%</w:t>
            </w:r>
          </w:p>
        </w:tc>
      </w:tr>
      <w:tr w:rsidR="00917AAA" w:rsidRPr="008852D7" w14:paraId="5193279C" w14:textId="77777777" w:rsidTr="00BB1DF7">
        <w:tblPrEx>
          <w:tblCellMar>
            <w:left w:w="115" w:type="dxa"/>
            <w:right w:w="115" w:type="dxa"/>
          </w:tblCellMar>
        </w:tblPrEx>
        <w:trPr>
          <w:trHeight w:val="84"/>
        </w:trPr>
        <w:tc>
          <w:tcPr>
            <w:tcW w:w="1980" w:type="dxa"/>
            <w:tcBorders>
              <w:top w:val="single" w:sz="6" w:space="0" w:color="808080"/>
              <w:left w:val="nil"/>
              <w:bottom w:val="single" w:sz="6" w:space="0" w:color="808080"/>
              <w:right w:val="nil"/>
            </w:tcBorders>
            <w:vAlign w:val="center"/>
          </w:tcPr>
          <w:p w14:paraId="6294DAAB"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Foster City</w:t>
            </w:r>
          </w:p>
        </w:tc>
        <w:tc>
          <w:tcPr>
            <w:tcW w:w="990" w:type="dxa"/>
            <w:tcBorders>
              <w:top w:val="single" w:sz="6" w:space="0" w:color="808080"/>
              <w:left w:val="nil"/>
              <w:bottom w:val="single" w:sz="6" w:space="0" w:color="808080"/>
              <w:right w:val="nil"/>
            </w:tcBorders>
            <w:vAlign w:val="bottom"/>
          </w:tcPr>
          <w:p w14:paraId="0395ADC3"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12,460</w:t>
            </w:r>
          </w:p>
        </w:tc>
        <w:tc>
          <w:tcPr>
            <w:tcW w:w="900" w:type="dxa"/>
            <w:tcBorders>
              <w:top w:val="single" w:sz="6" w:space="0" w:color="808080"/>
              <w:left w:val="nil"/>
              <w:bottom w:val="single" w:sz="6" w:space="0" w:color="808080"/>
            </w:tcBorders>
            <w:vAlign w:val="bottom"/>
          </w:tcPr>
          <w:p w14:paraId="2037CAF0"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13,350</w:t>
            </w:r>
          </w:p>
        </w:tc>
        <w:tc>
          <w:tcPr>
            <w:tcW w:w="900" w:type="dxa"/>
            <w:tcBorders>
              <w:top w:val="single" w:sz="6" w:space="0" w:color="808080"/>
              <w:left w:val="nil"/>
              <w:bottom w:val="single" w:sz="6" w:space="0" w:color="808080"/>
              <w:right w:val="single" w:sz="2" w:space="0" w:color="auto"/>
            </w:tcBorders>
            <w:vAlign w:val="center"/>
          </w:tcPr>
          <w:p w14:paraId="17711C67"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+7%</w:t>
            </w:r>
          </w:p>
        </w:tc>
        <w:tc>
          <w:tcPr>
            <w:tcW w:w="1170" w:type="dxa"/>
            <w:tcBorders>
              <w:top w:val="single" w:sz="6" w:space="0" w:color="808080"/>
              <w:left w:val="single" w:sz="2" w:space="0" w:color="auto"/>
              <w:bottom w:val="single" w:sz="6" w:space="0" w:color="808080"/>
              <w:right w:val="nil"/>
            </w:tcBorders>
          </w:tcPr>
          <w:p w14:paraId="695B4C45"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12,020</w:t>
            </w:r>
          </w:p>
        </w:tc>
        <w:tc>
          <w:tcPr>
            <w:tcW w:w="1170" w:type="dxa"/>
            <w:tcBorders>
              <w:top w:val="single" w:sz="6" w:space="0" w:color="808080"/>
              <w:left w:val="nil"/>
              <w:bottom w:val="single" w:sz="6" w:space="0" w:color="808080"/>
              <w:right w:val="nil"/>
            </w:tcBorders>
            <w:vAlign w:val="center"/>
          </w:tcPr>
          <w:p w14:paraId="6E89DD63"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12,950</w:t>
            </w:r>
          </w:p>
        </w:tc>
        <w:tc>
          <w:tcPr>
            <w:tcW w:w="900" w:type="dxa"/>
            <w:tcBorders>
              <w:top w:val="single" w:sz="6" w:space="0" w:color="808080"/>
              <w:left w:val="nil"/>
              <w:bottom w:val="single" w:sz="6" w:space="0" w:color="808080"/>
              <w:right w:val="single" w:sz="2" w:space="0" w:color="auto"/>
            </w:tcBorders>
            <w:vAlign w:val="center"/>
          </w:tcPr>
          <w:p w14:paraId="39FF1581"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+8%</w:t>
            </w:r>
          </w:p>
        </w:tc>
        <w:tc>
          <w:tcPr>
            <w:tcW w:w="900" w:type="dxa"/>
            <w:tcBorders>
              <w:top w:val="single" w:sz="6" w:space="0" w:color="808080"/>
              <w:left w:val="single" w:sz="2" w:space="0" w:color="auto"/>
              <w:bottom w:val="single" w:sz="6" w:space="0" w:color="808080"/>
              <w:right w:val="nil"/>
            </w:tcBorders>
            <w:vAlign w:val="bottom"/>
          </w:tcPr>
          <w:p w14:paraId="09E8B721"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13,780</w:t>
            </w:r>
          </w:p>
        </w:tc>
        <w:tc>
          <w:tcPr>
            <w:tcW w:w="990" w:type="dxa"/>
            <w:tcBorders>
              <w:top w:val="single" w:sz="6" w:space="0" w:color="808080"/>
              <w:left w:val="nil"/>
              <w:bottom w:val="single" w:sz="6" w:space="0" w:color="808080"/>
              <w:right w:val="nil"/>
            </w:tcBorders>
            <w:vAlign w:val="bottom"/>
          </w:tcPr>
          <w:p w14:paraId="3FC6287B"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17,350</w:t>
            </w:r>
          </w:p>
        </w:tc>
        <w:tc>
          <w:tcPr>
            <w:tcW w:w="990" w:type="dxa"/>
            <w:gridSpan w:val="2"/>
            <w:tcBorders>
              <w:top w:val="single" w:sz="6" w:space="0" w:color="808080"/>
              <w:left w:val="nil"/>
              <w:bottom w:val="single" w:sz="6" w:space="0" w:color="808080"/>
              <w:right w:val="nil"/>
            </w:tcBorders>
            <w:vAlign w:val="center"/>
          </w:tcPr>
          <w:p w14:paraId="300BD911"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+26%</w:t>
            </w:r>
          </w:p>
        </w:tc>
      </w:tr>
      <w:tr w:rsidR="00917AAA" w:rsidRPr="008852D7" w14:paraId="301161C2" w14:textId="77777777" w:rsidTr="00BB1DF7">
        <w:tblPrEx>
          <w:tblCellMar>
            <w:left w:w="115" w:type="dxa"/>
            <w:right w:w="115" w:type="dxa"/>
          </w:tblCellMar>
        </w:tblPrEx>
        <w:trPr>
          <w:trHeight w:val="138"/>
        </w:trPr>
        <w:tc>
          <w:tcPr>
            <w:tcW w:w="1980" w:type="dxa"/>
            <w:tcBorders>
              <w:top w:val="single" w:sz="6" w:space="0" w:color="808080"/>
              <w:left w:val="nil"/>
              <w:bottom w:val="single" w:sz="6" w:space="0" w:color="808080"/>
              <w:right w:val="nil"/>
            </w:tcBorders>
            <w:vAlign w:val="center"/>
          </w:tcPr>
          <w:p w14:paraId="15635BA0"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Half Moon Bay</w:t>
            </w:r>
          </w:p>
        </w:tc>
        <w:tc>
          <w:tcPr>
            <w:tcW w:w="990" w:type="dxa"/>
            <w:tcBorders>
              <w:top w:val="single" w:sz="6" w:space="0" w:color="808080"/>
              <w:left w:val="nil"/>
              <w:bottom w:val="single" w:sz="6" w:space="0" w:color="808080"/>
              <w:right w:val="nil"/>
            </w:tcBorders>
            <w:vAlign w:val="bottom"/>
          </w:tcPr>
          <w:p w14:paraId="1FBEB556"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4,400</w:t>
            </w:r>
          </w:p>
        </w:tc>
        <w:tc>
          <w:tcPr>
            <w:tcW w:w="900" w:type="dxa"/>
            <w:tcBorders>
              <w:top w:val="single" w:sz="6" w:space="0" w:color="808080"/>
              <w:left w:val="nil"/>
              <w:bottom w:val="single" w:sz="6" w:space="0" w:color="808080"/>
            </w:tcBorders>
            <w:vAlign w:val="bottom"/>
          </w:tcPr>
          <w:p w14:paraId="723F5E29"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4,660</w:t>
            </w:r>
          </w:p>
        </w:tc>
        <w:tc>
          <w:tcPr>
            <w:tcW w:w="900" w:type="dxa"/>
            <w:tcBorders>
              <w:top w:val="single" w:sz="6" w:space="0" w:color="808080"/>
              <w:left w:val="nil"/>
              <w:bottom w:val="single" w:sz="6" w:space="0" w:color="808080"/>
              <w:right w:val="single" w:sz="2" w:space="0" w:color="auto"/>
            </w:tcBorders>
            <w:vAlign w:val="center"/>
          </w:tcPr>
          <w:p w14:paraId="040C3466"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+6%</w:t>
            </w:r>
          </w:p>
        </w:tc>
        <w:tc>
          <w:tcPr>
            <w:tcW w:w="1170" w:type="dxa"/>
            <w:tcBorders>
              <w:top w:val="single" w:sz="6" w:space="0" w:color="808080"/>
              <w:left w:val="single" w:sz="2" w:space="0" w:color="auto"/>
              <w:bottom w:val="single" w:sz="6" w:space="0" w:color="808080"/>
              <w:right w:val="nil"/>
            </w:tcBorders>
          </w:tcPr>
          <w:p w14:paraId="6342D6F0"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4,150</w:t>
            </w:r>
          </w:p>
        </w:tc>
        <w:tc>
          <w:tcPr>
            <w:tcW w:w="1170" w:type="dxa"/>
            <w:tcBorders>
              <w:top w:val="single" w:sz="6" w:space="0" w:color="808080"/>
              <w:left w:val="nil"/>
              <w:bottom w:val="single" w:sz="6" w:space="0" w:color="808080"/>
              <w:right w:val="nil"/>
            </w:tcBorders>
            <w:vAlign w:val="center"/>
          </w:tcPr>
          <w:p w14:paraId="163CA3A2"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4,410</w:t>
            </w:r>
          </w:p>
        </w:tc>
        <w:tc>
          <w:tcPr>
            <w:tcW w:w="900" w:type="dxa"/>
            <w:tcBorders>
              <w:top w:val="single" w:sz="6" w:space="0" w:color="808080"/>
              <w:left w:val="nil"/>
              <w:bottom w:val="single" w:sz="6" w:space="0" w:color="808080"/>
              <w:right w:val="single" w:sz="2" w:space="0" w:color="auto"/>
            </w:tcBorders>
            <w:vAlign w:val="center"/>
          </w:tcPr>
          <w:p w14:paraId="2F5E4DA7"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+6%</w:t>
            </w:r>
          </w:p>
        </w:tc>
        <w:tc>
          <w:tcPr>
            <w:tcW w:w="900" w:type="dxa"/>
            <w:tcBorders>
              <w:top w:val="single" w:sz="6" w:space="0" w:color="808080"/>
              <w:left w:val="single" w:sz="2" w:space="0" w:color="auto"/>
              <w:bottom w:val="single" w:sz="6" w:space="0" w:color="808080"/>
              <w:right w:val="nil"/>
            </w:tcBorders>
            <w:vAlign w:val="bottom"/>
          </w:tcPr>
          <w:p w14:paraId="4FD5C44D"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5,030</w:t>
            </w:r>
          </w:p>
        </w:tc>
        <w:tc>
          <w:tcPr>
            <w:tcW w:w="990" w:type="dxa"/>
            <w:tcBorders>
              <w:top w:val="single" w:sz="6" w:space="0" w:color="808080"/>
              <w:left w:val="nil"/>
              <w:bottom w:val="single" w:sz="6" w:space="0" w:color="808080"/>
              <w:right w:val="nil"/>
            </w:tcBorders>
            <w:vAlign w:val="bottom"/>
          </w:tcPr>
          <w:p w14:paraId="56D8A67F"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6,020</w:t>
            </w:r>
          </w:p>
        </w:tc>
        <w:tc>
          <w:tcPr>
            <w:tcW w:w="990" w:type="dxa"/>
            <w:gridSpan w:val="2"/>
            <w:tcBorders>
              <w:top w:val="single" w:sz="6" w:space="0" w:color="808080"/>
              <w:left w:val="nil"/>
              <w:bottom w:val="single" w:sz="6" w:space="0" w:color="808080"/>
              <w:right w:val="nil"/>
            </w:tcBorders>
            <w:vAlign w:val="center"/>
          </w:tcPr>
          <w:p w14:paraId="50783EE3"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+20%</w:t>
            </w:r>
          </w:p>
        </w:tc>
      </w:tr>
      <w:tr w:rsidR="00917AAA" w:rsidRPr="000F0FCF" w14:paraId="1EE22F11" w14:textId="77777777" w:rsidTr="00BB1DF7">
        <w:tblPrEx>
          <w:tblCellMar>
            <w:left w:w="115" w:type="dxa"/>
            <w:right w:w="115" w:type="dxa"/>
          </w:tblCellMar>
        </w:tblPrEx>
        <w:trPr>
          <w:trHeight w:val="174"/>
        </w:trPr>
        <w:tc>
          <w:tcPr>
            <w:tcW w:w="1980" w:type="dxa"/>
            <w:tcBorders>
              <w:top w:val="single" w:sz="6" w:space="0" w:color="808080"/>
              <w:left w:val="nil"/>
              <w:bottom w:val="single" w:sz="6" w:space="0" w:color="808080"/>
              <w:right w:val="nil"/>
            </w:tcBorders>
            <w:vAlign w:val="center"/>
          </w:tcPr>
          <w:p w14:paraId="25E01A68" w14:textId="77777777" w:rsidR="00917AAA" w:rsidRPr="000F0FCF"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0F0FCF">
              <w:rPr>
                <w:b/>
                <w:color w:val="000000"/>
                <w:sz w:val="18"/>
                <w:szCs w:val="18"/>
              </w:rPr>
              <w:t>Hillsborough</w:t>
            </w:r>
          </w:p>
        </w:tc>
        <w:tc>
          <w:tcPr>
            <w:tcW w:w="990" w:type="dxa"/>
            <w:tcBorders>
              <w:top w:val="single" w:sz="6" w:space="0" w:color="808080"/>
              <w:left w:val="nil"/>
              <w:bottom w:val="single" w:sz="6" w:space="0" w:color="808080"/>
              <w:right w:val="nil"/>
            </w:tcBorders>
            <w:vAlign w:val="bottom"/>
          </w:tcPr>
          <w:p w14:paraId="2161D3D6" w14:textId="77777777" w:rsidR="00917AAA" w:rsidRPr="000F0FCF" w:rsidRDefault="00917AAA" w:rsidP="00F76EA2">
            <w:pPr>
              <w:widowControl w:val="0"/>
              <w:autoSpaceDE w:val="0"/>
              <w:autoSpaceDN w:val="0"/>
              <w:adjustRightInd w:val="0"/>
              <w:spacing w:line="360" w:lineRule="auto"/>
              <w:jc w:val="right"/>
              <w:rPr>
                <w:rFonts w:cs="Century Gothic"/>
                <w:b/>
                <w:color w:val="000000"/>
                <w:sz w:val="18"/>
                <w:szCs w:val="18"/>
              </w:rPr>
            </w:pPr>
            <w:r w:rsidRPr="000F0FCF">
              <w:rPr>
                <w:b/>
                <w:color w:val="000000"/>
                <w:sz w:val="18"/>
                <w:szCs w:val="18"/>
              </w:rPr>
              <w:t>3,910</w:t>
            </w:r>
          </w:p>
        </w:tc>
        <w:tc>
          <w:tcPr>
            <w:tcW w:w="900" w:type="dxa"/>
            <w:tcBorders>
              <w:top w:val="single" w:sz="6" w:space="0" w:color="808080"/>
              <w:left w:val="nil"/>
              <w:bottom w:val="single" w:sz="6" w:space="0" w:color="808080"/>
            </w:tcBorders>
            <w:vAlign w:val="bottom"/>
          </w:tcPr>
          <w:p w14:paraId="41087A3B" w14:textId="77777777" w:rsidR="00917AAA" w:rsidRPr="000F0FCF" w:rsidRDefault="00917AAA" w:rsidP="00F76EA2">
            <w:pPr>
              <w:widowControl w:val="0"/>
              <w:autoSpaceDE w:val="0"/>
              <w:autoSpaceDN w:val="0"/>
              <w:adjustRightInd w:val="0"/>
              <w:spacing w:line="360" w:lineRule="auto"/>
              <w:jc w:val="right"/>
              <w:rPr>
                <w:rFonts w:cs="Century Gothic"/>
                <w:b/>
                <w:color w:val="000000"/>
                <w:sz w:val="18"/>
                <w:szCs w:val="18"/>
              </w:rPr>
            </w:pPr>
            <w:r w:rsidRPr="000F0FCF">
              <w:rPr>
                <w:rFonts w:cs="Arial"/>
                <w:b/>
                <w:sz w:val="18"/>
                <w:szCs w:val="18"/>
              </w:rPr>
              <w:t>4,230</w:t>
            </w:r>
          </w:p>
        </w:tc>
        <w:tc>
          <w:tcPr>
            <w:tcW w:w="900" w:type="dxa"/>
            <w:tcBorders>
              <w:top w:val="single" w:sz="6" w:space="0" w:color="808080"/>
              <w:left w:val="nil"/>
              <w:bottom w:val="single" w:sz="6" w:space="0" w:color="808080"/>
              <w:right w:val="single" w:sz="2" w:space="0" w:color="auto"/>
            </w:tcBorders>
            <w:vAlign w:val="center"/>
          </w:tcPr>
          <w:p w14:paraId="7D45F9D4" w14:textId="77777777" w:rsidR="00917AAA" w:rsidRPr="000F0FCF" w:rsidRDefault="00917AAA" w:rsidP="00F76EA2">
            <w:pPr>
              <w:widowControl w:val="0"/>
              <w:autoSpaceDE w:val="0"/>
              <w:autoSpaceDN w:val="0"/>
              <w:adjustRightInd w:val="0"/>
              <w:spacing w:line="360" w:lineRule="auto"/>
              <w:jc w:val="right"/>
              <w:rPr>
                <w:b/>
                <w:color w:val="000000" w:themeColor="text1"/>
                <w:sz w:val="18"/>
                <w:szCs w:val="18"/>
              </w:rPr>
            </w:pPr>
            <w:r w:rsidRPr="000F0FCF">
              <w:rPr>
                <w:rFonts w:eastAsia="Times New Roman" w:cs="Times New Roman"/>
                <w:b/>
                <w:color w:val="000000"/>
                <w:sz w:val="18"/>
                <w:szCs w:val="18"/>
              </w:rPr>
              <w:t>+8%</w:t>
            </w:r>
          </w:p>
        </w:tc>
        <w:tc>
          <w:tcPr>
            <w:tcW w:w="1170" w:type="dxa"/>
            <w:tcBorders>
              <w:top w:val="single" w:sz="6" w:space="0" w:color="808080"/>
              <w:left w:val="single" w:sz="2" w:space="0" w:color="auto"/>
              <w:bottom w:val="single" w:sz="6" w:space="0" w:color="808080"/>
              <w:right w:val="nil"/>
            </w:tcBorders>
          </w:tcPr>
          <w:p w14:paraId="008E3667" w14:textId="77777777" w:rsidR="00917AAA" w:rsidRPr="00C30273" w:rsidRDefault="00917AAA" w:rsidP="00F76EA2">
            <w:pPr>
              <w:widowControl w:val="0"/>
              <w:autoSpaceDE w:val="0"/>
              <w:autoSpaceDN w:val="0"/>
              <w:adjustRightInd w:val="0"/>
              <w:spacing w:line="360" w:lineRule="auto"/>
              <w:jc w:val="right"/>
              <w:rPr>
                <w:b/>
                <w:color w:val="000000" w:themeColor="text1"/>
                <w:sz w:val="18"/>
                <w:szCs w:val="18"/>
              </w:rPr>
            </w:pPr>
            <w:r w:rsidRPr="000F0FCF">
              <w:rPr>
                <w:b/>
                <w:color w:val="000000" w:themeColor="text1"/>
                <w:sz w:val="18"/>
                <w:szCs w:val="18"/>
              </w:rPr>
              <w:t>3,690</w:t>
            </w:r>
          </w:p>
        </w:tc>
        <w:tc>
          <w:tcPr>
            <w:tcW w:w="1170" w:type="dxa"/>
            <w:tcBorders>
              <w:top w:val="single" w:sz="6" w:space="0" w:color="808080"/>
              <w:left w:val="nil"/>
              <w:bottom w:val="single" w:sz="6" w:space="0" w:color="808080"/>
              <w:right w:val="nil"/>
            </w:tcBorders>
            <w:vAlign w:val="center"/>
          </w:tcPr>
          <w:p w14:paraId="6AC9AE9C" w14:textId="77777777" w:rsidR="00917AAA" w:rsidRPr="000F0FCF" w:rsidRDefault="00917AAA" w:rsidP="00F76EA2">
            <w:pPr>
              <w:widowControl w:val="0"/>
              <w:autoSpaceDE w:val="0"/>
              <w:autoSpaceDN w:val="0"/>
              <w:adjustRightInd w:val="0"/>
              <w:spacing w:line="360" w:lineRule="auto"/>
              <w:ind w:right="17"/>
              <w:jc w:val="right"/>
              <w:rPr>
                <w:b/>
                <w:color w:val="000000"/>
                <w:sz w:val="18"/>
                <w:szCs w:val="18"/>
              </w:rPr>
            </w:pPr>
            <w:r w:rsidRPr="000F0FCF">
              <w:rPr>
                <w:rFonts w:eastAsia="Times New Roman" w:cs="Times New Roman"/>
                <w:b/>
                <w:color w:val="000000"/>
                <w:sz w:val="18"/>
                <w:szCs w:val="18"/>
              </w:rPr>
              <w:t>4,010</w:t>
            </w:r>
          </w:p>
        </w:tc>
        <w:tc>
          <w:tcPr>
            <w:tcW w:w="900" w:type="dxa"/>
            <w:tcBorders>
              <w:top w:val="single" w:sz="6" w:space="0" w:color="808080"/>
              <w:left w:val="nil"/>
              <w:bottom w:val="single" w:sz="6" w:space="0" w:color="808080"/>
              <w:right w:val="single" w:sz="2" w:space="0" w:color="auto"/>
            </w:tcBorders>
            <w:vAlign w:val="center"/>
          </w:tcPr>
          <w:p w14:paraId="563C826B" w14:textId="77777777" w:rsidR="00917AAA" w:rsidRPr="000F0FCF"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0F0FCF">
              <w:rPr>
                <w:rFonts w:eastAsia="Times New Roman" w:cs="Times New Roman"/>
                <w:b/>
                <w:color w:val="000000"/>
                <w:sz w:val="18"/>
                <w:szCs w:val="18"/>
              </w:rPr>
              <w:t>+9%</w:t>
            </w:r>
          </w:p>
        </w:tc>
        <w:tc>
          <w:tcPr>
            <w:tcW w:w="900" w:type="dxa"/>
            <w:tcBorders>
              <w:top w:val="single" w:sz="6" w:space="0" w:color="808080"/>
              <w:left w:val="single" w:sz="2" w:space="0" w:color="auto"/>
              <w:bottom w:val="single" w:sz="6" w:space="0" w:color="808080"/>
              <w:right w:val="nil"/>
            </w:tcBorders>
            <w:vAlign w:val="bottom"/>
          </w:tcPr>
          <w:p w14:paraId="6A642FE4" w14:textId="77777777" w:rsidR="00917AAA" w:rsidRPr="000F0FCF" w:rsidRDefault="00917AAA" w:rsidP="00F76EA2">
            <w:pPr>
              <w:widowControl w:val="0"/>
              <w:autoSpaceDE w:val="0"/>
              <w:autoSpaceDN w:val="0"/>
              <w:adjustRightInd w:val="0"/>
              <w:spacing w:line="360" w:lineRule="auto"/>
              <w:jc w:val="right"/>
              <w:rPr>
                <w:rFonts w:cs="Century Gothic"/>
                <w:b/>
                <w:color w:val="000000"/>
                <w:sz w:val="18"/>
                <w:szCs w:val="18"/>
              </w:rPr>
            </w:pPr>
            <w:r w:rsidRPr="000F0FCF">
              <w:rPr>
                <w:b/>
                <w:color w:val="000000"/>
                <w:sz w:val="18"/>
                <w:szCs w:val="18"/>
              </w:rPr>
              <w:t>1,850</w:t>
            </w:r>
          </w:p>
        </w:tc>
        <w:tc>
          <w:tcPr>
            <w:tcW w:w="990" w:type="dxa"/>
            <w:tcBorders>
              <w:top w:val="single" w:sz="6" w:space="0" w:color="808080"/>
              <w:left w:val="nil"/>
              <w:bottom w:val="single" w:sz="6" w:space="0" w:color="808080"/>
              <w:right w:val="nil"/>
            </w:tcBorders>
            <w:vAlign w:val="bottom"/>
          </w:tcPr>
          <w:p w14:paraId="208E22AF" w14:textId="77777777" w:rsidR="00917AAA" w:rsidRPr="000F0FCF" w:rsidRDefault="00917AAA" w:rsidP="00F76EA2">
            <w:pPr>
              <w:widowControl w:val="0"/>
              <w:autoSpaceDE w:val="0"/>
              <w:autoSpaceDN w:val="0"/>
              <w:adjustRightInd w:val="0"/>
              <w:spacing w:line="360" w:lineRule="auto"/>
              <w:jc w:val="right"/>
              <w:rPr>
                <w:rFonts w:cs="Century Gothic"/>
                <w:b/>
                <w:color w:val="000000"/>
                <w:sz w:val="18"/>
                <w:szCs w:val="18"/>
              </w:rPr>
            </w:pPr>
            <w:r w:rsidRPr="000F0FCF">
              <w:rPr>
                <w:b/>
                <w:color w:val="000000"/>
                <w:sz w:val="18"/>
                <w:szCs w:val="18"/>
              </w:rPr>
              <w:t>2,250</w:t>
            </w:r>
          </w:p>
        </w:tc>
        <w:tc>
          <w:tcPr>
            <w:tcW w:w="990" w:type="dxa"/>
            <w:gridSpan w:val="2"/>
            <w:tcBorders>
              <w:top w:val="single" w:sz="6" w:space="0" w:color="808080"/>
              <w:left w:val="nil"/>
              <w:bottom w:val="single" w:sz="6" w:space="0" w:color="808080"/>
              <w:right w:val="nil"/>
            </w:tcBorders>
            <w:vAlign w:val="center"/>
          </w:tcPr>
          <w:p w14:paraId="07D559C9" w14:textId="77777777" w:rsidR="00917AAA" w:rsidRPr="000F0FCF" w:rsidRDefault="00917AAA" w:rsidP="00F76EA2">
            <w:pPr>
              <w:widowControl w:val="0"/>
              <w:autoSpaceDE w:val="0"/>
              <w:autoSpaceDN w:val="0"/>
              <w:adjustRightInd w:val="0"/>
              <w:spacing w:line="360" w:lineRule="auto"/>
              <w:jc w:val="right"/>
              <w:rPr>
                <w:b/>
                <w:color w:val="000000"/>
                <w:sz w:val="18"/>
                <w:szCs w:val="18"/>
              </w:rPr>
            </w:pPr>
            <w:r w:rsidRPr="000F0FCF">
              <w:rPr>
                <w:rFonts w:eastAsia="Times New Roman" w:cs="Times New Roman"/>
                <w:b/>
                <w:color w:val="000000"/>
                <w:sz w:val="18"/>
                <w:szCs w:val="18"/>
              </w:rPr>
              <w:t>+22%</w:t>
            </w:r>
          </w:p>
        </w:tc>
      </w:tr>
      <w:tr w:rsidR="00917AAA" w:rsidRPr="008852D7" w14:paraId="5AD4F289" w14:textId="77777777" w:rsidTr="00BB1DF7">
        <w:tblPrEx>
          <w:tblCellMar>
            <w:left w:w="115" w:type="dxa"/>
            <w:right w:w="115" w:type="dxa"/>
          </w:tblCellMar>
        </w:tblPrEx>
        <w:trPr>
          <w:trHeight w:val="138"/>
        </w:trPr>
        <w:tc>
          <w:tcPr>
            <w:tcW w:w="1980" w:type="dxa"/>
            <w:tcBorders>
              <w:top w:val="single" w:sz="6" w:space="0" w:color="808080"/>
              <w:left w:val="nil"/>
              <w:bottom w:val="single" w:sz="6" w:space="0" w:color="808080"/>
              <w:right w:val="nil"/>
            </w:tcBorders>
            <w:vAlign w:val="center"/>
          </w:tcPr>
          <w:p w14:paraId="663457BF"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Menlo Park</w:t>
            </w:r>
          </w:p>
        </w:tc>
        <w:tc>
          <w:tcPr>
            <w:tcW w:w="990" w:type="dxa"/>
            <w:tcBorders>
              <w:top w:val="single" w:sz="6" w:space="0" w:color="808080"/>
              <w:left w:val="nil"/>
              <w:bottom w:val="single" w:sz="6" w:space="0" w:color="808080"/>
              <w:right w:val="nil"/>
            </w:tcBorders>
            <w:vAlign w:val="bottom"/>
          </w:tcPr>
          <w:p w14:paraId="0117198D"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13,090</w:t>
            </w:r>
          </w:p>
        </w:tc>
        <w:tc>
          <w:tcPr>
            <w:tcW w:w="900" w:type="dxa"/>
            <w:tcBorders>
              <w:top w:val="single" w:sz="6" w:space="0" w:color="808080"/>
              <w:left w:val="nil"/>
              <w:bottom w:val="single" w:sz="6" w:space="0" w:color="808080"/>
            </w:tcBorders>
            <w:vAlign w:val="bottom"/>
          </w:tcPr>
          <w:p w14:paraId="6E3BDD8F"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15,090</w:t>
            </w:r>
          </w:p>
        </w:tc>
        <w:tc>
          <w:tcPr>
            <w:tcW w:w="900" w:type="dxa"/>
            <w:tcBorders>
              <w:top w:val="single" w:sz="6" w:space="0" w:color="808080"/>
              <w:left w:val="nil"/>
              <w:bottom w:val="single" w:sz="6" w:space="0" w:color="808080"/>
              <w:right w:val="single" w:sz="2" w:space="0" w:color="auto"/>
            </w:tcBorders>
            <w:vAlign w:val="center"/>
          </w:tcPr>
          <w:p w14:paraId="09AF9EA8"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+15%</w:t>
            </w:r>
          </w:p>
        </w:tc>
        <w:tc>
          <w:tcPr>
            <w:tcW w:w="1170" w:type="dxa"/>
            <w:tcBorders>
              <w:top w:val="single" w:sz="6" w:space="0" w:color="808080"/>
              <w:left w:val="single" w:sz="2" w:space="0" w:color="auto"/>
              <w:bottom w:val="single" w:sz="6" w:space="0" w:color="808080"/>
              <w:right w:val="nil"/>
            </w:tcBorders>
          </w:tcPr>
          <w:p w14:paraId="31663AAB"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12,350</w:t>
            </w:r>
          </w:p>
        </w:tc>
        <w:tc>
          <w:tcPr>
            <w:tcW w:w="1170" w:type="dxa"/>
            <w:tcBorders>
              <w:top w:val="single" w:sz="6" w:space="0" w:color="808080"/>
              <w:left w:val="nil"/>
              <w:bottom w:val="single" w:sz="6" w:space="0" w:color="808080"/>
              <w:right w:val="nil"/>
            </w:tcBorders>
            <w:vAlign w:val="center"/>
          </w:tcPr>
          <w:p w14:paraId="39E58F55"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14,520</w:t>
            </w:r>
          </w:p>
        </w:tc>
        <w:tc>
          <w:tcPr>
            <w:tcW w:w="900" w:type="dxa"/>
            <w:tcBorders>
              <w:top w:val="single" w:sz="6" w:space="0" w:color="808080"/>
              <w:left w:val="nil"/>
              <w:bottom w:val="single" w:sz="6" w:space="0" w:color="808080"/>
              <w:right w:val="single" w:sz="2" w:space="0" w:color="auto"/>
            </w:tcBorders>
            <w:vAlign w:val="center"/>
          </w:tcPr>
          <w:p w14:paraId="36B88838"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+18%</w:t>
            </w:r>
          </w:p>
        </w:tc>
        <w:tc>
          <w:tcPr>
            <w:tcW w:w="900" w:type="dxa"/>
            <w:tcBorders>
              <w:top w:val="single" w:sz="6" w:space="0" w:color="808080"/>
              <w:left w:val="single" w:sz="2" w:space="0" w:color="auto"/>
              <w:bottom w:val="single" w:sz="6" w:space="0" w:color="808080"/>
              <w:right w:val="nil"/>
            </w:tcBorders>
            <w:vAlign w:val="bottom"/>
          </w:tcPr>
          <w:p w14:paraId="604EAC1A"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28,890</w:t>
            </w:r>
          </w:p>
        </w:tc>
        <w:tc>
          <w:tcPr>
            <w:tcW w:w="990" w:type="dxa"/>
            <w:tcBorders>
              <w:top w:val="single" w:sz="6" w:space="0" w:color="808080"/>
              <w:left w:val="nil"/>
              <w:bottom w:val="single" w:sz="6" w:space="0" w:color="808080"/>
              <w:right w:val="nil"/>
            </w:tcBorders>
            <w:vAlign w:val="bottom"/>
          </w:tcPr>
          <w:p w14:paraId="452D4088"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34,980</w:t>
            </w:r>
          </w:p>
        </w:tc>
        <w:tc>
          <w:tcPr>
            <w:tcW w:w="990" w:type="dxa"/>
            <w:gridSpan w:val="2"/>
            <w:tcBorders>
              <w:top w:val="single" w:sz="6" w:space="0" w:color="808080"/>
              <w:left w:val="nil"/>
              <w:bottom w:val="single" w:sz="6" w:space="0" w:color="808080"/>
              <w:right w:val="nil"/>
            </w:tcBorders>
            <w:vAlign w:val="center"/>
          </w:tcPr>
          <w:p w14:paraId="74116823"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+21%</w:t>
            </w:r>
          </w:p>
        </w:tc>
      </w:tr>
      <w:tr w:rsidR="00917AAA" w:rsidRPr="00761863" w14:paraId="64DBF2E0" w14:textId="77777777" w:rsidTr="00BB1DF7">
        <w:tblPrEx>
          <w:tblCellMar>
            <w:left w:w="115" w:type="dxa"/>
            <w:right w:w="115" w:type="dxa"/>
          </w:tblCellMar>
        </w:tblPrEx>
        <w:trPr>
          <w:trHeight w:val="84"/>
        </w:trPr>
        <w:tc>
          <w:tcPr>
            <w:tcW w:w="1980" w:type="dxa"/>
            <w:tcBorders>
              <w:top w:val="single" w:sz="6" w:space="0" w:color="808080"/>
              <w:left w:val="nil"/>
              <w:bottom w:val="single" w:sz="6" w:space="0" w:color="808080"/>
              <w:right w:val="nil"/>
            </w:tcBorders>
            <w:vAlign w:val="center"/>
          </w:tcPr>
          <w:p w14:paraId="36695A4C" w14:textId="6E8F2CFB" w:rsidR="00917AAA" w:rsidRPr="00761863" w:rsidRDefault="00761863" w:rsidP="00F76EA2">
            <w:pPr>
              <w:widowControl w:val="0"/>
              <w:autoSpaceDE w:val="0"/>
              <w:autoSpaceDN w:val="0"/>
              <w:adjustRightInd w:val="0"/>
              <w:spacing w:line="360" w:lineRule="auto"/>
              <w:ind w:right="-115"/>
              <w:rPr>
                <w:color w:val="000000"/>
                <w:sz w:val="18"/>
                <w:szCs w:val="18"/>
              </w:rPr>
            </w:pPr>
            <w:r w:rsidRPr="00761863">
              <w:rPr>
                <w:color w:val="000000"/>
                <w:sz w:val="18"/>
                <w:szCs w:val="18"/>
              </w:rPr>
              <w:t>Millbrae</w:t>
            </w:r>
          </w:p>
        </w:tc>
        <w:tc>
          <w:tcPr>
            <w:tcW w:w="990" w:type="dxa"/>
            <w:tcBorders>
              <w:top w:val="single" w:sz="6" w:space="0" w:color="808080"/>
              <w:left w:val="nil"/>
              <w:bottom w:val="single" w:sz="6" w:space="0" w:color="808080"/>
              <w:right w:val="nil"/>
            </w:tcBorders>
            <w:vAlign w:val="bottom"/>
          </w:tcPr>
          <w:p w14:paraId="02B9D800" w14:textId="77777777" w:rsidR="00917AAA" w:rsidRPr="00761863" w:rsidRDefault="00917AAA" w:rsidP="00F76EA2">
            <w:pPr>
              <w:widowControl w:val="0"/>
              <w:autoSpaceDE w:val="0"/>
              <w:autoSpaceDN w:val="0"/>
              <w:adjustRightInd w:val="0"/>
              <w:spacing w:line="360" w:lineRule="auto"/>
              <w:jc w:val="right"/>
              <w:rPr>
                <w:rFonts w:cs="Century Gothic"/>
                <w:color w:val="000000"/>
                <w:sz w:val="18"/>
                <w:szCs w:val="18"/>
              </w:rPr>
            </w:pPr>
            <w:r w:rsidRPr="00761863">
              <w:rPr>
                <w:color w:val="000000"/>
                <w:sz w:val="18"/>
                <w:szCs w:val="18"/>
              </w:rPr>
              <w:t>8,370</w:t>
            </w:r>
          </w:p>
        </w:tc>
        <w:tc>
          <w:tcPr>
            <w:tcW w:w="900" w:type="dxa"/>
            <w:tcBorders>
              <w:top w:val="single" w:sz="6" w:space="0" w:color="808080"/>
              <w:left w:val="nil"/>
              <w:bottom w:val="single" w:sz="6" w:space="0" w:color="808080"/>
            </w:tcBorders>
            <w:vAlign w:val="bottom"/>
          </w:tcPr>
          <w:p w14:paraId="2EA028EE" w14:textId="77777777" w:rsidR="00917AAA" w:rsidRPr="00761863" w:rsidRDefault="00917AAA" w:rsidP="00F76EA2">
            <w:pPr>
              <w:widowControl w:val="0"/>
              <w:autoSpaceDE w:val="0"/>
              <w:autoSpaceDN w:val="0"/>
              <w:adjustRightInd w:val="0"/>
              <w:spacing w:line="360" w:lineRule="auto"/>
              <w:jc w:val="right"/>
              <w:rPr>
                <w:rFonts w:cs="Century Gothic"/>
                <w:color w:val="000000"/>
                <w:sz w:val="18"/>
                <w:szCs w:val="18"/>
              </w:rPr>
            </w:pPr>
            <w:r w:rsidRPr="00761863">
              <w:rPr>
                <w:rFonts w:cs="Arial"/>
                <w:sz w:val="18"/>
                <w:szCs w:val="18"/>
              </w:rPr>
              <w:t>11,400</w:t>
            </w:r>
          </w:p>
        </w:tc>
        <w:tc>
          <w:tcPr>
            <w:tcW w:w="900" w:type="dxa"/>
            <w:tcBorders>
              <w:top w:val="single" w:sz="6" w:space="0" w:color="808080"/>
              <w:left w:val="nil"/>
              <w:bottom w:val="single" w:sz="6" w:space="0" w:color="808080"/>
              <w:right w:val="single" w:sz="2" w:space="0" w:color="auto"/>
            </w:tcBorders>
            <w:vAlign w:val="center"/>
          </w:tcPr>
          <w:p w14:paraId="514EFD64" w14:textId="77777777" w:rsidR="00917AAA" w:rsidRPr="00761863" w:rsidRDefault="00917AAA" w:rsidP="00F76EA2">
            <w:pPr>
              <w:widowControl w:val="0"/>
              <w:autoSpaceDE w:val="0"/>
              <w:autoSpaceDN w:val="0"/>
              <w:adjustRightInd w:val="0"/>
              <w:spacing w:line="360" w:lineRule="auto"/>
              <w:jc w:val="right"/>
              <w:rPr>
                <w:color w:val="000000" w:themeColor="text1"/>
                <w:sz w:val="18"/>
                <w:szCs w:val="18"/>
              </w:rPr>
            </w:pPr>
            <w:r w:rsidRPr="00761863">
              <w:rPr>
                <w:rFonts w:eastAsia="Times New Roman" w:cs="Times New Roman"/>
                <w:color w:val="000000"/>
                <w:sz w:val="18"/>
                <w:szCs w:val="18"/>
              </w:rPr>
              <w:t>+36%</w:t>
            </w:r>
          </w:p>
        </w:tc>
        <w:tc>
          <w:tcPr>
            <w:tcW w:w="1170" w:type="dxa"/>
            <w:tcBorders>
              <w:top w:val="single" w:sz="6" w:space="0" w:color="808080"/>
              <w:left w:val="single" w:sz="2" w:space="0" w:color="auto"/>
              <w:bottom w:val="single" w:sz="6" w:space="0" w:color="808080"/>
              <w:right w:val="nil"/>
            </w:tcBorders>
          </w:tcPr>
          <w:p w14:paraId="5E5BC862"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761863">
              <w:rPr>
                <w:color w:val="000000" w:themeColor="text1"/>
                <w:sz w:val="18"/>
                <w:szCs w:val="18"/>
              </w:rPr>
              <w:t>7,990</w:t>
            </w:r>
          </w:p>
        </w:tc>
        <w:tc>
          <w:tcPr>
            <w:tcW w:w="1170" w:type="dxa"/>
            <w:tcBorders>
              <w:top w:val="single" w:sz="6" w:space="0" w:color="808080"/>
              <w:left w:val="nil"/>
              <w:bottom w:val="single" w:sz="6" w:space="0" w:color="808080"/>
              <w:right w:val="nil"/>
            </w:tcBorders>
            <w:vAlign w:val="center"/>
          </w:tcPr>
          <w:p w14:paraId="02233664" w14:textId="77777777" w:rsidR="00917AAA" w:rsidRPr="00761863" w:rsidRDefault="00917AAA" w:rsidP="00F76EA2">
            <w:pPr>
              <w:widowControl w:val="0"/>
              <w:autoSpaceDE w:val="0"/>
              <w:autoSpaceDN w:val="0"/>
              <w:adjustRightInd w:val="0"/>
              <w:spacing w:line="360" w:lineRule="auto"/>
              <w:ind w:right="17"/>
              <w:jc w:val="right"/>
              <w:rPr>
                <w:color w:val="000000"/>
                <w:sz w:val="18"/>
                <w:szCs w:val="18"/>
              </w:rPr>
            </w:pPr>
            <w:r w:rsidRPr="00761863">
              <w:rPr>
                <w:rFonts w:eastAsia="Times New Roman" w:cs="Times New Roman"/>
                <w:color w:val="000000"/>
                <w:sz w:val="18"/>
                <w:szCs w:val="18"/>
              </w:rPr>
              <w:t>11,050</w:t>
            </w:r>
          </w:p>
        </w:tc>
        <w:tc>
          <w:tcPr>
            <w:tcW w:w="900" w:type="dxa"/>
            <w:tcBorders>
              <w:top w:val="single" w:sz="6" w:space="0" w:color="808080"/>
              <w:left w:val="nil"/>
              <w:bottom w:val="single" w:sz="6" w:space="0" w:color="808080"/>
              <w:right w:val="single" w:sz="2" w:space="0" w:color="auto"/>
            </w:tcBorders>
            <w:vAlign w:val="center"/>
          </w:tcPr>
          <w:p w14:paraId="1BEA4531" w14:textId="77777777" w:rsidR="00917AAA" w:rsidRPr="00761863"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761863">
              <w:rPr>
                <w:rFonts w:eastAsia="Times New Roman" w:cs="Times New Roman"/>
                <w:color w:val="000000"/>
                <w:sz w:val="18"/>
                <w:szCs w:val="18"/>
              </w:rPr>
              <w:t>+38%</w:t>
            </w:r>
          </w:p>
        </w:tc>
        <w:tc>
          <w:tcPr>
            <w:tcW w:w="900" w:type="dxa"/>
            <w:tcBorders>
              <w:top w:val="single" w:sz="6" w:space="0" w:color="808080"/>
              <w:left w:val="single" w:sz="2" w:space="0" w:color="auto"/>
              <w:bottom w:val="single" w:sz="6" w:space="0" w:color="808080"/>
              <w:right w:val="nil"/>
            </w:tcBorders>
            <w:vAlign w:val="bottom"/>
          </w:tcPr>
          <w:p w14:paraId="056D1863" w14:textId="77777777" w:rsidR="00917AAA" w:rsidRPr="00761863" w:rsidRDefault="00917AAA" w:rsidP="00F76EA2">
            <w:pPr>
              <w:widowControl w:val="0"/>
              <w:autoSpaceDE w:val="0"/>
              <w:autoSpaceDN w:val="0"/>
              <w:adjustRightInd w:val="0"/>
              <w:spacing w:line="360" w:lineRule="auto"/>
              <w:jc w:val="right"/>
              <w:rPr>
                <w:rFonts w:cs="Century Gothic"/>
                <w:color w:val="000000"/>
                <w:sz w:val="18"/>
                <w:szCs w:val="18"/>
              </w:rPr>
            </w:pPr>
            <w:r w:rsidRPr="00761863">
              <w:rPr>
                <w:color w:val="000000"/>
                <w:sz w:val="18"/>
                <w:szCs w:val="18"/>
              </w:rPr>
              <w:t>6,870</w:t>
            </w:r>
          </w:p>
        </w:tc>
        <w:tc>
          <w:tcPr>
            <w:tcW w:w="990" w:type="dxa"/>
            <w:tcBorders>
              <w:top w:val="single" w:sz="6" w:space="0" w:color="808080"/>
              <w:left w:val="nil"/>
              <w:bottom w:val="single" w:sz="6" w:space="0" w:color="808080"/>
              <w:right w:val="nil"/>
            </w:tcBorders>
            <w:vAlign w:val="bottom"/>
          </w:tcPr>
          <w:p w14:paraId="454D3F31" w14:textId="77777777" w:rsidR="00917AAA" w:rsidRPr="00761863" w:rsidRDefault="00917AAA" w:rsidP="00F76EA2">
            <w:pPr>
              <w:widowControl w:val="0"/>
              <w:autoSpaceDE w:val="0"/>
              <w:autoSpaceDN w:val="0"/>
              <w:adjustRightInd w:val="0"/>
              <w:spacing w:line="360" w:lineRule="auto"/>
              <w:jc w:val="right"/>
              <w:rPr>
                <w:rFonts w:cs="Century Gothic"/>
                <w:color w:val="000000"/>
                <w:sz w:val="18"/>
                <w:szCs w:val="18"/>
              </w:rPr>
            </w:pPr>
            <w:r w:rsidRPr="00761863">
              <w:rPr>
                <w:color w:val="000000"/>
                <w:sz w:val="18"/>
                <w:szCs w:val="18"/>
              </w:rPr>
              <w:t>9,300</w:t>
            </w:r>
          </w:p>
        </w:tc>
        <w:tc>
          <w:tcPr>
            <w:tcW w:w="990" w:type="dxa"/>
            <w:gridSpan w:val="2"/>
            <w:tcBorders>
              <w:top w:val="single" w:sz="6" w:space="0" w:color="808080"/>
              <w:left w:val="nil"/>
              <w:bottom w:val="single" w:sz="6" w:space="0" w:color="808080"/>
              <w:right w:val="nil"/>
            </w:tcBorders>
            <w:vAlign w:val="center"/>
          </w:tcPr>
          <w:p w14:paraId="3F7E219A" w14:textId="77777777" w:rsidR="00917AAA" w:rsidRPr="00761863" w:rsidRDefault="00917AAA" w:rsidP="00F76EA2">
            <w:pPr>
              <w:widowControl w:val="0"/>
              <w:autoSpaceDE w:val="0"/>
              <w:autoSpaceDN w:val="0"/>
              <w:adjustRightInd w:val="0"/>
              <w:spacing w:line="360" w:lineRule="auto"/>
              <w:jc w:val="right"/>
              <w:rPr>
                <w:color w:val="000000"/>
                <w:sz w:val="18"/>
                <w:szCs w:val="18"/>
              </w:rPr>
            </w:pPr>
            <w:r w:rsidRPr="00761863">
              <w:rPr>
                <w:rFonts w:eastAsia="Times New Roman" w:cs="Times New Roman"/>
                <w:color w:val="000000"/>
                <w:sz w:val="18"/>
                <w:szCs w:val="18"/>
              </w:rPr>
              <w:t>+35%</w:t>
            </w:r>
          </w:p>
        </w:tc>
      </w:tr>
      <w:tr w:rsidR="00917AAA" w:rsidRPr="008852D7" w14:paraId="33423BE8" w14:textId="77777777" w:rsidTr="00BB1DF7">
        <w:tblPrEx>
          <w:tblCellMar>
            <w:left w:w="115" w:type="dxa"/>
            <w:right w:w="115" w:type="dxa"/>
          </w:tblCellMar>
        </w:tblPrEx>
        <w:trPr>
          <w:trHeight w:val="138"/>
        </w:trPr>
        <w:tc>
          <w:tcPr>
            <w:tcW w:w="1980" w:type="dxa"/>
            <w:tcBorders>
              <w:top w:val="single" w:sz="6" w:space="0" w:color="808080"/>
              <w:left w:val="nil"/>
              <w:bottom w:val="single" w:sz="6" w:space="0" w:color="808080"/>
              <w:right w:val="nil"/>
            </w:tcBorders>
            <w:vAlign w:val="center"/>
          </w:tcPr>
          <w:p w14:paraId="650164B9"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Pacifica</w:t>
            </w:r>
          </w:p>
        </w:tc>
        <w:tc>
          <w:tcPr>
            <w:tcW w:w="990" w:type="dxa"/>
            <w:tcBorders>
              <w:top w:val="single" w:sz="6" w:space="0" w:color="808080"/>
              <w:left w:val="nil"/>
              <w:bottom w:val="single" w:sz="6" w:space="0" w:color="808080"/>
              <w:right w:val="nil"/>
            </w:tcBorders>
            <w:vAlign w:val="bottom"/>
          </w:tcPr>
          <w:p w14:paraId="0181F5E3"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14,520</w:t>
            </w:r>
          </w:p>
        </w:tc>
        <w:tc>
          <w:tcPr>
            <w:tcW w:w="900" w:type="dxa"/>
            <w:tcBorders>
              <w:top w:val="single" w:sz="6" w:space="0" w:color="808080"/>
              <w:left w:val="nil"/>
              <w:bottom w:val="single" w:sz="6" w:space="0" w:color="808080"/>
            </w:tcBorders>
            <w:vAlign w:val="bottom"/>
          </w:tcPr>
          <w:p w14:paraId="71C2AF6C"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15,130</w:t>
            </w:r>
          </w:p>
        </w:tc>
        <w:tc>
          <w:tcPr>
            <w:tcW w:w="900" w:type="dxa"/>
            <w:tcBorders>
              <w:top w:val="single" w:sz="6" w:space="0" w:color="808080"/>
              <w:left w:val="nil"/>
              <w:bottom w:val="single" w:sz="6" w:space="0" w:color="808080"/>
              <w:right w:val="single" w:sz="2" w:space="0" w:color="auto"/>
            </w:tcBorders>
            <w:vAlign w:val="center"/>
          </w:tcPr>
          <w:p w14:paraId="54D0B7A6"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+4%</w:t>
            </w:r>
          </w:p>
        </w:tc>
        <w:tc>
          <w:tcPr>
            <w:tcW w:w="1170" w:type="dxa"/>
            <w:tcBorders>
              <w:top w:val="single" w:sz="6" w:space="0" w:color="808080"/>
              <w:left w:val="single" w:sz="2" w:space="0" w:color="auto"/>
              <w:bottom w:val="single" w:sz="6" w:space="0" w:color="808080"/>
              <w:right w:val="nil"/>
            </w:tcBorders>
          </w:tcPr>
          <w:p w14:paraId="66223298"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13,970</w:t>
            </w:r>
          </w:p>
        </w:tc>
        <w:tc>
          <w:tcPr>
            <w:tcW w:w="1170" w:type="dxa"/>
            <w:tcBorders>
              <w:top w:val="single" w:sz="6" w:space="0" w:color="808080"/>
              <w:left w:val="nil"/>
              <w:bottom w:val="single" w:sz="6" w:space="0" w:color="808080"/>
              <w:right w:val="nil"/>
            </w:tcBorders>
            <w:vAlign w:val="center"/>
          </w:tcPr>
          <w:p w14:paraId="48FBE283"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14,650</w:t>
            </w:r>
          </w:p>
        </w:tc>
        <w:tc>
          <w:tcPr>
            <w:tcW w:w="900" w:type="dxa"/>
            <w:tcBorders>
              <w:top w:val="single" w:sz="6" w:space="0" w:color="808080"/>
              <w:left w:val="nil"/>
              <w:bottom w:val="single" w:sz="6" w:space="0" w:color="808080"/>
              <w:right w:val="single" w:sz="2" w:space="0" w:color="auto"/>
            </w:tcBorders>
            <w:vAlign w:val="center"/>
          </w:tcPr>
          <w:p w14:paraId="022D87A5"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+5%</w:t>
            </w:r>
          </w:p>
        </w:tc>
        <w:tc>
          <w:tcPr>
            <w:tcW w:w="900" w:type="dxa"/>
            <w:tcBorders>
              <w:top w:val="single" w:sz="6" w:space="0" w:color="808080"/>
              <w:left w:val="single" w:sz="2" w:space="0" w:color="auto"/>
              <w:bottom w:val="single" w:sz="6" w:space="0" w:color="808080"/>
              <w:right w:val="nil"/>
            </w:tcBorders>
            <w:vAlign w:val="bottom"/>
          </w:tcPr>
          <w:p w14:paraId="27B9866E"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5,870</w:t>
            </w:r>
          </w:p>
        </w:tc>
        <w:tc>
          <w:tcPr>
            <w:tcW w:w="990" w:type="dxa"/>
            <w:tcBorders>
              <w:top w:val="single" w:sz="6" w:space="0" w:color="808080"/>
              <w:left w:val="nil"/>
              <w:bottom w:val="single" w:sz="6" w:space="0" w:color="808080"/>
              <w:right w:val="nil"/>
            </w:tcBorders>
            <w:vAlign w:val="bottom"/>
          </w:tcPr>
          <w:p w14:paraId="1366FA5D"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7,100</w:t>
            </w:r>
          </w:p>
        </w:tc>
        <w:tc>
          <w:tcPr>
            <w:tcW w:w="990" w:type="dxa"/>
            <w:gridSpan w:val="2"/>
            <w:tcBorders>
              <w:top w:val="single" w:sz="6" w:space="0" w:color="808080"/>
              <w:left w:val="nil"/>
              <w:bottom w:val="single" w:sz="6" w:space="0" w:color="808080"/>
              <w:right w:val="nil"/>
            </w:tcBorders>
            <w:vAlign w:val="center"/>
          </w:tcPr>
          <w:p w14:paraId="709F8871"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+21%</w:t>
            </w:r>
          </w:p>
        </w:tc>
      </w:tr>
      <w:tr w:rsidR="00917AAA" w:rsidRPr="008852D7" w14:paraId="2880F011" w14:textId="77777777" w:rsidTr="00BB1DF7">
        <w:tblPrEx>
          <w:tblCellMar>
            <w:left w:w="115" w:type="dxa"/>
            <w:right w:w="115" w:type="dxa"/>
          </w:tblCellMar>
        </w:tblPrEx>
        <w:trPr>
          <w:trHeight w:val="174"/>
        </w:trPr>
        <w:tc>
          <w:tcPr>
            <w:tcW w:w="1980" w:type="dxa"/>
            <w:tcBorders>
              <w:top w:val="single" w:sz="6" w:space="0" w:color="808080"/>
              <w:left w:val="nil"/>
              <w:bottom w:val="single" w:sz="6" w:space="0" w:color="808080"/>
              <w:right w:val="nil"/>
            </w:tcBorders>
            <w:vAlign w:val="center"/>
          </w:tcPr>
          <w:p w14:paraId="0F00F9A4"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Portola Valley</w:t>
            </w:r>
          </w:p>
        </w:tc>
        <w:tc>
          <w:tcPr>
            <w:tcW w:w="990" w:type="dxa"/>
            <w:tcBorders>
              <w:top w:val="single" w:sz="6" w:space="0" w:color="808080"/>
              <w:left w:val="nil"/>
              <w:bottom w:val="single" w:sz="6" w:space="0" w:color="808080"/>
              <w:right w:val="nil"/>
            </w:tcBorders>
            <w:vAlign w:val="bottom"/>
          </w:tcPr>
          <w:p w14:paraId="3375D18F"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1,900</w:t>
            </w:r>
          </w:p>
        </w:tc>
        <w:tc>
          <w:tcPr>
            <w:tcW w:w="900" w:type="dxa"/>
            <w:tcBorders>
              <w:top w:val="single" w:sz="6" w:space="0" w:color="808080"/>
              <w:left w:val="nil"/>
              <w:bottom w:val="single" w:sz="6" w:space="0" w:color="808080"/>
            </w:tcBorders>
            <w:vAlign w:val="bottom"/>
          </w:tcPr>
          <w:p w14:paraId="49F531A4"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2,020</w:t>
            </w:r>
          </w:p>
        </w:tc>
        <w:tc>
          <w:tcPr>
            <w:tcW w:w="900" w:type="dxa"/>
            <w:tcBorders>
              <w:top w:val="single" w:sz="6" w:space="0" w:color="808080"/>
              <w:left w:val="nil"/>
              <w:bottom w:val="single" w:sz="6" w:space="0" w:color="808080"/>
              <w:right w:val="single" w:sz="2" w:space="0" w:color="auto"/>
            </w:tcBorders>
            <w:vAlign w:val="center"/>
          </w:tcPr>
          <w:p w14:paraId="5E7E407C"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+6%</w:t>
            </w:r>
          </w:p>
        </w:tc>
        <w:tc>
          <w:tcPr>
            <w:tcW w:w="1170" w:type="dxa"/>
            <w:tcBorders>
              <w:top w:val="single" w:sz="6" w:space="0" w:color="808080"/>
              <w:left w:val="single" w:sz="2" w:space="0" w:color="auto"/>
              <w:bottom w:val="single" w:sz="6" w:space="0" w:color="808080"/>
              <w:right w:val="nil"/>
            </w:tcBorders>
          </w:tcPr>
          <w:p w14:paraId="2C7CC212"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1,750</w:t>
            </w:r>
          </w:p>
        </w:tc>
        <w:tc>
          <w:tcPr>
            <w:tcW w:w="1170" w:type="dxa"/>
            <w:tcBorders>
              <w:top w:val="single" w:sz="6" w:space="0" w:color="808080"/>
              <w:left w:val="nil"/>
              <w:bottom w:val="single" w:sz="6" w:space="0" w:color="808080"/>
              <w:right w:val="nil"/>
            </w:tcBorders>
            <w:vAlign w:val="center"/>
          </w:tcPr>
          <w:p w14:paraId="492DEB07"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1,900</w:t>
            </w:r>
          </w:p>
        </w:tc>
        <w:tc>
          <w:tcPr>
            <w:tcW w:w="900" w:type="dxa"/>
            <w:tcBorders>
              <w:top w:val="single" w:sz="6" w:space="0" w:color="808080"/>
              <w:left w:val="nil"/>
              <w:bottom w:val="single" w:sz="6" w:space="0" w:color="808080"/>
              <w:right w:val="single" w:sz="2" w:space="0" w:color="auto"/>
            </w:tcBorders>
            <w:vAlign w:val="center"/>
          </w:tcPr>
          <w:p w14:paraId="019E581E"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+9%</w:t>
            </w:r>
          </w:p>
        </w:tc>
        <w:tc>
          <w:tcPr>
            <w:tcW w:w="900" w:type="dxa"/>
            <w:tcBorders>
              <w:top w:val="single" w:sz="6" w:space="0" w:color="808080"/>
              <w:left w:val="single" w:sz="2" w:space="0" w:color="auto"/>
              <w:bottom w:val="single" w:sz="6" w:space="0" w:color="808080"/>
              <w:right w:val="nil"/>
            </w:tcBorders>
            <w:vAlign w:val="bottom"/>
          </w:tcPr>
          <w:p w14:paraId="32A731F1"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1,500</w:t>
            </w:r>
          </w:p>
        </w:tc>
        <w:tc>
          <w:tcPr>
            <w:tcW w:w="990" w:type="dxa"/>
            <w:tcBorders>
              <w:top w:val="single" w:sz="6" w:space="0" w:color="808080"/>
              <w:left w:val="nil"/>
              <w:bottom w:val="single" w:sz="6" w:space="0" w:color="808080"/>
              <w:right w:val="nil"/>
            </w:tcBorders>
            <w:vAlign w:val="bottom"/>
          </w:tcPr>
          <w:p w14:paraId="5333C97C"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1,770</w:t>
            </w:r>
          </w:p>
        </w:tc>
        <w:tc>
          <w:tcPr>
            <w:tcW w:w="990" w:type="dxa"/>
            <w:gridSpan w:val="2"/>
            <w:tcBorders>
              <w:top w:val="single" w:sz="6" w:space="0" w:color="808080"/>
              <w:left w:val="nil"/>
              <w:bottom w:val="single" w:sz="6" w:space="0" w:color="808080"/>
              <w:right w:val="nil"/>
            </w:tcBorders>
            <w:vAlign w:val="center"/>
          </w:tcPr>
          <w:p w14:paraId="04C584B6"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+18%</w:t>
            </w:r>
          </w:p>
        </w:tc>
      </w:tr>
      <w:tr w:rsidR="00917AAA" w:rsidRPr="008852D7" w14:paraId="49DF7962" w14:textId="77777777" w:rsidTr="00BB1DF7">
        <w:tblPrEx>
          <w:tblCellMar>
            <w:left w:w="115" w:type="dxa"/>
            <w:right w:w="115" w:type="dxa"/>
          </w:tblCellMar>
        </w:tblPrEx>
        <w:trPr>
          <w:trHeight w:val="138"/>
        </w:trPr>
        <w:tc>
          <w:tcPr>
            <w:tcW w:w="1980" w:type="dxa"/>
            <w:tcBorders>
              <w:top w:val="single" w:sz="6" w:space="0" w:color="808080"/>
              <w:left w:val="nil"/>
              <w:bottom w:val="single" w:sz="6" w:space="0" w:color="808080"/>
              <w:right w:val="nil"/>
            </w:tcBorders>
            <w:vAlign w:val="center"/>
          </w:tcPr>
          <w:p w14:paraId="75868D9F"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Redwood City</w:t>
            </w:r>
          </w:p>
        </w:tc>
        <w:tc>
          <w:tcPr>
            <w:tcW w:w="990" w:type="dxa"/>
            <w:tcBorders>
              <w:top w:val="single" w:sz="6" w:space="0" w:color="808080"/>
              <w:left w:val="nil"/>
              <w:bottom w:val="single" w:sz="6" w:space="0" w:color="808080"/>
              <w:right w:val="nil"/>
            </w:tcBorders>
            <w:vAlign w:val="bottom"/>
          </w:tcPr>
          <w:p w14:paraId="45F3F79C"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29,170</w:t>
            </w:r>
          </w:p>
        </w:tc>
        <w:tc>
          <w:tcPr>
            <w:tcW w:w="900" w:type="dxa"/>
            <w:tcBorders>
              <w:top w:val="single" w:sz="6" w:space="0" w:color="808080"/>
              <w:left w:val="nil"/>
              <w:bottom w:val="single" w:sz="6" w:space="0" w:color="808080"/>
            </w:tcBorders>
            <w:vAlign w:val="bottom"/>
          </w:tcPr>
          <w:p w14:paraId="3B6EF669"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37,890</w:t>
            </w:r>
          </w:p>
        </w:tc>
        <w:tc>
          <w:tcPr>
            <w:tcW w:w="900" w:type="dxa"/>
            <w:tcBorders>
              <w:top w:val="single" w:sz="6" w:space="0" w:color="808080"/>
              <w:left w:val="nil"/>
              <w:bottom w:val="single" w:sz="6" w:space="0" w:color="808080"/>
              <w:right w:val="single" w:sz="2" w:space="0" w:color="auto"/>
            </w:tcBorders>
            <w:vAlign w:val="center"/>
          </w:tcPr>
          <w:p w14:paraId="2AEFF2B6"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+30%</w:t>
            </w:r>
          </w:p>
        </w:tc>
        <w:tc>
          <w:tcPr>
            <w:tcW w:w="1170" w:type="dxa"/>
            <w:tcBorders>
              <w:top w:val="single" w:sz="6" w:space="0" w:color="808080"/>
              <w:left w:val="single" w:sz="2" w:space="0" w:color="auto"/>
              <w:bottom w:val="single" w:sz="6" w:space="0" w:color="808080"/>
              <w:right w:val="nil"/>
            </w:tcBorders>
          </w:tcPr>
          <w:p w14:paraId="523EFE6B"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27,960</w:t>
            </w:r>
          </w:p>
        </w:tc>
        <w:tc>
          <w:tcPr>
            <w:tcW w:w="1170" w:type="dxa"/>
            <w:tcBorders>
              <w:top w:val="single" w:sz="6" w:space="0" w:color="808080"/>
              <w:left w:val="nil"/>
              <w:bottom w:val="single" w:sz="6" w:space="0" w:color="808080"/>
              <w:right w:val="nil"/>
            </w:tcBorders>
            <w:vAlign w:val="center"/>
          </w:tcPr>
          <w:p w14:paraId="55B32197"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36,860</w:t>
            </w:r>
          </w:p>
        </w:tc>
        <w:tc>
          <w:tcPr>
            <w:tcW w:w="900" w:type="dxa"/>
            <w:tcBorders>
              <w:top w:val="single" w:sz="6" w:space="0" w:color="808080"/>
              <w:left w:val="nil"/>
              <w:bottom w:val="single" w:sz="6" w:space="0" w:color="808080"/>
              <w:right w:val="single" w:sz="2" w:space="0" w:color="auto"/>
            </w:tcBorders>
            <w:vAlign w:val="center"/>
          </w:tcPr>
          <w:p w14:paraId="541C8C13"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+32%</w:t>
            </w:r>
          </w:p>
        </w:tc>
        <w:tc>
          <w:tcPr>
            <w:tcW w:w="900" w:type="dxa"/>
            <w:tcBorders>
              <w:top w:val="single" w:sz="6" w:space="0" w:color="808080"/>
              <w:left w:val="single" w:sz="2" w:space="0" w:color="auto"/>
              <w:bottom w:val="single" w:sz="6" w:space="0" w:color="808080"/>
              <w:right w:val="nil"/>
            </w:tcBorders>
            <w:vAlign w:val="bottom"/>
          </w:tcPr>
          <w:p w14:paraId="66369628"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58,080</w:t>
            </w:r>
          </w:p>
        </w:tc>
        <w:tc>
          <w:tcPr>
            <w:tcW w:w="990" w:type="dxa"/>
            <w:tcBorders>
              <w:top w:val="single" w:sz="6" w:space="0" w:color="808080"/>
              <w:left w:val="nil"/>
              <w:bottom w:val="single" w:sz="6" w:space="0" w:color="808080"/>
              <w:right w:val="nil"/>
            </w:tcBorders>
            <w:vAlign w:val="bottom"/>
          </w:tcPr>
          <w:p w14:paraId="572B73E4"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77,480</w:t>
            </w:r>
          </w:p>
        </w:tc>
        <w:tc>
          <w:tcPr>
            <w:tcW w:w="990" w:type="dxa"/>
            <w:gridSpan w:val="2"/>
            <w:tcBorders>
              <w:top w:val="single" w:sz="6" w:space="0" w:color="808080"/>
              <w:left w:val="nil"/>
              <w:bottom w:val="single" w:sz="6" w:space="0" w:color="808080"/>
              <w:right w:val="nil"/>
            </w:tcBorders>
            <w:vAlign w:val="center"/>
          </w:tcPr>
          <w:p w14:paraId="3909D93B"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+33%</w:t>
            </w:r>
          </w:p>
        </w:tc>
      </w:tr>
      <w:tr w:rsidR="00917AAA" w:rsidRPr="008852D7" w14:paraId="272A6AF9" w14:textId="77777777" w:rsidTr="00BB1DF7">
        <w:tblPrEx>
          <w:tblCellMar>
            <w:left w:w="115" w:type="dxa"/>
            <w:right w:w="115" w:type="dxa"/>
          </w:tblCellMar>
        </w:tblPrEx>
        <w:trPr>
          <w:trHeight w:val="84"/>
        </w:trPr>
        <w:tc>
          <w:tcPr>
            <w:tcW w:w="1980" w:type="dxa"/>
            <w:tcBorders>
              <w:top w:val="single" w:sz="6" w:space="0" w:color="808080"/>
              <w:left w:val="nil"/>
              <w:bottom w:val="single" w:sz="6" w:space="0" w:color="808080"/>
              <w:right w:val="nil"/>
            </w:tcBorders>
            <w:vAlign w:val="center"/>
          </w:tcPr>
          <w:p w14:paraId="1D409359"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San Bruno</w:t>
            </w:r>
          </w:p>
        </w:tc>
        <w:tc>
          <w:tcPr>
            <w:tcW w:w="990" w:type="dxa"/>
            <w:tcBorders>
              <w:top w:val="single" w:sz="6" w:space="0" w:color="808080"/>
              <w:left w:val="nil"/>
              <w:bottom w:val="single" w:sz="6" w:space="0" w:color="808080"/>
              <w:right w:val="nil"/>
            </w:tcBorders>
            <w:vAlign w:val="bottom"/>
          </w:tcPr>
          <w:p w14:paraId="516182A4"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15,360</w:t>
            </w:r>
          </w:p>
        </w:tc>
        <w:tc>
          <w:tcPr>
            <w:tcW w:w="900" w:type="dxa"/>
            <w:tcBorders>
              <w:top w:val="single" w:sz="6" w:space="0" w:color="808080"/>
              <w:left w:val="nil"/>
              <w:bottom w:val="single" w:sz="6" w:space="0" w:color="808080"/>
            </w:tcBorders>
            <w:vAlign w:val="bottom"/>
          </w:tcPr>
          <w:p w14:paraId="24DDA818"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19,820</w:t>
            </w:r>
          </w:p>
        </w:tc>
        <w:tc>
          <w:tcPr>
            <w:tcW w:w="900" w:type="dxa"/>
            <w:tcBorders>
              <w:top w:val="single" w:sz="6" w:space="0" w:color="808080"/>
              <w:left w:val="nil"/>
              <w:bottom w:val="single" w:sz="6" w:space="0" w:color="808080"/>
              <w:right w:val="single" w:sz="2" w:space="0" w:color="auto"/>
            </w:tcBorders>
            <w:vAlign w:val="center"/>
          </w:tcPr>
          <w:p w14:paraId="66866461"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+29%</w:t>
            </w:r>
          </w:p>
        </w:tc>
        <w:tc>
          <w:tcPr>
            <w:tcW w:w="1170" w:type="dxa"/>
            <w:tcBorders>
              <w:top w:val="single" w:sz="6" w:space="0" w:color="808080"/>
              <w:left w:val="single" w:sz="2" w:space="0" w:color="auto"/>
              <w:bottom w:val="single" w:sz="6" w:space="0" w:color="808080"/>
              <w:right w:val="nil"/>
            </w:tcBorders>
          </w:tcPr>
          <w:p w14:paraId="4CC5B7E7"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14,700</w:t>
            </w:r>
          </w:p>
        </w:tc>
        <w:tc>
          <w:tcPr>
            <w:tcW w:w="1170" w:type="dxa"/>
            <w:tcBorders>
              <w:top w:val="single" w:sz="6" w:space="0" w:color="808080"/>
              <w:left w:val="nil"/>
              <w:bottom w:val="single" w:sz="6" w:space="0" w:color="808080"/>
              <w:right w:val="nil"/>
            </w:tcBorders>
            <w:vAlign w:val="center"/>
          </w:tcPr>
          <w:p w14:paraId="582CEA84"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19,170</w:t>
            </w:r>
          </w:p>
        </w:tc>
        <w:tc>
          <w:tcPr>
            <w:tcW w:w="900" w:type="dxa"/>
            <w:tcBorders>
              <w:top w:val="single" w:sz="6" w:space="0" w:color="808080"/>
              <w:left w:val="nil"/>
              <w:bottom w:val="single" w:sz="6" w:space="0" w:color="808080"/>
              <w:right w:val="single" w:sz="2" w:space="0" w:color="auto"/>
            </w:tcBorders>
            <w:vAlign w:val="center"/>
          </w:tcPr>
          <w:p w14:paraId="4E2D9C60"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+30%</w:t>
            </w:r>
          </w:p>
        </w:tc>
        <w:tc>
          <w:tcPr>
            <w:tcW w:w="900" w:type="dxa"/>
            <w:tcBorders>
              <w:top w:val="single" w:sz="6" w:space="0" w:color="808080"/>
              <w:left w:val="single" w:sz="2" w:space="0" w:color="auto"/>
              <w:bottom w:val="single" w:sz="6" w:space="0" w:color="808080"/>
              <w:right w:val="nil"/>
            </w:tcBorders>
            <w:vAlign w:val="bottom"/>
          </w:tcPr>
          <w:p w14:paraId="46D4E139"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12,710</w:t>
            </w:r>
          </w:p>
        </w:tc>
        <w:tc>
          <w:tcPr>
            <w:tcW w:w="990" w:type="dxa"/>
            <w:tcBorders>
              <w:top w:val="single" w:sz="6" w:space="0" w:color="808080"/>
              <w:left w:val="nil"/>
              <w:bottom w:val="single" w:sz="6" w:space="0" w:color="808080"/>
              <w:right w:val="nil"/>
            </w:tcBorders>
            <w:vAlign w:val="bottom"/>
          </w:tcPr>
          <w:p w14:paraId="6FD11315"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16,950</w:t>
            </w:r>
          </w:p>
        </w:tc>
        <w:tc>
          <w:tcPr>
            <w:tcW w:w="990" w:type="dxa"/>
            <w:gridSpan w:val="2"/>
            <w:tcBorders>
              <w:top w:val="single" w:sz="6" w:space="0" w:color="808080"/>
              <w:left w:val="nil"/>
              <w:bottom w:val="single" w:sz="6" w:space="0" w:color="808080"/>
              <w:right w:val="nil"/>
            </w:tcBorders>
            <w:vAlign w:val="center"/>
          </w:tcPr>
          <w:p w14:paraId="42D6027E"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+33%</w:t>
            </w:r>
          </w:p>
        </w:tc>
      </w:tr>
      <w:tr w:rsidR="00917AAA" w:rsidRPr="008852D7" w14:paraId="7275A073" w14:textId="77777777" w:rsidTr="00BB1DF7">
        <w:tblPrEx>
          <w:tblCellMar>
            <w:left w:w="115" w:type="dxa"/>
            <w:right w:w="115" w:type="dxa"/>
          </w:tblCellMar>
        </w:tblPrEx>
        <w:trPr>
          <w:trHeight w:val="138"/>
        </w:trPr>
        <w:tc>
          <w:tcPr>
            <w:tcW w:w="1980" w:type="dxa"/>
            <w:tcBorders>
              <w:top w:val="single" w:sz="6" w:space="0" w:color="808080"/>
              <w:left w:val="nil"/>
              <w:bottom w:val="single" w:sz="6" w:space="0" w:color="808080"/>
              <w:right w:val="nil"/>
            </w:tcBorders>
            <w:vAlign w:val="center"/>
          </w:tcPr>
          <w:p w14:paraId="2156AC13"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San Carlos</w:t>
            </w:r>
          </w:p>
        </w:tc>
        <w:tc>
          <w:tcPr>
            <w:tcW w:w="990" w:type="dxa"/>
            <w:tcBorders>
              <w:top w:val="single" w:sz="6" w:space="0" w:color="808080"/>
              <w:left w:val="nil"/>
              <w:bottom w:val="single" w:sz="6" w:space="0" w:color="808080"/>
              <w:right w:val="nil"/>
            </w:tcBorders>
            <w:vAlign w:val="bottom"/>
          </w:tcPr>
          <w:p w14:paraId="151411AC"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12,020</w:t>
            </w:r>
          </w:p>
        </w:tc>
        <w:tc>
          <w:tcPr>
            <w:tcW w:w="900" w:type="dxa"/>
            <w:tcBorders>
              <w:top w:val="single" w:sz="6" w:space="0" w:color="808080"/>
              <w:left w:val="nil"/>
              <w:bottom w:val="single" w:sz="6" w:space="0" w:color="808080"/>
            </w:tcBorders>
            <w:vAlign w:val="bottom"/>
          </w:tcPr>
          <w:p w14:paraId="3DF6B2E0"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13,800</w:t>
            </w:r>
          </w:p>
        </w:tc>
        <w:tc>
          <w:tcPr>
            <w:tcW w:w="900" w:type="dxa"/>
            <w:tcBorders>
              <w:top w:val="single" w:sz="6" w:space="0" w:color="808080"/>
              <w:left w:val="nil"/>
              <w:bottom w:val="single" w:sz="6" w:space="0" w:color="808080"/>
              <w:right w:val="single" w:sz="2" w:space="0" w:color="auto"/>
            </w:tcBorders>
            <w:vAlign w:val="center"/>
          </w:tcPr>
          <w:p w14:paraId="3C39087A"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+15%</w:t>
            </w:r>
          </w:p>
        </w:tc>
        <w:tc>
          <w:tcPr>
            <w:tcW w:w="1170" w:type="dxa"/>
            <w:tcBorders>
              <w:top w:val="single" w:sz="6" w:space="0" w:color="808080"/>
              <w:left w:val="single" w:sz="2" w:space="0" w:color="auto"/>
              <w:bottom w:val="single" w:sz="6" w:space="0" w:color="808080"/>
              <w:right w:val="nil"/>
            </w:tcBorders>
          </w:tcPr>
          <w:p w14:paraId="730706A3"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11,520</w:t>
            </w:r>
          </w:p>
        </w:tc>
        <w:tc>
          <w:tcPr>
            <w:tcW w:w="1170" w:type="dxa"/>
            <w:tcBorders>
              <w:top w:val="single" w:sz="6" w:space="0" w:color="808080"/>
              <w:left w:val="nil"/>
              <w:bottom w:val="single" w:sz="6" w:space="0" w:color="808080"/>
              <w:right w:val="nil"/>
            </w:tcBorders>
            <w:vAlign w:val="center"/>
          </w:tcPr>
          <w:p w14:paraId="6F967EA4"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13,390</w:t>
            </w:r>
          </w:p>
        </w:tc>
        <w:tc>
          <w:tcPr>
            <w:tcW w:w="900" w:type="dxa"/>
            <w:tcBorders>
              <w:top w:val="single" w:sz="6" w:space="0" w:color="808080"/>
              <w:left w:val="nil"/>
              <w:bottom w:val="single" w:sz="6" w:space="0" w:color="808080"/>
              <w:right w:val="single" w:sz="2" w:space="0" w:color="auto"/>
            </w:tcBorders>
            <w:vAlign w:val="center"/>
          </w:tcPr>
          <w:p w14:paraId="7B855B47"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+16%</w:t>
            </w:r>
          </w:p>
        </w:tc>
        <w:tc>
          <w:tcPr>
            <w:tcW w:w="900" w:type="dxa"/>
            <w:tcBorders>
              <w:top w:val="single" w:sz="6" w:space="0" w:color="808080"/>
              <w:left w:val="single" w:sz="2" w:space="0" w:color="auto"/>
              <w:bottom w:val="single" w:sz="6" w:space="0" w:color="808080"/>
              <w:right w:val="nil"/>
            </w:tcBorders>
            <w:vAlign w:val="bottom"/>
          </w:tcPr>
          <w:p w14:paraId="460B9CD1"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15,870</w:t>
            </w:r>
          </w:p>
        </w:tc>
        <w:tc>
          <w:tcPr>
            <w:tcW w:w="990" w:type="dxa"/>
            <w:tcBorders>
              <w:top w:val="single" w:sz="6" w:space="0" w:color="808080"/>
              <w:left w:val="nil"/>
              <w:bottom w:val="single" w:sz="6" w:space="0" w:color="808080"/>
              <w:right w:val="nil"/>
            </w:tcBorders>
            <w:vAlign w:val="bottom"/>
          </w:tcPr>
          <w:p w14:paraId="468BD8AA"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19,370</w:t>
            </w:r>
          </w:p>
        </w:tc>
        <w:tc>
          <w:tcPr>
            <w:tcW w:w="990" w:type="dxa"/>
            <w:gridSpan w:val="2"/>
            <w:tcBorders>
              <w:top w:val="single" w:sz="6" w:space="0" w:color="808080"/>
              <w:left w:val="nil"/>
              <w:bottom w:val="single" w:sz="6" w:space="0" w:color="808080"/>
              <w:right w:val="nil"/>
            </w:tcBorders>
            <w:vAlign w:val="center"/>
          </w:tcPr>
          <w:p w14:paraId="7E03CA52"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+22%</w:t>
            </w:r>
          </w:p>
        </w:tc>
      </w:tr>
      <w:tr w:rsidR="00917AAA" w:rsidRPr="00F76EA2" w14:paraId="23E263B0" w14:textId="77777777" w:rsidTr="00BB1DF7">
        <w:tblPrEx>
          <w:tblCellMar>
            <w:left w:w="115" w:type="dxa"/>
            <w:right w:w="115" w:type="dxa"/>
          </w:tblCellMar>
        </w:tblPrEx>
        <w:trPr>
          <w:trHeight w:val="174"/>
        </w:trPr>
        <w:tc>
          <w:tcPr>
            <w:tcW w:w="1980" w:type="dxa"/>
            <w:tcBorders>
              <w:top w:val="single" w:sz="6" w:space="0" w:color="808080"/>
              <w:left w:val="nil"/>
              <w:bottom w:val="single" w:sz="6" w:space="0" w:color="808080"/>
              <w:right w:val="nil"/>
            </w:tcBorders>
            <w:vAlign w:val="center"/>
          </w:tcPr>
          <w:p w14:paraId="259954F0" w14:textId="77777777" w:rsidR="00917AAA" w:rsidRPr="00F76EA2"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F76EA2">
              <w:rPr>
                <w:color w:val="000000"/>
                <w:sz w:val="18"/>
                <w:szCs w:val="18"/>
              </w:rPr>
              <w:t xml:space="preserve">San Mateo </w:t>
            </w:r>
          </w:p>
        </w:tc>
        <w:tc>
          <w:tcPr>
            <w:tcW w:w="990" w:type="dxa"/>
            <w:tcBorders>
              <w:top w:val="single" w:sz="6" w:space="0" w:color="808080"/>
              <w:left w:val="nil"/>
              <w:bottom w:val="single" w:sz="6" w:space="0" w:color="808080"/>
              <w:right w:val="nil"/>
            </w:tcBorders>
            <w:vAlign w:val="bottom"/>
          </w:tcPr>
          <w:p w14:paraId="065C4A17" w14:textId="77777777" w:rsidR="00917AAA" w:rsidRPr="00F76EA2" w:rsidRDefault="00917AAA" w:rsidP="00F76EA2">
            <w:pPr>
              <w:widowControl w:val="0"/>
              <w:autoSpaceDE w:val="0"/>
              <w:autoSpaceDN w:val="0"/>
              <w:adjustRightInd w:val="0"/>
              <w:spacing w:line="360" w:lineRule="auto"/>
              <w:jc w:val="right"/>
              <w:rPr>
                <w:rFonts w:cs="Century Gothic"/>
                <w:color w:val="000000"/>
                <w:sz w:val="18"/>
                <w:szCs w:val="18"/>
              </w:rPr>
            </w:pPr>
            <w:r w:rsidRPr="00F76EA2">
              <w:rPr>
                <w:color w:val="000000"/>
                <w:sz w:val="18"/>
                <w:szCs w:val="18"/>
              </w:rPr>
              <w:t>40,010</w:t>
            </w:r>
          </w:p>
        </w:tc>
        <w:tc>
          <w:tcPr>
            <w:tcW w:w="900" w:type="dxa"/>
            <w:tcBorders>
              <w:top w:val="single" w:sz="6" w:space="0" w:color="808080"/>
              <w:left w:val="nil"/>
              <w:bottom w:val="single" w:sz="6" w:space="0" w:color="808080"/>
            </w:tcBorders>
            <w:vAlign w:val="bottom"/>
          </w:tcPr>
          <w:p w14:paraId="1D931219" w14:textId="77777777" w:rsidR="00917AAA" w:rsidRPr="00F76EA2" w:rsidRDefault="00917AAA" w:rsidP="00F76EA2">
            <w:pPr>
              <w:widowControl w:val="0"/>
              <w:autoSpaceDE w:val="0"/>
              <w:autoSpaceDN w:val="0"/>
              <w:adjustRightInd w:val="0"/>
              <w:spacing w:line="360" w:lineRule="auto"/>
              <w:jc w:val="right"/>
              <w:rPr>
                <w:rFonts w:cs="Century Gothic"/>
                <w:color w:val="000000"/>
                <w:sz w:val="18"/>
                <w:szCs w:val="18"/>
              </w:rPr>
            </w:pPr>
            <w:r w:rsidRPr="00F76EA2">
              <w:rPr>
                <w:rFonts w:cs="Arial"/>
                <w:sz w:val="18"/>
                <w:szCs w:val="18"/>
              </w:rPr>
              <w:t>50,200</w:t>
            </w:r>
          </w:p>
        </w:tc>
        <w:tc>
          <w:tcPr>
            <w:tcW w:w="900" w:type="dxa"/>
            <w:tcBorders>
              <w:top w:val="single" w:sz="6" w:space="0" w:color="808080"/>
              <w:left w:val="nil"/>
              <w:bottom w:val="single" w:sz="6" w:space="0" w:color="808080"/>
              <w:right w:val="single" w:sz="2" w:space="0" w:color="auto"/>
            </w:tcBorders>
            <w:vAlign w:val="center"/>
          </w:tcPr>
          <w:p w14:paraId="2E2A1656" w14:textId="77777777" w:rsidR="00917AAA" w:rsidRPr="00F76EA2" w:rsidRDefault="00917AAA" w:rsidP="00F76EA2">
            <w:pPr>
              <w:widowControl w:val="0"/>
              <w:autoSpaceDE w:val="0"/>
              <w:autoSpaceDN w:val="0"/>
              <w:adjustRightInd w:val="0"/>
              <w:spacing w:line="360" w:lineRule="auto"/>
              <w:jc w:val="right"/>
              <w:rPr>
                <w:color w:val="000000" w:themeColor="text1"/>
                <w:sz w:val="18"/>
                <w:szCs w:val="18"/>
              </w:rPr>
            </w:pPr>
            <w:r w:rsidRPr="00F76EA2">
              <w:rPr>
                <w:rFonts w:eastAsia="Times New Roman" w:cs="Times New Roman"/>
                <w:color w:val="000000"/>
                <w:sz w:val="18"/>
                <w:szCs w:val="18"/>
              </w:rPr>
              <w:t>+25%</w:t>
            </w:r>
          </w:p>
        </w:tc>
        <w:tc>
          <w:tcPr>
            <w:tcW w:w="1170" w:type="dxa"/>
            <w:tcBorders>
              <w:top w:val="single" w:sz="6" w:space="0" w:color="808080"/>
              <w:left w:val="single" w:sz="2" w:space="0" w:color="auto"/>
              <w:bottom w:val="single" w:sz="6" w:space="0" w:color="808080"/>
              <w:right w:val="nil"/>
            </w:tcBorders>
          </w:tcPr>
          <w:p w14:paraId="1FA79F23"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F76EA2">
              <w:rPr>
                <w:color w:val="000000" w:themeColor="text1"/>
                <w:sz w:val="18"/>
                <w:szCs w:val="18"/>
              </w:rPr>
              <w:t>38,230</w:t>
            </w:r>
          </w:p>
        </w:tc>
        <w:tc>
          <w:tcPr>
            <w:tcW w:w="1170" w:type="dxa"/>
            <w:tcBorders>
              <w:top w:val="single" w:sz="6" w:space="0" w:color="808080"/>
              <w:left w:val="nil"/>
              <w:bottom w:val="single" w:sz="6" w:space="0" w:color="808080"/>
              <w:right w:val="nil"/>
            </w:tcBorders>
            <w:vAlign w:val="center"/>
          </w:tcPr>
          <w:p w14:paraId="7C90B689" w14:textId="77777777" w:rsidR="00917AAA" w:rsidRPr="00F76EA2" w:rsidRDefault="00917AAA" w:rsidP="00F76EA2">
            <w:pPr>
              <w:widowControl w:val="0"/>
              <w:autoSpaceDE w:val="0"/>
              <w:autoSpaceDN w:val="0"/>
              <w:adjustRightInd w:val="0"/>
              <w:spacing w:line="360" w:lineRule="auto"/>
              <w:ind w:right="17"/>
              <w:jc w:val="right"/>
              <w:rPr>
                <w:color w:val="000000"/>
                <w:sz w:val="18"/>
                <w:szCs w:val="18"/>
              </w:rPr>
            </w:pPr>
            <w:r w:rsidRPr="00F76EA2">
              <w:rPr>
                <w:rFonts w:eastAsia="Times New Roman" w:cs="Times New Roman"/>
                <w:bCs/>
                <w:color w:val="000000"/>
                <w:sz w:val="18"/>
                <w:szCs w:val="18"/>
              </w:rPr>
              <w:t>48,620</w:t>
            </w:r>
          </w:p>
        </w:tc>
        <w:tc>
          <w:tcPr>
            <w:tcW w:w="900" w:type="dxa"/>
            <w:tcBorders>
              <w:top w:val="single" w:sz="6" w:space="0" w:color="808080"/>
              <w:left w:val="nil"/>
              <w:bottom w:val="single" w:sz="6" w:space="0" w:color="808080"/>
              <w:right w:val="single" w:sz="2" w:space="0" w:color="auto"/>
            </w:tcBorders>
            <w:vAlign w:val="center"/>
          </w:tcPr>
          <w:p w14:paraId="56B7A825" w14:textId="77777777" w:rsidR="00917AAA" w:rsidRPr="00F76EA2"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F76EA2">
              <w:rPr>
                <w:rFonts w:eastAsia="Times New Roman" w:cs="Times New Roman"/>
                <w:color w:val="000000"/>
                <w:sz w:val="18"/>
                <w:szCs w:val="18"/>
              </w:rPr>
              <w:t>+27%</w:t>
            </w:r>
          </w:p>
        </w:tc>
        <w:tc>
          <w:tcPr>
            <w:tcW w:w="900" w:type="dxa"/>
            <w:tcBorders>
              <w:top w:val="single" w:sz="6" w:space="0" w:color="808080"/>
              <w:left w:val="single" w:sz="2" w:space="0" w:color="auto"/>
              <w:bottom w:val="single" w:sz="6" w:space="0" w:color="808080"/>
              <w:right w:val="nil"/>
            </w:tcBorders>
            <w:vAlign w:val="bottom"/>
          </w:tcPr>
          <w:p w14:paraId="5EBA6F60" w14:textId="77777777" w:rsidR="00917AAA" w:rsidRPr="00F76EA2" w:rsidRDefault="00917AAA" w:rsidP="00F76EA2">
            <w:pPr>
              <w:widowControl w:val="0"/>
              <w:autoSpaceDE w:val="0"/>
              <w:autoSpaceDN w:val="0"/>
              <w:adjustRightInd w:val="0"/>
              <w:spacing w:line="360" w:lineRule="auto"/>
              <w:jc w:val="right"/>
              <w:rPr>
                <w:rFonts w:cs="Century Gothic"/>
                <w:color w:val="000000"/>
                <w:sz w:val="18"/>
                <w:szCs w:val="18"/>
              </w:rPr>
            </w:pPr>
            <w:r w:rsidRPr="00F76EA2">
              <w:rPr>
                <w:color w:val="000000"/>
                <w:sz w:val="18"/>
                <w:szCs w:val="18"/>
              </w:rPr>
              <w:t>52,540</w:t>
            </w:r>
          </w:p>
        </w:tc>
        <w:tc>
          <w:tcPr>
            <w:tcW w:w="990" w:type="dxa"/>
            <w:tcBorders>
              <w:top w:val="single" w:sz="6" w:space="0" w:color="808080"/>
              <w:left w:val="nil"/>
              <w:bottom w:val="single" w:sz="6" w:space="0" w:color="808080"/>
              <w:right w:val="nil"/>
            </w:tcBorders>
            <w:vAlign w:val="bottom"/>
          </w:tcPr>
          <w:p w14:paraId="314FB135" w14:textId="77777777" w:rsidR="00917AAA" w:rsidRPr="00F76EA2" w:rsidRDefault="00917AAA" w:rsidP="00F76EA2">
            <w:pPr>
              <w:widowControl w:val="0"/>
              <w:autoSpaceDE w:val="0"/>
              <w:autoSpaceDN w:val="0"/>
              <w:adjustRightInd w:val="0"/>
              <w:spacing w:line="360" w:lineRule="auto"/>
              <w:jc w:val="right"/>
              <w:rPr>
                <w:rFonts w:cs="Century Gothic"/>
                <w:color w:val="000000"/>
                <w:sz w:val="18"/>
                <w:szCs w:val="18"/>
              </w:rPr>
            </w:pPr>
            <w:r w:rsidRPr="00F76EA2">
              <w:rPr>
                <w:color w:val="000000"/>
                <w:sz w:val="18"/>
                <w:szCs w:val="18"/>
              </w:rPr>
              <w:t>72,950</w:t>
            </w:r>
          </w:p>
        </w:tc>
        <w:tc>
          <w:tcPr>
            <w:tcW w:w="990" w:type="dxa"/>
            <w:gridSpan w:val="2"/>
            <w:tcBorders>
              <w:top w:val="single" w:sz="6" w:space="0" w:color="808080"/>
              <w:left w:val="nil"/>
              <w:bottom w:val="single" w:sz="6" w:space="0" w:color="808080"/>
              <w:right w:val="nil"/>
            </w:tcBorders>
            <w:vAlign w:val="center"/>
          </w:tcPr>
          <w:p w14:paraId="594E1758" w14:textId="77777777" w:rsidR="00917AAA" w:rsidRPr="00F76EA2" w:rsidRDefault="00917AAA" w:rsidP="00F76EA2">
            <w:pPr>
              <w:widowControl w:val="0"/>
              <w:autoSpaceDE w:val="0"/>
              <w:autoSpaceDN w:val="0"/>
              <w:adjustRightInd w:val="0"/>
              <w:spacing w:line="360" w:lineRule="auto"/>
              <w:jc w:val="right"/>
              <w:rPr>
                <w:color w:val="000000"/>
                <w:sz w:val="18"/>
                <w:szCs w:val="18"/>
              </w:rPr>
            </w:pPr>
            <w:r w:rsidRPr="00F76EA2">
              <w:rPr>
                <w:rFonts w:eastAsia="Times New Roman" w:cs="Times New Roman"/>
                <w:color w:val="000000"/>
                <w:sz w:val="18"/>
                <w:szCs w:val="18"/>
              </w:rPr>
              <w:t>+39%</w:t>
            </w:r>
          </w:p>
        </w:tc>
      </w:tr>
      <w:tr w:rsidR="00917AAA" w:rsidRPr="008852D7" w14:paraId="62D84E84" w14:textId="77777777" w:rsidTr="00BB1DF7">
        <w:tblPrEx>
          <w:tblCellMar>
            <w:left w:w="115" w:type="dxa"/>
            <w:right w:w="115" w:type="dxa"/>
          </w:tblCellMar>
        </w:tblPrEx>
        <w:trPr>
          <w:trHeight w:val="129"/>
        </w:trPr>
        <w:tc>
          <w:tcPr>
            <w:tcW w:w="1980" w:type="dxa"/>
            <w:tcBorders>
              <w:top w:val="single" w:sz="6" w:space="0" w:color="808080"/>
              <w:left w:val="nil"/>
              <w:bottom w:val="single" w:sz="6" w:space="0" w:color="808080"/>
              <w:right w:val="nil"/>
            </w:tcBorders>
            <w:vAlign w:val="center"/>
          </w:tcPr>
          <w:p w14:paraId="3F170CD0"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South San Francisco</w:t>
            </w:r>
          </w:p>
        </w:tc>
        <w:tc>
          <w:tcPr>
            <w:tcW w:w="990" w:type="dxa"/>
            <w:tcBorders>
              <w:top w:val="single" w:sz="6" w:space="0" w:color="808080"/>
              <w:left w:val="nil"/>
              <w:bottom w:val="single" w:sz="6" w:space="0" w:color="808080"/>
              <w:right w:val="nil"/>
            </w:tcBorders>
            <w:vAlign w:val="bottom"/>
          </w:tcPr>
          <w:p w14:paraId="7253520A"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21,810</w:t>
            </w:r>
          </w:p>
        </w:tc>
        <w:tc>
          <w:tcPr>
            <w:tcW w:w="900" w:type="dxa"/>
            <w:tcBorders>
              <w:top w:val="single" w:sz="6" w:space="0" w:color="808080"/>
              <w:left w:val="nil"/>
              <w:bottom w:val="single" w:sz="6" w:space="0" w:color="808080"/>
            </w:tcBorders>
            <w:vAlign w:val="bottom"/>
          </w:tcPr>
          <w:p w14:paraId="017F389B"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28,470</w:t>
            </w:r>
          </w:p>
        </w:tc>
        <w:tc>
          <w:tcPr>
            <w:tcW w:w="900" w:type="dxa"/>
            <w:tcBorders>
              <w:top w:val="single" w:sz="6" w:space="0" w:color="808080"/>
              <w:left w:val="nil"/>
              <w:bottom w:val="single" w:sz="6" w:space="0" w:color="808080"/>
              <w:right w:val="single" w:sz="2" w:space="0" w:color="auto"/>
            </w:tcBorders>
            <w:vAlign w:val="center"/>
          </w:tcPr>
          <w:p w14:paraId="08AB463D"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+31%</w:t>
            </w:r>
          </w:p>
        </w:tc>
        <w:tc>
          <w:tcPr>
            <w:tcW w:w="1170" w:type="dxa"/>
            <w:tcBorders>
              <w:top w:val="single" w:sz="6" w:space="0" w:color="808080"/>
              <w:left w:val="single" w:sz="2" w:space="0" w:color="auto"/>
              <w:bottom w:val="single" w:sz="6" w:space="0" w:color="808080"/>
              <w:right w:val="nil"/>
            </w:tcBorders>
          </w:tcPr>
          <w:p w14:paraId="2DB240EB"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20,940</w:t>
            </w:r>
          </w:p>
        </w:tc>
        <w:tc>
          <w:tcPr>
            <w:tcW w:w="1170" w:type="dxa"/>
            <w:tcBorders>
              <w:top w:val="single" w:sz="6" w:space="0" w:color="808080"/>
              <w:left w:val="nil"/>
              <w:bottom w:val="single" w:sz="6" w:space="0" w:color="808080"/>
              <w:right w:val="nil"/>
            </w:tcBorders>
            <w:vAlign w:val="center"/>
          </w:tcPr>
          <w:p w14:paraId="2A71438A"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27,900</w:t>
            </w:r>
          </w:p>
        </w:tc>
        <w:tc>
          <w:tcPr>
            <w:tcW w:w="900" w:type="dxa"/>
            <w:tcBorders>
              <w:top w:val="single" w:sz="6" w:space="0" w:color="808080"/>
              <w:left w:val="nil"/>
              <w:bottom w:val="single" w:sz="6" w:space="0" w:color="808080"/>
              <w:right w:val="single" w:sz="2" w:space="0" w:color="auto"/>
            </w:tcBorders>
            <w:vAlign w:val="center"/>
          </w:tcPr>
          <w:p w14:paraId="5638BDE4"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+33%</w:t>
            </w:r>
          </w:p>
        </w:tc>
        <w:tc>
          <w:tcPr>
            <w:tcW w:w="900" w:type="dxa"/>
            <w:tcBorders>
              <w:top w:val="single" w:sz="6" w:space="0" w:color="808080"/>
              <w:left w:val="single" w:sz="2" w:space="0" w:color="auto"/>
              <w:bottom w:val="single" w:sz="6" w:space="0" w:color="808080"/>
              <w:right w:val="nil"/>
            </w:tcBorders>
            <w:vAlign w:val="bottom"/>
          </w:tcPr>
          <w:p w14:paraId="59D9B13A"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43,550</w:t>
            </w:r>
          </w:p>
        </w:tc>
        <w:tc>
          <w:tcPr>
            <w:tcW w:w="990" w:type="dxa"/>
            <w:tcBorders>
              <w:top w:val="single" w:sz="6" w:space="0" w:color="808080"/>
              <w:left w:val="nil"/>
              <w:bottom w:val="single" w:sz="6" w:space="0" w:color="808080"/>
              <w:right w:val="nil"/>
            </w:tcBorders>
            <w:vAlign w:val="bottom"/>
          </w:tcPr>
          <w:p w14:paraId="0F70D4B1"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53,790</w:t>
            </w:r>
          </w:p>
        </w:tc>
        <w:tc>
          <w:tcPr>
            <w:tcW w:w="990" w:type="dxa"/>
            <w:gridSpan w:val="2"/>
            <w:tcBorders>
              <w:top w:val="single" w:sz="6" w:space="0" w:color="808080"/>
              <w:left w:val="nil"/>
              <w:bottom w:val="single" w:sz="6" w:space="0" w:color="808080"/>
              <w:right w:val="nil"/>
            </w:tcBorders>
            <w:vAlign w:val="center"/>
          </w:tcPr>
          <w:p w14:paraId="769C3CE0"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+24%</w:t>
            </w:r>
          </w:p>
        </w:tc>
      </w:tr>
      <w:tr w:rsidR="00917AAA" w:rsidRPr="008852D7" w14:paraId="3F30AEFC" w14:textId="77777777" w:rsidTr="00BB1DF7">
        <w:tblPrEx>
          <w:tblCellMar>
            <w:left w:w="115" w:type="dxa"/>
            <w:right w:w="115" w:type="dxa"/>
          </w:tblCellMar>
        </w:tblPrEx>
        <w:trPr>
          <w:trHeight w:val="45"/>
        </w:trPr>
        <w:tc>
          <w:tcPr>
            <w:tcW w:w="1980" w:type="dxa"/>
            <w:tcBorders>
              <w:top w:val="single" w:sz="6" w:space="0" w:color="808080"/>
              <w:left w:val="nil"/>
              <w:bottom w:val="single" w:sz="6" w:space="0" w:color="auto"/>
              <w:right w:val="nil"/>
            </w:tcBorders>
            <w:vAlign w:val="center"/>
          </w:tcPr>
          <w:p w14:paraId="1F490296"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Woodside</w:t>
            </w:r>
          </w:p>
        </w:tc>
        <w:tc>
          <w:tcPr>
            <w:tcW w:w="990" w:type="dxa"/>
            <w:tcBorders>
              <w:top w:val="single" w:sz="6" w:space="0" w:color="808080"/>
              <w:left w:val="nil"/>
              <w:bottom w:val="single" w:sz="6" w:space="0" w:color="auto"/>
              <w:right w:val="nil"/>
            </w:tcBorders>
            <w:vAlign w:val="bottom"/>
          </w:tcPr>
          <w:p w14:paraId="4EF4E5CB"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2,160</w:t>
            </w:r>
          </w:p>
        </w:tc>
        <w:tc>
          <w:tcPr>
            <w:tcW w:w="900" w:type="dxa"/>
            <w:tcBorders>
              <w:top w:val="single" w:sz="6" w:space="0" w:color="808080"/>
              <w:left w:val="nil"/>
              <w:bottom w:val="single" w:sz="6" w:space="0" w:color="auto"/>
            </w:tcBorders>
            <w:vAlign w:val="bottom"/>
          </w:tcPr>
          <w:p w14:paraId="24208A85"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rFonts w:cs="Arial"/>
                <w:sz w:val="18"/>
                <w:szCs w:val="18"/>
              </w:rPr>
              <w:t>2,250</w:t>
            </w:r>
          </w:p>
        </w:tc>
        <w:tc>
          <w:tcPr>
            <w:tcW w:w="900" w:type="dxa"/>
            <w:tcBorders>
              <w:top w:val="single" w:sz="6" w:space="0" w:color="808080"/>
              <w:left w:val="nil"/>
              <w:bottom w:val="single" w:sz="6" w:space="0" w:color="auto"/>
              <w:right w:val="single" w:sz="2" w:space="0" w:color="auto"/>
            </w:tcBorders>
            <w:vAlign w:val="center"/>
          </w:tcPr>
          <w:p w14:paraId="0F6EC7C4"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+4%</w:t>
            </w:r>
          </w:p>
        </w:tc>
        <w:tc>
          <w:tcPr>
            <w:tcW w:w="1170" w:type="dxa"/>
            <w:tcBorders>
              <w:top w:val="single" w:sz="6" w:space="0" w:color="808080"/>
              <w:left w:val="single" w:sz="2" w:space="0" w:color="auto"/>
              <w:bottom w:val="single" w:sz="6" w:space="0" w:color="auto"/>
              <w:right w:val="nil"/>
            </w:tcBorders>
          </w:tcPr>
          <w:p w14:paraId="27F26D91"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1,980</w:t>
            </w:r>
          </w:p>
        </w:tc>
        <w:tc>
          <w:tcPr>
            <w:tcW w:w="1170" w:type="dxa"/>
            <w:tcBorders>
              <w:top w:val="single" w:sz="6" w:space="0" w:color="808080"/>
              <w:left w:val="nil"/>
              <w:bottom w:val="single" w:sz="6" w:space="0" w:color="auto"/>
              <w:right w:val="nil"/>
            </w:tcBorders>
            <w:vAlign w:val="center"/>
          </w:tcPr>
          <w:p w14:paraId="1A621278"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2,080</w:t>
            </w:r>
          </w:p>
        </w:tc>
        <w:tc>
          <w:tcPr>
            <w:tcW w:w="900" w:type="dxa"/>
            <w:tcBorders>
              <w:top w:val="single" w:sz="6" w:space="0" w:color="808080"/>
              <w:left w:val="nil"/>
              <w:bottom w:val="single" w:sz="6" w:space="0" w:color="auto"/>
              <w:right w:val="single" w:sz="2" w:space="0" w:color="auto"/>
            </w:tcBorders>
            <w:vAlign w:val="center"/>
          </w:tcPr>
          <w:p w14:paraId="3F6B4150"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+5%</w:t>
            </w:r>
          </w:p>
        </w:tc>
        <w:tc>
          <w:tcPr>
            <w:tcW w:w="900" w:type="dxa"/>
            <w:tcBorders>
              <w:top w:val="single" w:sz="6" w:space="0" w:color="808080"/>
              <w:left w:val="single" w:sz="2" w:space="0" w:color="auto"/>
              <w:bottom w:val="single" w:sz="6" w:space="0" w:color="auto"/>
              <w:right w:val="nil"/>
            </w:tcBorders>
            <w:vAlign w:val="bottom"/>
          </w:tcPr>
          <w:p w14:paraId="10B56AFD"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1,760</w:t>
            </w:r>
          </w:p>
        </w:tc>
        <w:tc>
          <w:tcPr>
            <w:tcW w:w="990" w:type="dxa"/>
            <w:tcBorders>
              <w:top w:val="single" w:sz="6" w:space="0" w:color="808080"/>
              <w:left w:val="nil"/>
              <w:bottom w:val="single" w:sz="6" w:space="0" w:color="auto"/>
              <w:right w:val="nil"/>
            </w:tcBorders>
            <w:vAlign w:val="bottom"/>
          </w:tcPr>
          <w:p w14:paraId="1AD625FB"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2,060</w:t>
            </w:r>
          </w:p>
        </w:tc>
        <w:tc>
          <w:tcPr>
            <w:tcW w:w="990" w:type="dxa"/>
            <w:gridSpan w:val="2"/>
            <w:tcBorders>
              <w:top w:val="single" w:sz="6" w:space="0" w:color="808080"/>
              <w:left w:val="nil"/>
              <w:bottom w:val="single" w:sz="6" w:space="0" w:color="auto"/>
              <w:right w:val="nil"/>
            </w:tcBorders>
            <w:vAlign w:val="center"/>
          </w:tcPr>
          <w:p w14:paraId="247BDF42"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+17%</w:t>
            </w:r>
          </w:p>
        </w:tc>
      </w:tr>
      <w:tr w:rsidR="00917AAA" w:rsidRPr="008852D7" w14:paraId="3BC1C24A" w14:textId="77777777" w:rsidTr="00BB1DF7">
        <w:tblPrEx>
          <w:tblCellMar>
            <w:left w:w="115" w:type="dxa"/>
            <w:right w:w="115" w:type="dxa"/>
          </w:tblCellMar>
        </w:tblPrEx>
        <w:trPr>
          <w:trHeight w:val="138"/>
        </w:trPr>
        <w:tc>
          <w:tcPr>
            <w:tcW w:w="1980" w:type="dxa"/>
            <w:tcBorders>
              <w:top w:val="single" w:sz="6" w:space="0" w:color="auto"/>
              <w:left w:val="nil"/>
              <w:bottom w:val="single" w:sz="6" w:space="0" w:color="auto"/>
              <w:right w:val="nil"/>
            </w:tcBorders>
            <w:vAlign w:val="center"/>
          </w:tcPr>
          <w:p w14:paraId="49B5C260" w14:textId="77777777" w:rsidR="00917AAA" w:rsidRPr="008852D7" w:rsidRDefault="00917AAA" w:rsidP="00C30273">
            <w:pPr>
              <w:widowControl w:val="0"/>
              <w:autoSpaceDE w:val="0"/>
              <w:autoSpaceDN w:val="0"/>
              <w:adjustRightInd w:val="0"/>
              <w:spacing w:line="360" w:lineRule="auto"/>
              <w:ind w:right="-115"/>
              <w:rPr>
                <w:rFonts w:eastAsiaTheme="majorEastAsia" w:cs="Century Gothic"/>
                <w:b/>
                <w:bCs/>
                <w:color w:val="000000"/>
                <w:sz w:val="18"/>
                <w:szCs w:val="18"/>
              </w:rPr>
            </w:pPr>
            <w:r w:rsidRPr="008852D7">
              <w:rPr>
                <w:color w:val="000000"/>
                <w:sz w:val="18"/>
                <w:szCs w:val="18"/>
              </w:rPr>
              <w:t>Unincorporated</w:t>
            </w:r>
          </w:p>
        </w:tc>
        <w:tc>
          <w:tcPr>
            <w:tcW w:w="990" w:type="dxa"/>
            <w:tcBorders>
              <w:top w:val="single" w:sz="6" w:space="0" w:color="auto"/>
              <w:left w:val="nil"/>
              <w:bottom w:val="single" w:sz="6" w:space="0" w:color="auto"/>
              <w:right w:val="nil"/>
            </w:tcBorders>
            <w:vAlign w:val="bottom"/>
          </w:tcPr>
          <w:p w14:paraId="5CEECBFE"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22,510</w:t>
            </w:r>
          </w:p>
        </w:tc>
        <w:tc>
          <w:tcPr>
            <w:tcW w:w="900" w:type="dxa"/>
            <w:tcBorders>
              <w:top w:val="single" w:sz="6" w:space="0" w:color="auto"/>
              <w:left w:val="nil"/>
              <w:bottom w:val="single" w:sz="6" w:space="0" w:color="auto"/>
            </w:tcBorders>
            <w:vAlign w:val="bottom"/>
          </w:tcPr>
          <w:p w14:paraId="5014B76C"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27,470</w:t>
            </w:r>
          </w:p>
        </w:tc>
        <w:tc>
          <w:tcPr>
            <w:tcW w:w="900" w:type="dxa"/>
            <w:tcBorders>
              <w:top w:val="single" w:sz="6" w:space="0" w:color="auto"/>
              <w:left w:val="nil"/>
              <w:bottom w:val="single" w:sz="6" w:space="0" w:color="auto"/>
              <w:right w:val="single" w:sz="2" w:space="0" w:color="auto"/>
            </w:tcBorders>
            <w:vAlign w:val="center"/>
          </w:tcPr>
          <w:p w14:paraId="45CD9681" w14:textId="77777777" w:rsidR="00917AAA" w:rsidRPr="008852D7" w:rsidRDefault="00917AAA" w:rsidP="00F76EA2">
            <w:pPr>
              <w:widowControl w:val="0"/>
              <w:autoSpaceDE w:val="0"/>
              <w:autoSpaceDN w:val="0"/>
              <w:adjustRightInd w:val="0"/>
              <w:spacing w:line="360" w:lineRule="auto"/>
              <w:jc w:val="right"/>
              <w:rPr>
                <w:color w:val="000000" w:themeColor="text1"/>
                <w:sz w:val="18"/>
                <w:szCs w:val="18"/>
              </w:rPr>
            </w:pPr>
            <w:r w:rsidRPr="008852D7">
              <w:rPr>
                <w:rFonts w:eastAsia="Times New Roman" w:cs="Times New Roman"/>
                <w:color w:val="000000"/>
                <w:sz w:val="18"/>
                <w:szCs w:val="18"/>
              </w:rPr>
              <w:t>+22%</w:t>
            </w:r>
          </w:p>
        </w:tc>
        <w:tc>
          <w:tcPr>
            <w:tcW w:w="1170" w:type="dxa"/>
            <w:tcBorders>
              <w:top w:val="single" w:sz="6" w:space="0" w:color="auto"/>
              <w:left w:val="single" w:sz="2" w:space="0" w:color="auto"/>
              <w:bottom w:val="single" w:sz="6" w:space="0" w:color="auto"/>
              <w:right w:val="nil"/>
            </w:tcBorders>
          </w:tcPr>
          <w:p w14:paraId="7B13BEC2" w14:textId="77777777" w:rsidR="00917AAA" w:rsidRPr="00C30273" w:rsidRDefault="00917AAA" w:rsidP="00F76EA2">
            <w:pPr>
              <w:widowControl w:val="0"/>
              <w:autoSpaceDE w:val="0"/>
              <w:autoSpaceDN w:val="0"/>
              <w:adjustRightInd w:val="0"/>
              <w:spacing w:line="360" w:lineRule="auto"/>
              <w:jc w:val="right"/>
              <w:rPr>
                <w:color w:val="000000" w:themeColor="text1"/>
                <w:sz w:val="18"/>
                <w:szCs w:val="18"/>
              </w:rPr>
            </w:pPr>
            <w:r w:rsidRPr="008852D7">
              <w:rPr>
                <w:color w:val="000000" w:themeColor="text1"/>
                <w:sz w:val="18"/>
                <w:szCs w:val="18"/>
              </w:rPr>
              <w:t>21,070</w:t>
            </w:r>
          </w:p>
        </w:tc>
        <w:tc>
          <w:tcPr>
            <w:tcW w:w="1170" w:type="dxa"/>
            <w:tcBorders>
              <w:top w:val="single" w:sz="6" w:space="0" w:color="auto"/>
              <w:left w:val="nil"/>
              <w:bottom w:val="single" w:sz="6" w:space="0" w:color="auto"/>
              <w:right w:val="nil"/>
            </w:tcBorders>
            <w:vAlign w:val="center"/>
          </w:tcPr>
          <w:p w14:paraId="3F8A07E5" w14:textId="77777777" w:rsidR="00917AAA" w:rsidRPr="008852D7" w:rsidRDefault="00917AAA" w:rsidP="00F76EA2">
            <w:pPr>
              <w:widowControl w:val="0"/>
              <w:autoSpaceDE w:val="0"/>
              <w:autoSpaceDN w:val="0"/>
              <w:adjustRightInd w:val="0"/>
              <w:spacing w:line="360" w:lineRule="auto"/>
              <w:ind w:right="17"/>
              <w:jc w:val="right"/>
              <w:rPr>
                <w:color w:val="000000"/>
                <w:sz w:val="18"/>
                <w:szCs w:val="18"/>
              </w:rPr>
            </w:pPr>
            <w:r w:rsidRPr="008852D7">
              <w:rPr>
                <w:rFonts w:eastAsia="Times New Roman" w:cs="Times New Roman"/>
                <w:color w:val="000000"/>
                <w:sz w:val="18"/>
                <w:szCs w:val="18"/>
              </w:rPr>
              <w:t>26,170</w:t>
            </w:r>
          </w:p>
        </w:tc>
        <w:tc>
          <w:tcPr>
            <w:tcW w:w="900" w:type="dxa"/>
            <w:tcBorders>
              <w:top w:val="single" w:sz="6" w:space="0" w:color="auto"/>
              <w:left w:val="nil"/>
              <w:bottom w:val="single" w:sz="6" w:space="0" w:color="auto"/>
              <w:right w:val="single" w:sz="2" w:space="0" w:color="auto"/>
            </w:tcBorders>
            <w:vAlign w:val="center"/>
          </w:tcPr>
          <w:p w14:paraId="2D5DB9EE" w14:textId="77777777" w:rsidR="00917AAA" w:rsidRPr="008852D7" w:rsidRDefault="00917AAA" w:rsidP="00C30273">
            <w:pPr>
              <w:widowControl w:val="0"/>
              <w:autoSpaceDE w:val="0"/>
              <w:autoSpaceDN w:val="0"/>
              <w:adjustRightInd w:val="0"/>
              <w:spacing w:line="360" w:lineRule="auto"/>
              <w:ind w:right="17"/>
              <w:jc w:val="right"/>
              <w:rPr>
                <w:rFonts w:eastAsiaTheme="majorEastAsia" w:cs="Century Gothic"/>
                <w:b/>
                <w:bCs/>
                <w:color w:val="000000"/>
                <w:sz w:val="18"/>
                <w:szCs w:val="18"/>
              </w:rPr>
            </w:pPr>
            <w:r w:rsidRPr="008852D7">
              <w:rPr>
                <w:rFonts w:eastAsia="Times New Roman" w:cs="Times New Roman"/>
                <w:color w:val="000000"/>
                <w:sz w:val="18"/>
                <w:szCs w:val="18"/>
              </w:rPr>
              <w:t>+24%</w:t>
            </w:r>
          </w:p>
        </w:tc>
        <w:tc>
          <w:tcPr>
            <w:tcW w:w="900" w:type="dxa"/>
            <w:tcBorders>
              <w:top w:val="single" w:sz="6" w:space="0" w:color="auto"/>
              <w:left w:val="single" w:sz="2" w:space="0" w:color="auto"/>
              <w:bottom w:val="single" w:sz="6" w:space="0" w:color="auto"/>
              <w:right w:val="nil"/>
            </w:tcBorders>
            <w:vAlign w:val="bottom"/>
          </w:tcPr>
          <w:p w14:paraId="7FB29BD9"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23,570</w:t>
            </w:r>
          </w:p>
        </w:tc>
        <w:tc>
          <w:tcPr>
            <w:tcW w:w="990" w:type="dxa"/>
            <w:tcBorders>
              <w:top w:val="single" w:sz="6" w:space="0" w:color="auto"/>
              <w:left w:val="nil"/>
              <w:bottom w:val="single" w:sz="6" w:space="0" w:color="auto"/>
              <w:right w:val="nil"/>
            </w:tcBorders>
            <w:vAlign w:val="bottom"/>
          </w:tcPr>
          <w:p w14:paraId="0211E379" w14:textId="77777777" w:rsidR="00917AAA" w:rsidRPr="008852D7" w:rsidRDefault="00917AAA" w:rsidP="00F76EA2">
            <w:pPr>
              <w:widowControl w:val="0"/>
              <w:autoSpaceDE w:val="0"/>
              <w:autoSpaceDN w:val="0"/>
              <w:adjustRightInd w:val="0"/>
              <w:spacing w:line="360" w:lineRule="auto"/>
              <w:jc w:val="right"/>
              <w:rPr>
                <w:rFonts w:cs="Century Gothic"/>
                <w:color w:val="000000"/>
                <w:sz w:val="18"/>
                <w:szCs w:val="18"/>
              </w:rPr>
            </w:pPr>
            <w:r w:rsidRPr="008852D7">
              <w:rPr>
                <w:color w:val="000000"/>
                <w:sz w:val="18"/>
                <w:szCs w:val="18"/>
              </w:rPr>
              <w:t>31,180</w:t>
            </w:r>
          </w:p>
        </w:tc>
        <w:tc>
          <w:tcPr>
            <w:tcW w:w="990" w:type="dxa"/>
            <w:gridSpan w:val="2"/>
            <w:tcBorders>
              <w:top w:val="single" w:sz="6" w:space="0" w:color="auto"/>
              <w:left w:val="nil"/>
              <w:bottom w:val="single" w:sz="6" w:space="0" w:color="auto"/>
              <w:right w:val="nil"/>
            </w:tcBorders>
            <w:vAlign w:val="center"/>
          </w:tcPr>
          <w:p w14:paraId="03505461" w14:textId="77777777" w:rsidR="00917AAA" w:rsidRPr="008852D7" w:rsidRDefault="00917AAA" w:rsidP="00F76EA2">
            <w:pPr>
              <w:widowControl w:val="0"/>
              <w:autoSpaceDE w:val="0"/>
              <w:autoSpaceDN w:val="0"/>
              <w:adjustRightInd w:val="0"/>
              <w:spacing w:line="360" w:lineRule="auto"/>
              <w:jc w:val="right"/>
              <w:rPr>
                <w:color w:val="000000"/>
                <w:sz w:val="18"/>
                <w:szCs w:val="18"/>
              </w:rPr>
            </w:pPr>
            <w:r w:rsidRPr="008852D7">
              <w:rPr>
                <w:rFonts w:eastAsia="Times New Roman" w:cs="Times New Roman"/>
                <w:color w:val="000000"/>
                <w:sz w:val="18"/>
                <w:szCs w:val="18"/>
              </w:rPr>
              <w:t>+32%</w:t>
            </w:r>
          </w:p>
        </w:tc>
      </w:tr>
      <w:tr w:rsidR="00917AAA" w:rsidRPr="00534769" w14:paraId="70900F72" w14:textId="77777777" w:rsidTr="00BB1DF7">
        <w:tblPrEx>
          <w:tblCellMar>
            <w:left w:w="115" w:type="dxa"/>
            <w:right w:w="115" w:type="dxa"/>
          </w:tblCellMar>
        </w:tblPrEx>
        <w:trPr>
          <w:trHeight w:val="138"/>
        </w:trPr>
        <w:tc>
          <w:tcPr>
            <w:tcW w:w="1980" w:type="dxa"/>
            <w:tcBorders>
              <w:top w:val="single" w:sz="6" w:space="0" w:color="auto"/>
              <w:left w:val="nil"/>
              <w:bottom w:val="single" w:sz="6" w:space="0" w:color="auto"/>
              <w:right w:val="nil"/>
            </w:tcBorders>
            <w:vAlign w:val="center"/>
          </w:tcPr>
          <w:p w14:paraId="13477270" w14:textId="77777777" w:rsidR="00917AAA" w:rsidRPr="00534769" w:rsidRDefault="00917AAA" w:rsidP="00F76EA2">
            <w:pPr>
              <w:widowControl w:val="0"/>
              <w:autoSpaceDE w:val="0"/>
              <w:autoSpaceDN w:val="0"/>
              <w:adjustRightInd w:val="0"/>
              <w:spacing w:line="360" w:lineRule="auto"/>
              <w:ind w:right="-115"/>
              <w:rPr>
                <w:rFonts w:cs="Century Gothic"/>
                <w:b/>
                <w:color w:val="000000"/>
                <w:sz w:val="18"/>
                <w:szCs w:val="18"/>
              </w:rPr>
            </w:pPr>
            <w:r w:rsidRPr="00534769">
              <w:rPr>
                <w:b/>
                <w:color w:val="000000"/>
                <w:sz w:val="18"/>
                <w:szCs w:val="18"/>
              </w:rPr>
              <w:t>County Total</w:t>
            </w:r>
          </w:p>
        </w:tc>
        <w:tc>
          <w:tcPr>
            <w:tcW w:w="990" w:type="dxa"/>
            <w:tcBorders>
              <w:top w:val="single" w:sz="6" w:space="0" w:color="auto"/>
              <w:left w:val="nil"/>
              <w:bottom w:val="single" w:sz="6" w:space="0" w:color="auto"/>
              <w:right w:val="nil"/>
            </w:tcBorders>
            <w:vAlign w:val="bottom"/>
          </w:tcPr>
          <w:p w14:paraId="36FDF18E" w14:textId="2ED02C25" w:rsidR="00917AAA" w:rsidRPr="00534769" w:rsidRDefault="00BB1DF7" w:rsidP="00F76EA2">
            <w:pPr>
              <w:widowControl w:val="0"/>
              <w:autoSpaceDE w:val="0"/>
              <w:autoSpaceDN w:val="0"/>
              <w:adjustRightInd w:val="0"/>
              <w:spacing w:line="360" w:lineRule="auto"/>
              <w:jc w:val="right"/>
              <w:rPr>
                <w:rFonts w:cs="Century Gothic"/>
                <w:b/>
                <w:color w:val="000000"/>
                <w:sz w:val="18"/>
                <w:szCs w:val="18"/>
              </w:rPr>
            </w:pPr>
            <w:r>
              <w:rPr>
                <w:b/>
                <w:color w:val="000000"/>
                <w:sz w:val="18"/>
                <w:szCs w:val="18"/>
              </w:rPr>
              <w:t>271,030</w:t>
            </w:r>
          </w:p>
        </w:tc>
        <w:tc>
          <w:tcPr>
            <w:tcW w:w="900" w:type="dxa"/>
            <w:tcBorders>
              <w:top w:val="single" w:sz="6" w:space="0" w:color="auto"/>
              <w:left w:val="nil"/>
              <w:bottom w:val="single" w:sz="6" w:space="0" w:color="auto"/>
            </w:tcBorders>
            <w:vAlign w:val="bottom"/>
          </w:tcPr>
          <w:p w14:paraId="47289746" w14:textId="70E6C202" w:rsidR="00917AAA" w:rsidRPr="00534769" w:rsidRDefault="00BB1DF7" w:rsidP="00F76EA2">
            <w:pPr>
              <w:widowControl w:val="0"/>
              <w:autoSpaceDE w:val="0"/>
              <w:autoSpaceDN w:val="0"/>
              <w:adjustRightInd w:val="0"/>
              <w:spacing w:line="360" w:lineRule="auto"/>
              <w:jc w:val="right"/>
              <w:rPr>
                <w:rFonts w:cs="Century Gothic"/>
                <w:b/>
                <w:color w:val="000000"/>
                <w:sz w:val="18"/>
                <w:szCs w:val="18"/>
              </w:rPr>
            </w:pPr>
            <w:r>
              <w:rPr>
                <w:b/>
                <w:color w:val="000000"/>
                <w:sz w:val="18"/>
                <w:szCs w:val="18"/>
              </w:rPr>
              <w:t>326,070</w:t>
            </w:r>
          </w:p>
        </w:tc>
        <w:tc>
          <w:tcPr>
            <w:tcW w:w="900" w:type="dxa"/>
            <w:tcBorders>
              <w:top w:val="single" w:sz="6" w:space="0" w:color="auto"/>
              <w:left w:val="nil"/>
              <w:bottom w:val="single" w:sz="6" w:space="0" w:color="auto"/>
              <w:right w:val="single" w:sz="2" w:space="0" w:color="auto"/>
            </w:tcBorders>
            <w:vAlign w:val="center"/>
          </w:tcPr>
          <w:p w14:paraId="7B40253A" w14:textId="267F3AB1" w:rsidR="00917AAA" w:rsidRPr="00534769" w:rsidRDefault="00917AAA" w:rsidP="00F76EA2">
            <w:pPr>
              <w:widowControl w:val="0"/>
              <w:autoSpaceDE w:val="0"/>
              <w:autoSpaceDN w:val="0"/>
              <w:adjustRightInd w:val="0"/>
              <w:spacing w:line="360" w:lineRule="auto"/>
              <w:jc w:val="right"/>
              <w:rPr>
                <w:b/>
                <w:color w:val="000000" w:themeColor="text1"/>
                <w:sz w:val="18"/>
                <w:szCs w:val="18"/>
              </w:rPr>
            </w:pPr>
            <w:r w:rsidRPr="00534769">
              <w:rPr>
                <w:rFonts w:eastAsia="Times New Roman" w:cs="Times New Roman"/>
                <w:b/>
                <w:color w:val="000000"/>
                <w:sz w:val="18"/>
                <w:szCs w:val="18"/>
              </w:rPr>
              <w:t>+2</w:t>
            </w:r>
            <w:r w:rsidR="00BB1DF7">
              <w:rPr>
                <w:rFonts w:eastAsia="Times New Roman" w:cs="Times New Roman"/>
                <w:b/>
                <w:color w:val="000000"/>
                <w:sz w:val="18"/>
                <w:szCs w:val="18"/>
              </w:rPr>
              <w:t>0</w:t>
            </w:r>
            <w:r w:rsidRPr="00534769">
              <w:rPr>
                <w:rFonts w:eastAsia="Times New Roman" w:cs="Times New Roman"/>
                <w:b/>
                <w:color w:val="000000"/>
                <w:sz w:val="18"/>
                <w:szCs w:val="18"/>
              </w:rPr>
              <w:t>%</w:t>
            </w:r>
          </w:p>
        </w:tc>
        <w:tc>
          <w:tcPr>
            <w:tcW w:w="1170" w:type="dxa"/>
            <w:tcBorders>
              <w:top w:val="single" w:sz="6" w:space="0" w:color="auto"/>
              <w:left w:val="single" w:sz="2" w:space="0" w:color="auto"/>
              <w:bottom w:val="single" w:sz="6" w:space="0" w:color="auto"/>
              <w:right w:val="nil"/>
            </w:tcBorders>
          </w:tcPr>
          <w:p w14:paraId="66E1293D" w14:textId="2B083BD7" w:rsidR="00917AAA" w:rsidRPr="00534769" w:rsidRDefault="00BB1DF7" w:rsidP="00F76EA2">
            <w:pPr>
              <w:widowControl w:val="0"/>
              <w:autoSpaceDE w:val="0"/>
              <w:autoSpaceDN w:val="0"/>
              <w:adjustRightInd w:val="0"/>
              <w:spacing w:line="360" w:lineRule="auto"/>
              <w:jc w:val="right"/>
              <w:rPr>
                <w:b/>
                <w:color w:val="000000" w:themeColor="text1"/>
                <w:sz w:val="18"/>
                <w:szCs w:val="18"/>
              </w:rPr>
            </w:pPr>
            <w:r>
              <w:rPr>
                <w:b/>
                <w:color w:val="000000" w:themeColor="text1"/>
                <w:sz w:val="18"/>
                <w:szCs w:val="18"/>
              </w:rPr>
              <w:t>257,840</w:t>
            </w:r>
          </w:p>
        </w:tc>
        <w:tc>
          <w:tcPr>
            <w:tcW w:w="1170" w:type="dxa"/>
            <w:tcBorders>
              <w:top w:val="single" w:sz="6" w:space="0" w:color="auto"/>
              <w:left w:val="nil"/>
              <w:bottom w:val="single" w:sz="6" w:space="0" w:color="auto"/>
              <w:right w:val="nil"/>
            </w:tcBorders>
            <w:vAlign w:val="center"/>
          </w:tcPr>
          <w:p w14:paraId="66F7FD12" w14:textId="0969E023" w:rsidR="00917AAA" w:rsidRPr="00534769" w:rsidRDefault="00BB1DF7" w:rsidP="00F76EA2">
            <w:pPr>
              <w:widowControl w:val="0"/>
              <w:autoSpaceDE w:val="0"/>
              <w:autoSpaceDN w:val="0"/>
              <w:adjustRightInd w:val="0"/>
              <w:spacing w:line="360" w:lineRule="auto"/>
              <w:ind w:right="17"/>
              <w:jc w:val="right"/>
              <w:rPr>
                <w:b/>
                <w:color w:val="000000"/>
                <w:sz w:val="18"/>
                <w:szCs w:val="18"/>
              </w:rPr>
            </w:pPr>
            <w:r>
              <w:rPr>
                <w:rFonts w:eastAsia="Times New Roman" w:cs="Times New Roman"/>
                <w:b/>
                <w:color w:val="000000"/>
                <w:sz w:val="18"/>
                <w:szCs w:val="18"/>
              </w:rPr>
              <w:t>315,090</w:t>
            </w:r>
          </w:p>
        </w:tc>
        <w:tc>
          <w:tcPr>
            <w:tcW w:w="900" w:type="dxa"/>
            <w:tcBorders>
              <w:top w:val="single" w:sz="6" w:space="0" w:color="auto"/>
              <w:left w:val="nil"/>
              <w:bottom w:val="single" w:sz="6" w:space="0" w:color="auto"/>
              <w:right w:val="single" w:sz="2" w:space="0" w:color="auto"/>
            </w:tcBorders>
            <w:vAlign w:val="center"/>
          </w:tcPr>
          <w:p w14:paraId="52B49BAA" w14:textId="4AEE9D7D" w:rsidR="00917AAA" w:rsidRPr="00534769" w:rsidRDefault="00917AAA" w:rsidP="00F76EA2">
            <w:pPr>
              <w:widowControl w:val="0"/>
              <w:autoSpaceDE w:val="0"/>
              <w:autoSpaceDN w:val="0"/>
              <w:adjustRightInd w:val="0"/>
              <w:spacing w:line="360" w:lineRule="auto"/>
              <w:ind w:right="17"/>
              <w:jc w:val="right"/>
              <w:rPr>
                <w:rFonts w:cs="Century Gothic"/>
                <w:b/>
                <w:color w:val="000000"/>
                <w:sz w:val="18"/>
                <w:szCs w:val="18"/>
              </w:rPr>
            </w:pPr>
            <w:r w:rsidRPr="00534769">
              <w:rPr>
                <w:rFonts w:eastAsia="Times New Roman" w:cs="Times New Roman"/>
                <w:b/>
                <w:color w:val="000000"/>
                <w:sz w:val="18"/>
                <w:szCs w:val="18"/>
              </w:rPr>
              <w:t>+2</w:t>
            </w:r>
            <w:r w:rsidR="00BB1DF7">
              <w:rPr>
                <w:rFonts w:eastAsia="Times New Roman" w:cs="Times New Roman"/>
                <w:b/>
                <w:color w:val="000000"/>
                <w:sz w:val="18"/>
                <w:szCs w:val="18"/>
              </w:rPr>
              <w:t>2</w:t>
            </w:r>
            <w:r w:rsidRPr="00534769">
              <w:rPr>
                <w:rFonts w:eastAsia="Times New Roman" w:cs="Times New Roman"/>
                <w:b/>
                <w:color w:val="000000"/>
                <w:sz w:val="18"/>
                <w:szCs w:val="18"/>
              </w:rPr>
              <w:t>%</w:t>
            </w:r>
          </w:p>
        </w:tc>
        <w:tc>
          <w:tcPr>
            <w:tcW w:w="900" w:type="dxa"/>
            <w:tcBorders>
              <w:top w:val="single" w:sz="6" w:space="0" w:color="auto"/>
              <w:left w:val="single" w:sz="2" w:space="0" w:color="auto"/>
              <w:bottom w:val="single" w:sz="6" w:space="0" w:color="auto"/>
              <w:right w:val="nil"/>
            </w:tcBorders>
            <w:vAlign w:val="bottom"/>
          </w:tcPr>
          <w:p w14:paraId="75C4B9D2" w14:textId="465D6107" w:rsidR="00917AAA" w:rsidRPr="00534769" w:rsidRDefault="00BB1DF7" w:rsidP="00F76EA2">
            <w:pPr>
              <w:widowControl w:val="0"/>
              <w:autoSpaceDE w:val="0"/>
              <w:autoSpaceDN w:val="0"/>
              <w:adjustRightInd w:val="0"/>
              <w:spacing w:line="360" w:lineRule="auto"/>
              <w:jc w:val="right"/>
              <w:rPr>
                <w:rFonts w:cs="Century Gothic"/>
                <w:b/>
                <w:color w:val="000000"/>
                <w:sz w:val="18"/>
                <w:szCs w:val="18"/>
              </w:rPr>
            </w:pPr>
            <w:r>
              <w:rPr>
                <w:b/>
                <w:color w:val="000000"/>
                <w:sz w:val="18"/>
                <w:szCs w:val="18"/>
              </w:rPr>
              <w:t>345,200</w:t>
            </w:r>
          </w:p>
        </w:tc>
        <w:tc>
          <w:tcPr>
            <w:tcW w:w="990" w:type="dxa"/>
            <w:tcBorders>
              <w:top w:val="single" w:sz="6" w:space="0" w:color="auto"/>
              <w:left w:val="nil"/>
              <w:bottom w:val="single" w:sz="6" w:space="0" w:color="auto"/>
              <w:right w:val="nil"/>
            </w:tcBorders>
            <w:vAlign w:val="bottom"/>
          </w:tcPr>
          <w:p w14:paraId="1719B12A" w14:textId="0E627677" w:rsidR="00917AAA" w:rsidRPr="00534769" w:rsidRDefault="00BB1DF7" w:rsidP="00F76EA2">
            <w:pPr>
              <w:widowControl w:val="0"/>
              <w:autoSpaceDE w:val="0"/>
              <w:autoSpaceDN w:val="0"/>
              <w:adjustRightInd w:val="0"/>
              <w:spacing w:line="360" w:lineRule="auto"/>
              <w:jc w:val="right"/>
              <w:rPr>
                <w:rFonts w:cs="Century Gothic"/>
                <w:b/>
                <w:color w:val="000000"/>
                <w:sz w:val="18"/>
                <w:szCs w:val="18"/>
              </w:rPr>
            </w:pPr>
            <w:r>
              <w:rPr>
                <w:b/>
                <w:color w:val="000000"/>
                <w:sz w:val="18"/>
                <w:szCs w:val="18"/>
              </w:rPr>
              <w:t>445,080</w:t>
            </w:r>
          </w:p>
        </w:tc>
        <w:tc>
          <w:tcPr>
            <w:tcW w:w="990" w:type="dxa"/>
            <w:gridSpan w:val="2"/>
            <w:tcBorders>
              <w:top w:val="single" w:sz="6" w:space="0" w:color="auto"/>
              <w:left w:val="nil"/>
              <w:bottom w:val="single" w:sz="6" w:space="0" w:color="auto"/>
              <w:right w:val="nil"/>
            </w:tcBorders>
            <w:vAlign w:val="center"/>
          </w:tcPr>
          <w:p w14:paraId="4FAE661C" w14:textId="06A4DF5B" w:rsidR="00917AAA" w:rsidRPr="00534769" w:rsidRDefault="00917AAA" w:rsidP="00F76EA2">
            <w:pPr>
              <w:widowControl w:val="0"/>
              <w:autoSpaceDE w:val="0"/>
              <w:autoSpaceDN w:val="0"/>
              <w:adjustRightInd w:val="0"/>
              <w:spacing w:line="360" w:lineRule="auto"/>
              <w:jc w:val="right"/>
              <w:rPr>
                <w:b/>
                <w:color w:val="000000"/>
                <w:sz w:val="18"/>
                <w:szCs w:val="18"/>
              </w:rPr>
            </w:pPr>
            <w:r w:rsidRPr="00534769">
              <w:rPr>
                <w:rFonts w:eastAsia="Times New Roman" w:cs="Times New Roman"/>
                <w:b/>
                <w:color w:val="000000"/>
                <w:sz w:val="18"/>
                <w:szCs w:val="18"/>
              </w:rPr>
              <w:t>+</w:t>
            </w:r>
            <w:r w:rsidR="00BB1DF7">
              <w:rPr>
                <w:rFonts w:eastAsia="Times New Roman" w:cs="Times New Roman"/>
                <w:b/>
                <w:color w:val="000000"/>
                <w:sz w:val="18"/>
                <w:szCs w:val="18"/>
              </w:rPr>
              <w:t>29</w:t>
            </w:r>
            <w:r w:rsidRPr="00534769">
              <w:rPr>
                <w:rFonts w:eastAsia="Times New Roman" w:cs="Times New Roman"/>
                <w:b/>
                <w:color w:val="000000"/>
                <w:sz w:val="18"/>
                <w:szCs w:val="18"/>
              </w:rPr>
              <w:t>%</w:t>
            </w:r>
          </w:p>
        </w:tc>
      </w:tr>
      <w:tr w:rsidR="00917AAA" w:rsidRPr="00534769" w14:paraId="4126390B" w14:textId="77777777" w:rsidTr="00BB1DF7">
        <w:tblPrEx>
          <w:tblCellMar>
            <w:left w:w="115" w:type="dxa"/>
            <w:right w:w="115" w:type="dxa"/>
          </w:tblCellMar>
        </w:tblPrEx>
        <w:trPr>
          <w:trHeight w:val="138"/>
        </w:trPr>
        <w:tc>
          <w:tcPr>
            <w:tcW w:w="1980" w:type="dxa"/>
            <w:tcBorders>
              <w:top w:val="single" w:sz="6" w:space="0" w:color="auto"/>
              <w:left w:val="nil"/>
              <w:bottom w:val="single" w:sz="6" w:space="0" w:color="auto"/>
              <w:right w:val="nil"/>
            </w:tcBorders>
            <w:vAlign w:val="center"/>
          </w:tcPr>
          <w:p w14:paraId="61AD68FF" w14:textId="77777777" w:rsidR="00917AAA" w:rsidRPr="00534769" w:rsidRDefault="00917AAA" w:rsidP="00F76EA2">
            <w:pPr>
              <w:widowControl w:val="0"/>
              <w:autoSpaceDE w:val="0"/>
              <w:autoSpaceDN w:val="0"/>
              <w:adjustRightInd w:val="0"/>
              <w:spacing w:line="240" w:lineRule="auto"/>
              <w:ind w:right="-115"/>
              <w:rPr>
                <w:rFonts w:cs="Century Gothic"/>
                <w:b/>
                <w:color w:val="000000"/>
                <w:sz w:val="18"/>
                <w:szCs w:val="18"/>
              </w:rPr>
            </w:pPr>
            <w:r w:rsidRPr="00534769">
              <w:rPr>
                <w:b/>
                <w:color w:val="000000"/>
                <w:sz w:val="18"/>
                <w:szCs w:val="18"/>
              </w:rPr>
              <w:t>San Mateo County Change (2010-2040)</w:t>
            </w:r>
          </w:p>
        </w:tc>
        <w:tc>
          <w:tcPr>
            <w:tcW w:w="990" w:type="dxa"/>
            <w:tcBorders>
              <w:top w:val="single" w:sz="6" w:space="0" w:color="auto"/>
              <w:left w:val="nil"/>
              <w:bottom w:val="single" w:sz="6" w:space="0" w:color="auto"/>
              <w:right w:val="nil"/>
            </w:tcBorders>
            <w:vAlign w:val="bottom"/>
          </w:tcPr>
          <w:p w14:paraId="54A1DDB8" w14:textId="77777777" w:rsidR="00917AAA" w:rsidRPr="00534769" w:rsidRDefault="00917AAA" w:rsidP="00F76EA2">
            <w:pPr>
              <w:widowControl w:val="0"/>
              <w:autoSpaceDE w:val="0"/>
              <w:autoSpaceDN w:val="0"/>
              <w:adjustRightInd w:val="0"/>
              <w:spacing w:line="240" w:lineRule="auto"/>
              <w:jc w:val="right"/>
              <w:rPr>
                <w:rFonts w:cs="Century Gothic"/>
                <w:b/>
                <w:color w:val="000000"/>
                <w:sz w:val="18"/>
                <w:szCs w:val="18"/>
              </w:rPr>
            </w:pPr>
          </w:p>
        </w:tc>
        <w:tc>
          <w:tcPr>
            <w:tcW w:w="900" w:type="dxa"/>
            <w:tcBorders>
              <w:top w:val="single" w:sz="6" w:space="0" w:color="auto"/>
              <w:left w:val="nil"/>
              <w:bottom w:val="single" w:sz="6" w:space="0" w:color="auto"/>
            </w:tcBorders>
            <w:vAlign w:val="bottom"/>
          </w:tcPr>
          <w:p w14:paraId="60C3C8F0" w14:textId="77777777" w:rsidR="00917AAA" w:rsidRPr="00534769" w:rsidRDefault="00917AAA" w:rsidP="00F76EA2">
            <w:pPr>
              <w:widowControl w:val="0"/>
              <w:autoSpaceDE w:val="0"/>
              <w:autoSpaceDN w:val="0"/>
              <w:adjustRightInd w:val="0"/>
              <w:spacing w:line="240" w:lineRule="auto"/>
              <w:jc w:val="right"/>
              <w:rPr>
                <w:rFonts w:cs="Century Gothic"/>
                <w:b/>
                <w:color w:val="000000"/>
                <w:sz w:val="18"/>
                <w:szCs w:val="18"/>
              </w:rPr>
            </w:pPr>
            <w:r w:rsidRPr="00534769">
              <w:rPr>
                <w:b/>
                <w:color w:val="000000"/>
                <w:sz w:val="18"/>
                <w:szCs w:val="18"/>
              </w:rPr>
              <w:t>+55,040</w:t>
            </w:r>
          </w:p>
        </w:tc>
        <w:tc>
          <w:tcPr>
            <w:tcW w:w="900" w:type="dxa"/>
            <w:tcBorders>
              <w:top w:val="single" w:sz="6" w:space="0" w:color="auto"/>
              <w:left w:val="nil"/>
              <w:bottom w:val="single" w:sz="6" w:space="0" w:color="auto"/>
              <w:right w:val="single" w:sz="2" w:space="0" w:color="auto"/>
            </w:tcBorders>
            <w:vAlign w:val="center"/>
          </w:tcPr>
          <w:p w14:paraId="52008B02" w14:textId="77777777" w:rsidR="00917AAA" w:rsidRPr="00534769" w:rsidRDefault="00917AAA" w:rsidP="00F76EA2">
            <w:pPr>
              <w:widowControl w:val="0"/>
              <w:autoSpaceDE w:val="0"/>
              <w:autoSpaceDN w:val="0"/>
              <w:adjustRightInd w:val="0"/>
              <w:spacing w:line="240" w:lineRule="auto"/>
              <w:jc w:val="right"/>
              <w:rPr>
                <w:b/>
                <w:color w:val="000000" w:themeColor="text1"/>
                <w:sz w:val="18"/>
                <w:szCs w:val="18"/>
              </w:rPr>
            </w:pPr>
          </w:p>
        </w:tc>
        <w:tc>
          <w:tcPr>
            <w:tcW w:w="1170" w:type="dxa"/>
            <w:tcBorders>
              <w:top w:val="single" w:sz="6" w:space="0" w:color="auto"/>
              <w:left w:val="single" w:sz="2" w:space="0" w:color="auto"/>
              <w:bottom w:val="single" w:sz="6" w:space="0" w:color="auto"/>
              <w:right w:val="nil"/>
            </w:tcBorders>
            <w:vAlign w:val="bottom"/>
          </w:tcPr>
          <w:p w14:paraId="79E1B42C" w14:textId="77777777" w:rsidR="00917AAA" w:rsidRPr="00534769" w:rsidRDefault="00917AAA" w:rsidP="00F76EA2">
            <w:pPr>
              <w:widowControl w:val="0"/>
              <w:autoSpaceDE w:val="0"/>
              <w:autoSpaceDN w:val="0"/>
              <w:adjustRightInd w:val="0"/>
              <w:spacing w:line="240" w:lineRule="auto"/>
              <w:jc w:val="right"/>
              <w:rPr>
                <w:b/>
                <w:color w:val="000000" w:themeColor="text1"/>
                <w:sz w:val="18"/>
                <w:szCs w:val="18"/>
              </w:rPr>
            </w:pPr>
          </w:p>
        </w:tc>
        <w:tc>
          <w:tcPr>
            <w:tcW w:w="1170" w:type="dxa"/>
            <w:tcBorders>
              <w:top w:val="single" w:sz="6" w:space="0" w:color="auto"/>
              <w:left w:val="nil"/>
              <w:bottom w:val="single" w:sz="6" w:space="0" w:color="auto"/>
              <w:right w:val="nil"/>
            </w:tcBorders>
            <w:vAlign w:val="bottom"/>
          </w:tcPr>
          <w:p w14:paraId="62CA0421" w14:textId="77777777" w:rsidR="00917AAA" w:rsidRPr="00534769" w:rsidRDefault="00917AAA" w:rsidP="00F76EA2">
            <w:pPr>
              <w:widowControl w:val="0"/>
              <w:autoSpaceDE w:val="0"/>
              <w:autoSpaceDN w:val="0"/>
              <w:adjustRightInd w:val="0"/>
              <w:spacing w:line="240" w:lineRule="auto"/>
              <w:ind w:right="17"/>
              <w:jc w:val="right"/>
              <w:rPr>
                <w:b/>
                <w:color w:val="000000"/>
                <w:sz w:val="18"/>
                <w:szCs w:val="18"/>
              </w:rPr>
            </w:pPr>
            <w:r w:rsidRPr="00534769">
              <w:rPr>
                <w:b/>
                <w:color w:val="000000"/>
                <w:sz w:val="18"/>
                <w:szCs w:val="18"/>
              </w:rPr>
              <w:t>+57,240</w:t>
            </w:r>
          </w:p>
        </w:tc>
        <w:tc>
          <w:tcPr>
            <w:tcW w:w="900" w:type="dxa"/>
            <w:tcBorders>
              <w:top w:val="single" w:sz="6" w:space="0" w:color="auto"/>
              <w:left w:val="nil"/>
              <w:bottom w:val="single" w:sz="6" w:space="0" w:color="auto"/>
              <w:right w:val="single" w:sz="2" w:space="0" w:color="auto"/>
            </w:tcBorders>
            <w:vAlign w:val="center"/>
          </w:tcPr>
          <w:p w14:paraId="7B0D4179" w14:textId="77777777" w:rsidR="00917AAA" w:rsidRPr="00534769" w:rsidRDefault="00917AAA" w:rsidP="00F76EA2">
            <w:pPr>
              <w:widowControl w:val="0"/>
              <w:autoSpaceDE w:val="0"/>
              <w:autoSpaceDN w:val="0"/>
              <w:adjustRightInd w:val="0"/>
              <w:spacing w:line="240" w:lineRule="auto"/>
              <w:ind w:right="17"/>
              <w:jc w:val="right"/>
              <w:rPr>
                <w:rFonts w:cs="Century Gothic"/>
                <w:b/>
                <w:color w:val="000000"/>
                <w:sz w:val="18"/>
                <w:szCs w:val="18"/>
              </w:rPr>
            </w:pPr>
          </w:p>
        </w:tc>
        <w:tc>
          <w:tcPr>
            <w:tcW w:w="900" w:type="dxa"/>
            <w:tcBorders>
              <w:top w:val="single" w:sz="6" w:space="0" w:color="auto"/>
              <w:left w:val="single" w:sz="2" w:space="0" w:color="auto"/>
              <w:bottom w:val="single" w:sz="6" w:space="0" w:color="auto"/>
              <w:right w:val="nil"/>
            </w:tcBorders>
            <w:vAlign w:val="bottom"/>
          </w:tcPr>
          <w:p w14:paraId="4695B6D8" w14:textId="77777777" w:rsidR="00917AAA" w:rsidRPr="00534769" w:rsidRDefault="00917AAA" w:rsidP="00F76EA2">
            <w:pPr>
              <w:widowControl w:val="0"/>
              <w:autoSpaceDE w:val="0"/>
              <w:autoSpaceDN w:val="0"/>
              <w:adjustRightInd w:val="0"/>
              <w:spacing w:line="240" w:lineRule="auto"/>
              <w:jc w:val="right"/>
              <w:rPr>
                <w:rFonts w:cs="Century Gothic"/>
                <w:b/>
                <w:color w:val="000000"/>
                <w:sz w:val="18"/>
                <w:szCs w:val="18"/>
              </w:rPr>
            </w:pPr>
          </w:p>
        </w:tc>
        <w:tc>
          <w:tcPr>
            <w:tcW w:w="990" w:type="dxa"/>
            <w:tcBorders>
              <w:top w:val="single" w:sz="6" w:space="0" w:color="auto"/>
              <w:left w:val="nil"/>
              <w:bottom w:val="single" w:sz="6" w:space="0" w:color="auto"/>
              <w:right w:val="nil"/>
            </w:tcBorders>
            <w:vAlign w:val="bottom"/>
          </w:tcPr>
          <w:p w14:paraId="789447EB" w14:textId="77777777" w:rsidR="00917AAA" w:rsidRPr="00534769" w:rsidRDefault="00917AAA" w:rsidP="00F76EA2">
            <w:pPr>
              <w:widowControl w:val="0"/>
              <w:autoSpaceDE w:val="0"/>
              <w:autoSpaceDN w:val="0"/>
              <w:adjustRightInd w:val="0"/>
              <w:spacing w:line="240" w:lineRule="auto"/>
              <w:jc w:val="right"/>
              <w:rPr>
                <w:rFonts w:cs="Century Gothic"/>
                <w:b/>
                <w:color w:val="000000"/>
                <w:sz w:val="18"/>
                <w:szCs w:val="18"/>
              </w:rPr>
            </w:pPr>
            <w:r w:rsidRPr="00534769">
              <w:rPr>
                <w:b/>
                <w:color w:val="000000"/>
                <w:sz w:val="18"/>
                <w:szCs w:val="18"/>
              </w:rPr>
              <w:t>+99,880</w:t>
            </w:r>
          </w:p>
        </w:tc>
        <w:tc>
          <w:tcPr>
            <w:tcW w:w="990" w:type="dxa"/>
            <w:gridSpan w:val="2"/>
            <w:tcBorders>
              <w:top w:val="single" w:sz="6" w:space="0" w:color="auto"/>
              <w:left w:val="nil"/>
              <w:bottom w:val="single" w:sz="6" w:space="0" w:color="auto"/>
              <w:right w:val="nil"/>
            </w:tcBorders>
            <w:vAlign w:val="center"/>
          </w:tcPr>
          <w:p w14:paraId="6B97FF33" w14:textId="77777777" w:rsidR="00917AAA" w:rsidRPr="00534769" w:rsidRDefault="00917AAA" w:rsidP="00F76EA2">
            <w:pPr>
              <w:widowControl w:val="0"/>
              <w:autoSpaceDE w:val="0"/>
              <w:autoSpaceDN w:val="0"/>
              <w:adjustRightInd w:val="0"/>
              <w:spacing w:line="240" w:lineRule="auto"/>
              <w:jc w:val="right"/>
              <w:rPr>
                <w:b/>
                <w:color w:val="000000"/>
                <w:sz w:val="18"/>
                <w:szCs w:val="18"/>
              </w:rPr>
            </w:pPr>
          </w:p>
        </w:tc>
      </w:tr>
      <w:tr w:rsidR="00917AAA" w:rsidRPr="008852D7" w14:paraId="7B79027B" w14:textId="77777777" w:rsidTr="00BB1DF7">
        <w:tblPrEx>
          <w:tblCellMar>
            <w:left w:w="115" w:type="dxa"/>
            <w:right w:w="115" w:type="dxa"/>
          </w:tblCellMar>
        </w:tblPrEx>
        <w:trPr>
          <w:gridAfter w:val="1"/>
          <w:wAfter w:w="450" w:type="dxa"/>
          <w:trHeight w:val="138"/>
        </w:trPr>
        <w:tc>
          <w:tcPr>
            <w:tcW w:w="10440" w:type="dxa"/>
            <w:gridSpan w:val="10"/>
            <w:tcBorders>
              <w:top w:val="single" w:sz="6" w:space="0" w:color="auto"/>
              <w:left w:val="nil"/>
              <w:bottom w:val="nil"/>
              <w:right w:val="nil"/>
            </w:tcBorders>
          </w:tcPr>
          <w:p w14:paraId="72673C07" w14:textId="77777777" w:rsidR="00917AAA" w:rsidRPr="008852D7" w:rsidRDefault="00917AAA" w:rsidP="00DC16E6">
            <w:pPr>
              <w:widowControl w:val="0"/>
              <w:autoSpaceDE w:val="0"/>
              <w:autoSpaceDN w:val="0"/>
              <w:adjustRightInd w:val="0"/>
              <w:spacing w:line="240" w:lineRule="auto"/>
              <w:rPr>
                <w:rFonts w:cs="Century Gothic"/>
                <w:iCs/>
                <w:color w:val="000000"/>
                <w:sz w:val="18"/>
                <w:szCs w:val="18"/>
              </w:rPr>
            </w:pPr>
          </w:p>
          <w:p w14:paraId="7D76BAFF" w14:textId="77777777" w:rsidR="00917AAA" w:rsidRPr="008852D7" w:rsidRDefault="00917AAA" w:rsidP="00C30273">
            <w:pPr>
              <w:widowControl w:val="0"/>
              <w:autoSpaceDE w:val="0"/>
              <w:autoSpaceDN w:val="0"/>
              <w:adjustRightInd w:val="0"/>
              <w:spacing w:line="240" w:lineRule="auto"/>
              <w:rPr>
                <w:rFonts w:eastAsiaTheme="majorEastAsia" w:cs="Century Gothic"/>
                <w:b/>
                <w:bCs/>
                <w:iCs/>
                <w:color w:val="000000"/>
                <w:sz w:val="18"/>
                <w:szCs w:val="18"/>
              </w:rPr>
            </w:pPr>
            <w:r w:rsidRPr="008852D7">
              <w:rPr>
                <w:rFonts w:cs="Century Gothic"/>
                <w:iCs/>
                <w:color w:val="000000"/>
                <w:sz w:val="18"/>
                <w:szCs w:val="18"/>
              </w:rPr>
              <w:t xml:space="preserve">Source: Draft Plan Bay Area, Final Forecast of Jobs, Population and Housing, July 2013 </w:t>
            </w:r>
          </w:p>
          <w:p w14:paraId="4EF0BC8D" w14:textId="77777777" w:rsidR="00917AAA" w:rsidRPr="008852D7" w:rsidRDefault="00B81596" w:rsidP="00DC16E6">
            <w:pPr>
              <w:widowControl w:val="0"/>
              <w:autoSpaceDE w:val="0"/>
              <w:autoSpaceDN w:val="0"/>
              <w:adjustRightInd w:val="0"/>
              <w:spacing w:line="240" w:lineRule="auto"/>
              <w:ind w:right="-655"/>
              <w:rPr>
                <w:rFonts w:cs="Century Gothic"/>
                <w:iCs/>
                <w:color w:val="000000"/>
                <w:sz w:val="18"/>
                <w:szCs w:val="18"/>
              </w:rPr>
            </w:pPr>
            <w:hyperlink r:id="rId12" w:history="1">
              <w:r w:rsidR="00917AAA" w:rsidRPr="008852D7">
                <w:rPr>
                  <w:rStyle w:val="Hyperlink"/>
                  <w:rFonts w:cs="Century Gothic"/>
                  <w:iCs/>
                  <w:sz w:val="18"/>
                  <w:szCs w:val="18"/>
                </w:rPr>
                <w:t>http://onebayarea.org/pdf/final_supplemental_reports/FINAL_PBA_Forecast_of_Jobs_Population_and_Housing.pdf</w:t>
              </w:r>
            </w:hyperlink>
          </w:p>
          <w:p w14:paraId="047E4711" w14:textId="77777777" w:rsidR="00917AAA" w:rsidRPr="008852D7" w:rsidRDefault="00917AAA" w:rsidP="00DC16E6">
            <w:pPr>
              <w:widowControl w:val="0"/>
              <w:tabs>
                <w:tab w:val="left" w:pos="9360"/>
              </w:tabs>
              <w:autoSpaceDE w:val="0"/>
              <w:autoSpaceDN w:val="0"/>
              <w:adjustRightInd w:val="0"/>
              <w:spacing w:line="240" w:lineRule="auto"/>
              <w:ind w:right="-655"/>
              <w:rPr>
                <w:rFonts w:cs="Century Gothic"/>
                <w:iCs/>
                <w:color w:val="000000"/>
                <w:sz w:val="18"/>
                <w:szCs w:val="18"/>
              </w:rPr>
            </w:pPr>
            <w:r w:rsidRPr="008852D7">
              <w:rPr>
                <w:rFonts w:cs="Century Gothic"/>
                <w:iCs/>
                <w:color w:val="000000"/>
                <w:sz w:val="18"/>
                <w:szCs w:val="18"/>
              </w:rPr>
              <w:tab/>
            </w:r>
          </w:p>
        </w:tc>
      </w:tr>
    </w:tbl>
    <w:p w14:paraId="49146E0B" w14:textId="77777777" w:rsidR="009C5AFE" w:rsidRDefault="009C5AFE" w:rsidP="00A82E5D">
      <w:pPr>
        <w:widowControl w:val="0"/>
        <w:autoSpaceDE w:val="0"/>
        <w:autoSpaceDN w:val="0"/>
        <w:adjustRightInd w:val="0"/>
        <w:rPr>
          <w:rFonts w:ascii="ArialMT" w:hAnsi="ArialMT" w:cs="ArialMT"/>
          <w:szCs w:val="22"/>
        </w:rPr>
        <w:sectPr w:rsidR="009C5AFE" w:rsidSect="000D4D2F">
          <w:headerReference w:type="default" r:id="rId13"/>
          <w:footerReference w:type="even" r:id="rId14"/>
          <w:footerReference w:type="default" r:id="rId15"/>
          <w:pgSz w:w="12240" w:h="15840"/>
          <w:pgMar w:top="1440" w:right="1440" w:bottom="634" w:left="1440" w:header="720" w:footer="720" w:gutter="0"/>
          <w:cols w:space="720"/>
          <w:docGrid w:linePitch="360"/>
        </w:sectPr>
      </w:pPr>
    </w:p>
    <w:p w14:paraId="692A46A0" w14:textId="77777777" w:rsidR="00C0780F" w:rsidRPr="00BB639A" w:rsidRDefault="00C0780F" w:rsidP="00C0780F">
      <w:pPr>
        <w:widowControl w:val="0"/>
        <w:autoSpaceDE w:val="0"/>
        <w:autoSpaceDN w:val="0"/>
        <w:adjustRightInd w:val="0"/>
        <w:rPr>
          <w:rFonts w:ascii="ArialMT" w:hAnsi="ArialMT" w:cs="ArialMT"/>
          <w:sz w:val="24"/>
          <w:szCs w:val="22"/>
        </w:rPr>
      </w:pPr>
    </w:p>
    <w:tbl>
      <w:tblPr>
        <w:tblW w:w="12700" w:type="dxa"/>
        <w:tblInd w:w="93" w:type="dxa"/>
        <w:tblLook w:val="04A0" w:firstRow="1" w:lastRow="0" w:firstColumn="1" w:lastColumn="0" w:noHBand="0" w:noVBand="1"/>
      </w:tblPr>
      <w:tblGrid>
        <w:gridCol w:w="3519"/>
        <w:gridCol w:w="1103"/>
        <w:gridCol w:w="1103"/>
        <w:gridCol w:w="1103"/>
        <w:gridCol w:w="1140"/>
        <w:gridCol w:w="1140"/>
        <w:gridCol w:w="1220"/>
        <w:gridCol w:w="1220"/>
        <w:gridCol w:w="1320"/>
      </w:tblGrid>
      <w:tr w:rsidR="00063725" w:rsidRPr="00063725" w14:paraId="6C4F8879" w14:textId="77777777" w:rsidTr="00063725">
        <w:trPr>
          <w:trHeight w:val="260"/>
        </w:trPr>
        <w:tc>
          <w:tcPr>
            <w:tcW w:w="6660" w:type="dxa"/>
            <w:gridSpan w:val="4"/>
            <w:tcBorders>
              <w:top w:val="nil"/>
              <w:left w:val="nil"/>
              <w:bottom w:val="nil"/>
              <w:right w:val="nil"/>
            </w:tcBorders>
            <w:shd w:val="clear" w:color="000000" w:fill="000000"/>
            <w:noWrap/>
            <w:vAlign w:val="bottom"/>
            <w:hideMark/>
          </w:tcPr>
          <w:p w14:paraId="50EA2967" w14:textId="77777777" w:rsidR="00063725" w:rsidRPr="00063725" w:rsidRDefault="00063725" w:rsidP="00063725">
            <w:pPr>
              <w:spacing w:line="240" w:lineRule="auto"/>
              <w:rPr>
                <w:rFonts w:eastAsia="Times New Roman" w:cs="Times New Roman"/>
                <w:b/>
                <w:bCs/>
                <w:color w:val="FFFFFF"/>
                <w:sz w:val="20"/>
                <w:szCs w:val="20"/>
              </w:rPr>
            </w:pPr>
            <w:bookmarkStart w:id="1" w:name="RANGE!A1:I32"/>
            <w:r w:rsidRPr="00063725">
              <w:rPr>
                <w:rFonts w:eastAsia="Times New Roman" w:cs="Times New Roman"/>
                <w:b/>
                <w:bCs/>
                <w:color w:val="FFFFFF"/>
                <w:sz w:val="20"/>
                <w:szCs w:val="20"/>
              </w:rPr>
              <w:t>Projections for Population, Households and Total Jobs (2010-2040)</w:t>
            </w:r>
            <w:bookmarkEnd w:id="1"/>
          </w:p>
        </w:tc>
        <w:tc>
          <w:tcPr>
            <w:tcW w:w="1140" w:type="dxa"/>
            <w:tcBorders>
              <w:top w:val="nil"/>
              <w:left w:val="nil"/>
              <w:bottom w:val="nil"/>
              <w:right w:val="nil"/>
            </w:tcBorders>
            <w:shd w:val="clear" w:color="000000" w:fill="000000"/>
            <w:noWrap/>
            <w:vAlign w:val="bottom"/>
            <w:hideMark/>
          </w:tcPr>
          <w:p w14:paraId="4243385F" w14:textId="77777777" w:rsidR="00063725" w:rsidRPr="00063725" w:rsidRDefault="00063725" w:rsidP="00063725">
            <w:pPr>
              <w:spacing w:line="240" w:lineRule="auto"/>
              <w:jc w:val="right"/>
              <w:rPr>
                <w:rFonts w:eastAsia="Times New Roman" w:cs="Times New Roman"/>
                <w:color w:val="FFFFFF"/>
                <w:sz w:val="20"/>
                <w:szCs w:val="20"/>
              </w:rPr>
            </w:pPr>
            <w:r w:rsidRPr="00063725">
              <w:rPr>
                <w:rFonts w:eastAsia="Times New Roman" w:cs="Times New Roman"/>
                <w:color w:val="FFFFFF"/>
                <w:sz w:val="20"/>
                <w:szCs w:val="20"/>
              </w:rPr>
              <w:t> </w:t>
            </w:r>
          </w:p>
        </w:tc>
        <w:tc>
          <w:tcPr>
            <w:tcW w:w="1140" w:type="dxa"/>
            <w:tcBorders>
              <w:top w:val="nil"/>
              <w:left w:val="nil"/>
              <w:bottom w:val="nil"/>
              <w:right w:val="nil"/>
            </w:tcBorders>
            <w:shd w:val="clear" w:color="000000" w:fill="000000"/>
            <w:noWrap/>
            <w:vAlign w:val="bottom"/>
            <w:hideMark/>
          </w:tcPr>
          <w:p w14:paraId="27D67A31" w14:textId="77777777" w:rsidR="00063725" w:rsidRPr="00063725" w:rsidRDefault="00063725" w:rsidP="00063725">
            <w:pPr>
              <w:spacing w:line="240" w:lineRule="auto"/>
              <w:jc w:val="right"/>
              <w:rPr>
                <w:rFonts w:eastAsia="Times New Roman" w:cs="Times New Roman"/>
                <w:color w:val="FFFFFF"/>
                <w:sz w:val="20"/>
                <w:szCs w:val="20"/>
              </w:rPr>
            </w:pPr>
            <w:r w:rsidRPr="00063725">
              <w:rPr>
                <w:rFonts w:eastAsia="Times New Roman" w:cs="Times New Roman"/>
                <w:color w:val="FFFFFF"/>
                <w:sz w:val="20"/>
                <w:szCs w:val="20"/>
              </w:rPr>
              <w:t> </w:t>
            </w:r>
          </w:p>
        </w:tc>
        <w:tc>
          <w:tcPr>
            <w:tcW w:w="1220" w:type="dxa"/>
            <w:tcBorders>
              <w:top w:val="nil"/>
              <w:left w:val="nil"/>
              <w:bottom w:val="nil"/>
              <w:right w:val="nil"/>
            </w:tcBorders>
            <w:shd w:val="clear" w:color="000000" w:fill="000000"/>
            <w:noWrap/>
            <w:vAlign w:val="bottom"/>
            <w:hideMark/>
          </w:tcPr>
          <w:p w14:paraId="6A1A6FEE" w14:textId="77777777" w:rsidR="00063725" w:rsidRPr="00063725" w:rsidRDefault="00063725" w:rsidP="00063725">
            <w:pPr>
              <w:spacing w:line="240" w:lineRule="auto"/>
              <w:jc w:val="right"/>
              <w:rPr>
                <w:rFonts w:eastAsia="Times New Roman" w:cs="Times New Roman"/>
                <w:color w:val="FFFFFF"/>
                <w:sz w:val="20"/>
                <w:szCs w:val="20"/>
              </w:rPr>
            </w:pPr>
            <w:r w:rsidRPr="00063725">
              <w:rPr>
                <w:rFonts w:eastAsia="Times New Roman" w:cs="Times New Roman"/>
                <w:color w:val="FFFFFF"/>
                <w:sz w:val="20"/>
                <w:szCs w:val="20"/>
              </w:rPr>
              <w:t> </w:t>
            </w:r>
          </w:p>
        </w:tc>
        <w:tc>
          <w:tcPr>
            <w:tcW w:w="1220" w:type="dxa"/>
            <w:tcBorders>
              <w:top w:val="nil"/>
              <w:left w:val="nil"/>
              <w:bottom w:val="nil"/>
              <w:right w:val="nil"/>
            </w:tcBorders>
            <w:shd w:val="clear" w:color="000000" w:fill="000000"/>
            <w:noWrap/>
            <w:vAlign w:val="bottom"/>
            <w:hideMark/>
          </w:tcPr>
          <w:p w14:paraId="1344FE44" w14:textId="77777777" w:rsidR="00063725" w:rsidRPr="00063725" w:rsidRDefault="00063725" w:rsidP="00063725">
            <w:pPr>
              <w:spacing w:line="240" w:lineRule="auto"/>
              <w:jc w:val="right"/>
              <w:rPr>
                <w:rFonts w:eastAsia="Times New Roman" w:cs="Times New Roman"/>
                <w:color w:val="FFFFFF"/>
                <w:sz w:val="20"/>
                <w:szCs w:val="20"/>
              </w:rPr>
            </w:pPr>
            <w:r w:rsidRPr="00063725">
              <w:rPr>
                <w:rFonts w:eastAsia="Times New Roman" w:cs="Times New Roman"/>
                <w:color w:val="FFFFFF"/>
                <w:sz w:val="20"/>
                <w:szCs w:val="20"/>
              </w:rPr>
              <w:t> </w:t>
            </w:r>
          </w:p>
        </w:tc>
        <w:tc>
          <w:tcPr>
            <w:tcW w:w="1320" w:type="dxa"/>
            <w:tcBorders>
              <w:top w:val="nil"/>
              <w:left w:val="nil"/>
              <w:bottom w:val="nil"/>
              <w:right w:val="nil"/>
            </w:tcBorders>
            <w:shd w:val="clear" w:color="000000" w:fill="000000"/>
            <w:noWrap/>
            <w:vAlign w:val="bottom"/>
            <w:hideMark/>
          </w:tcPr>
          <w:p w14:paraId="58DB3365" w14:textId="77777777" w:rsidR="00063725" w:rsidRPr="00063725" w:rsidRDefault="00063725" w:rsidP="00063725">
            <w:pPr>
              <w:spacing w:line="240" w:lineRule="auto"/>
              <w:jc w:val="right"/>
              <w:rPr>
                <w:rFonts w:eastAsia="Times New Roman" w:cs="Times New Roman"/>
                <w:color w:val="FFFFFF"/>
                <w:sz w:val="20"/>
                <w:szCs w:val="20"/>
              </w:rPr>
            </w:pPr>
            <w:r w:rsidRPr="00063725">
              <w:rPr>
                <w:rFonts w:eastAsia="Times New Roman" w:cs="Times New Roman"/>
                <w:color w:val="FFFFFF"/>
                <w:sz w:val="20"/>
                <w:szCs w:val="20"/>
              </w:rPr>
              <w:t> </w:t>
            </w:r>
          </w:p>
        </w:tc>
      </w:tr>
      <w:tr w:rsidR="00063725" w:rsidRPr="00063725" w14:paraId="2F174806" w14:textId="77777777" w:rsidTr="00063725">
        <w:trPr>
          <w:trHeight w:val="680"/>
        </w:trPr>
        <w:tc>
          <w:tcPr>
            <w:tcW w:w="3519" w:type="dxa"/>
            <w:tcBorders>
              <w:top w:val="single" w:sz="4" w:space="0" w:color="auto"/>
              <w:left w:val="nil"/>
              <w:bottom w:val="single" w:sz="12" w:space="0" w:color="auto"/>
              <w:right w:val="nil"/>
            </w:tcBorders>
            <w:shd w:val="clear" w:color="auto" w:fill="auto"/>
            <w:noWrap/>
            <w:vAlign w:val="center"/>
            <w:hideMark/>
          </w:tcPr>
          <w:p w14:paraId="4233818B" w14:textId="77777777" w:rsidR="00063725" w:rsidRPr="00063725" w:rsidRDefault="00063725" w:rsidP="00063725">
            <w:pPr>
              <w:spacing w:line="240" w:lineRule="auto"/>
              <w:rPr>
                <w:rFonts w:eastAsia="Times New Roman" w:cs="Times New Roman"/>
                <w:b/>
                <w:bCs/>
                <w:sz w:val="20"/>
                <w:szCs w:val="20"/>
              </w:rPr>
            </w:pPr>
            <w:r w:rsidRPr="00063725">
              <w:rPr>
                <w:rFonts w:eastAsia="Times New Roman" w:cs="Times New Roman"/>
                <w:b/>
                <w:bCs/>
                <w:sz w:val="20"/>
                <w:szCs w:val="20"/>
              </w:rPr>
              <w:t>Geographical Area</w:t>
            </w:r>
          </w:p>
        </w:tc>
        <w:tc>
          <w:tcPr>
            <w:tcW w:w="1047" w:type="dxa"/>
            <w:tcBorders>
              <w:top w:val="single" w:sz="4" w:space="0" w:color="auto"/>
              <w:left w:val="nil"/>
              <w:bottom w:val="single" w:sz="12" w:space="0" w:color="auto"/>
              <w:right w:val="nil"/>
            </w:tcBorders>
            <w:shd w:val="clear" w:color="auto" w:fill="auto"/>
            <w:noWrap/>
            <w:vAlign w:val="center"/>
            <w:hideMark/>
          </w:tcPr>
          <w:p w14:paraId="4CFD8770"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2010</w:t>
            </w:r>
          </w:p>
        </w:tc>
        <w:tc>
          <w:tcPr>
            <w:tcW w:w="1047" w:type="dxa"/>
            <w:tcBorders>
              <w:top w:val="single" w:sz="4" w:space="0" w:color="auto"/>
              <w:left w:val="nil"/>
              <w:bottom w:val="single" w:sz="12" w:space="0" w:color="auto"/>
              <w:right w:val="nil"/>
            </w:tcBorders>
            <w:shd w:val="clear" w:color="auto" w:fill="auto"/>
            <w:noWrap/>
            <w:vAlign w:val="center"/>
            <w:hideMark/>
          </w:tcPr>
          <w:p w14:paraId="3541BAA4"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2015</w:t>
            </w:r>
          </w:p>
        </w:tc>
        <w:tc>
          <w:tcPr>
            <w:tcW w:w="1047" w:type="dxa"/>
            <w:tcBorders>
              <w:top w:val="single" w:sz="4" w:space="0" w:color="auto"/>
              <w:left w:val="nil"/>
              <w:bottom w:val="single" w:sz="12" w:space="0" w:color="auto"/>
              <w:right w:val="nil"/>
            </w:tcBorders>
            <w:shd w:val="clear" w:color="auto" w:fill="auto"/>
            <w:noWrap/>
            <w:vAlign w:val="center"/>
            <w:hideMark/>
          </w:tcPr>
          <w:p w14:paraId="35A1EF15"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2020</w:t>
            </w:r>
          </w:p>
        </w:tc>
        <w:tc>
          <w:tcPr>
            <w:tcW w:w="1140" w:type="dxa"/>
            <w:tcBorders>
              <w:top w:val="single" w:sz="4" w:space="0" w:color="auto"/>
              <w:left w:val="nil"/>
              <w:bottom w:val="single" w:sz="12" w:space="0" w:color="auto"/>
              <w:right w:val="nil"/>
            </w:tcBorders>
            <w:shd w:val="clear" w:color="auto" w:fill="auto"/>
            <w:noWrap/>
            <w:vAlign w:val="center"/>
            <w:hideMark/>
          </w:tcPr>
          <w:p w14:paraId="205DD9BD"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2025</w:t>
            </w:r>
          </w:p>
        </w:tc>
        <w:tc>
          <w:tcPr>
            <w:tcW w:w="1140" w:type="dxa"/>
            <w:tcBorders>
              <w:top w:val="single" w:sz="4" w:space="0" w:color="auto"/>
              <w:left w:val="nil"/>
              <w:bottom w:val="single" w:sz="12" w:space="0" w:color="auto"/>
              <w:right w:val="nil"/>
            </w:tcBorders>
            <w:shd w:val="clear" w:color="auto" w:fill="auto"/>
            <w:noWrap/>
            <w:vAlign w:val="center"/>
            <w:hideMark/>
          </w:tcPr>
          <w:p w14:paraId="4B76EAB8"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2030</w:t>
            </w:r>
          </w:p>
        </w:tc>
        <w:tc>
          <w:tcPr>
            <w:tcW w:w="1220" w:type="dxa"/>
            <w:tcBorders>
              <w:top w:val="single" w:sz="4" w:space="0" w:color="auto"/>
              <w:left w:val="nil"/>
              <w:bottom w:val="single" w:sz="12" w:space="0" w:color="auto"/>
              <w:right w:val="nil"/>
            </w:tcBorders>
            <w:shd w:val="clear" w:color="auto" w:fill="auto"/>
            <w:noWrap/>
            <w:vAlign w:val="center"/>
            <w:hideMark/>
          </w:tcPr>
          <w:p w14:paraId="2C17847D"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2035</w:t>
            </w:r>
          </w:p>
        </w:tc>
        <w:tc>
          <w:tcPr>
            <w:tcW w:w="1220" w:type="dxa"/>
            <w:tcBorders>
              <w:top w:val="single" w:sz="4" w:space="0" w:color="auto"/>
              <w:left w:val="nil"/>
              <w:bottom w:val="single" w:sz="12" w:space="0" w:color="auto"/>
              <w:right w:val="nil"/>
            </w:tcBorders>
            <w:shd w:val="clear" w:color="auto" w:fill="auto"/>
            <w:noWrap/>
            <w:vAlign w:val="center"/>
            <w:hideMark/>
          </w:tcPr>
          <w:p w14:paraId="1D427B9D"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2035</w:t>
            </w:r>
          </w:p>
        </w:tc>
        <w:tc>
          <w:tcPr>
            <w:tcW w:w="1320" w:type="dxa"/>
            <w:tcBorders>
              <w:top w:val="single" w:sz="4" w:space="0" w:color="auto"/>
              <w:left w:val="nil"/>
              <w:bottom w:val="single" w:sz="12" w:space="0" w:color="auto"/>
              <w:right w:val="nil"/>
            </w:tcBorders>
            <w:shd w:val="clear" w:color="auto" w:fill="auto"/>
            <w:vAlign w:val="center"/>
            <w:hideMark/>
          </w:tcPr>
          <w:p w14:paraId="1A8D0576"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2010-2040 Change</w:t>
            </w:r>
          </w:p>
        </w:tc>
      </w:tr>
      <w:tr w:rsidR="00063725" w:rsidRPr="00063725" w14:paraId="5A7FD7A0" w14:textId="77777777" w:rsidTr="00063725">
        <w:trPr>
          <w:trHeight w:val="180"/>
        </w:trPr>
        <w:tc>
          <w:tcPr>
            <w:tcW w:w="3519" w:type="dxa"/>
            <w:tcBorders>
              <w:top w:val="nil"/>
              <w:left w:val="nil"/>
              <w:bottom w:val="nil"/>
              <w:right w:val="nil"/>
            </w:tcBorders>
            <w:shd w:val="clear" w:color="auto" w:fill="auto"/>
            <w:noWrap/>
            <w:vAlign w:val="bottom"/>
            <w:hideMark/>
          </w:tcPr>
          <w:p w14:paraId="2B32E4F3" w14:textId="77777777" w:rsidR="00063725" w:rsidRPr="00063725" w:rsidRDefault="00063725" w:rsidP="00063725">
            <w:pPr>
              <w:spacing w:line="240" w:lineRule="auto"/>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5A85FECA"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618C7448"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6455D362"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4B9B3FA7"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DE5B679"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095FA68"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4B40EF8" w14:textId="77777777" w:rsidR="00063725" w:rsidRPr="00063725" w:rsidRDefault="00063725" w:rsidP="00063725">
            <w:pPr>
              <w:spacing w:line="240" w:lineRule="auto"/>
              <w:jc w:val="right"/>
              <w:rPr>
                <w:rFonts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14:paraId="6AAF19DB" w14:textId="77777777" w:rsidR="00063725" w:rsidRPr="00063725" w:rsidRDefault="00063725" w:rsidP="00063725">
            <w:pPr>
              <w:spacing w:line="240" w:lineRule="auto"/>
              <w:jc w:val="right"/>
              <w:rPr>
                <w:rFonts w:eastAsia="Times New Roman" w:cs="Times New Roman"/>
                <w:sz w:val="20"/>
                <w:szCs w:val="20"/>
              </w:rPr>
            </w:pPr>
          </w:p>
        </w:tc>
      </w:tr>
      <w:tr w:rsidR="00063725" w:rsidRPr="00063725" w14:paraId="28777B80" w14:textId="77777777" w:rsidTr="00063725">
        <w:trPr>
          <w:trHeight w:val="260"/>
        </w:trPr>
        <w:tc>
          <w:tcPr>
            <w:tcW w:w="3519" w:type="dxa"/>
            <w:tcBorders>
              <w:top w:val="nil"/>
              <w:left w:val="nil"/>
              <w:bottom w:val="nil"/>
              <w:right w:val="nil"/>
            </w:tcBorders>
            <w:shd w:val="clear" w:color="auto" w:fill="auto"/>
            <w:noWrap/>
            <w:vAlign w:val="bottom"/>
            <w:hideMark/>
          </w:tcPr>
          <w:p w14:paraId="757FF2A2" w14:textId="77777777" w:rsidR="00063725" w:rsidRPr="00063725" w:rsidRDefault="00063725" w:rsidP="00063725">
            <w:pPr>
              <w:spacing w:line="240" w:lineRule="auto"/>
              <w:rPr>
                <w:rFonts w:eastAsia="Times New Roman" w:cs="Times New Roman"/>
                <w:b/>
                <w:bCs/>
                <w:sz w:val="20"/>
                <w:szCs w:val="20"/>
              </w:rPr>
            </w:pPr>
            <w:r w:rsidRPr="00063725">
              <w:rPr>
                <w:rFonts w:eastAsia="Times New Roman" w:cs="Times New Roman"/>
                <w:b/>
                <w:bCs/>
                <w:sz w:val="20"/>
                <w:szCs w:val="20"/>
              </w:rPr>
              <w:t>Bay Area Regional Total</w:t>
            </w:r>
          </w:p>
        </w:tc>
        <w:tc>
          <w:tcPr>
            <w:tcW w:w="1047" w:type="dxa"/>
            <w:tcBorders>
              <w:top w:val="nil"/>
              <w:left w:val="nil"/>
              <w:bottom w:val="nil"/>
              <w:right w:val="nil"/>
            </w:tcBorders>
            <w:shd w:val="clear" w:color="auto" w:fill="auto"/>
            <w:noWrap/>
            <w:vAlign w:val="bottom"/>
            <w:hideMark/>
          </w:tcPr>
          <w:p w14:paraId="488C2511"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4376CC86"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3F91183B"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C5B6A52"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A0AB24B"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2766AD4E"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29135CCF" w14:textId="77777777" w:rsidR="00063725" w:rsidRPr="00063725" w:rsidRDefault="00063725" w:rsidP="00063725">
            <w:pPr>
              <w:spacing w:line="240" w:lineRule="auto"/>
              <w:jc w:val="right"/>
              <w:rPr>
                <w:rFonts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DC3203" w14:textId="77777777" w:rsidR="00063725" w:rsidRPr="00063725" w:rsidRDefault="00063725" w:rsidP="00063725">
            <w:pPr>
              <w:spacing w:line="240" w:lineRule="auto"/>
              <w:jc w:val="right"/>
              <w:rPr>
                <w:rFonts w:eastAsia="Times New Roman" w:cs="Times New Roman"/>
                <w:sz w:val="20"/>
                <w:szCs w:val="20"/>
              </w:rPr>
            </w:pPr>
          </w:p>
        </w:tc>
      </w:tr>
      <w:tr w:rsidR="00063725" w:rsidRPr="00063725" w14:paraId="3C31EC21" w14:textId="77777777" w:rsidTr="00063725">
        <w:trPr>
          <w:trHeight w:val="260"/>
        </w:trPr>
        <w:tc>
          <w:tcPr>
            <w:tcW w:w="3519" w:type="dxa"/>
            <w:tcBorders>
              <w:top w:val="nil"/>
              <w:left w:val="nil"/>
              <w:bottom w:val="nil"/>
              <w:right w:val="nil"/>
            </w:tcBorders>
            <w:shd w:val="clear" w:color="auto" w:fill="auto"/>
            <w:noWrap/>
            <w:vAlign w:val="bottom"/>
            <w:hideMark/>
          </w:tcPr>
          <w:p w14:paraId="0AC9B23F"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Population</w:t>
            </w:r>
          </w:p>
        </w:tc>
        <w:tc>
          <w:tcPr>
            <w:tcW w:w="1047" w:type="dxa"/>
            <w:tcBorders>
              <w:top w:val="nil"/>
              <w:left w:val="nil"/>
              <w:bottom w:val="nil"/>
              <w:right w:val="nil"/>
            </w:tcBorders>
            <w:shd w:val="clear" w:color="000000" w:fill="FFFFFF"/>
            <w:noWrap/>
            <w:vAlign w:val="bottom"/>
            <w:hideMark/>
          </w:tcPr>
          <w:p w14:paraId="76C7DF1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7,150,739</w:t>
            </w:r>
          </w:p>
        </w:tc>
        <w:tc>
          <w:tcPr>
            <w:tcW w:w="1047" w:type="dxa"/>
            <w:tcBorders>
              <w:top w:val="nil"/>
              <w:left w:val="nil"/>
              <w:bottom w:val="nil"/>
              <w:right w:val="nil"/>
            </w:tcBorders>
            <w:shd w:val="clear" w:color="000000" w:fill="FFFFFF"/>
            <w:noWrap/>
            <w:vAlign w:val="bottom"/>
            <w:hideMark/>
          </w:tcPr>
          <w:p w14:paraId="6CC59A9D"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7,461,400</w:t>
            </w:r>
          </w:p>
        </w:tc>
        <w:tc>
          <w:tcPr>
            <w:tcW w:w="1047" w:type="dxa"/>
            <w:tcBorders>
              <w:top w:val="nil"/>
              <w:left w:val="nil"/>
              <w:bottom w:val="nil"/>
              <w:right w:val="nil"/>
            </w:tcBorders>
            <w:shd w:val="clear" w:color="000000" w:fill="FFFFFF"/>
            <w:noWrap/>
            <w:vAlign w:val="bottom"/>
            <w:hideMark/>
          </w:tcPr>
          <w:p w14:paraId="73C97A9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7,786,800</w:t>
            </w:r>
          </w:p>
        </w:tc>
        <w:tc>
          <w:tcPr>
            <w:tcW w:w="1140" w:type="dxa"/>
            <w:tcBorders>
              <w:top w:val="nil"/>
              <w:left w:val="nil"/>
              <w:bottom w:val="nil"/>
              <w:right w:val="nil"/>
            </w:tcBorders>
            <w:shd w:val="clear" w:color="000000" w:fill="FFFFFF"/>
            <w:noWrap/>
            <w:vAlign w:val="bottom"/>
            <w:hideMark/>
          </w:tcPr>
          <w:p w14:paraId="1370A89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8,134,000</w:t>
            </w:r>
          </w:p>
        </w:tc>
        <w:tc>
          <w:tcPr>
            <w:tcW w:w="1140" w:type="dxa"/>
            <w:tcBorders>
              <w:top w:val="nil"/>
              <w:left w:val="nil"/>
              <w:bottom w:val="nil"/>
              <w:right w:val="nil"/>
            </w:tcBorders>
            <w:shd w:val="clear" w:color="000000" w:fill="FFFFFF"/>
            <w:noWrap/>
            <w:vAlign w:val="bottom"/>
            <w:hideMark/>
          </w:tcPr>
          <w:p w14:paraId="640018B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8,496,800</w:t>
            </w:r>
          </w:p>
        </w:tc>
        <w:tc>
          <w:tcPr>
            <w:tcW w:w="1220" w:type="dxa"/>
            <w:tcBorders>
              <w:top w:val="nil"/>
              <w:left w:val="nil"/>
              <w:bottom w:val="nil"/>
              <w:right w:val="nil"/>
            </w:tcBorders>
            <w:shd w:val="clear" w:color="000000" w:fill="FFFFFF"/>
            <w:noWrap/>
            <w:vAlign w:val="bottom"/>
            <w:hideMark/>
          </w:tcPr>
          <w:p w14:paraId="72C22F33"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8,889,000</w:t>
            </w:r>
          </w:p>
        </w:tc>
        <w:tc>
          <w:tcPr>
            <w:tcW w:w="1220" w:type="dxa"/>
            <w:tcBorders>
              <w:top w:val="nil"/>
              <w:left w:val="nil"/>
              <w:bottom w:val="nil"/>
              <w:right w:val="nil"/>
            </w:tcBorders>
            <w:shd w:val="clear" w:color="000000" w:fill="FFFFFF"/>
            <w:noWrap/>
            <w:vAlign w:val="bottom"/>
            <w:hideMark/>
          </w:tcPr>
          <w:p w14:paraId="1E99B33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9,299,100</w:t>
            </w:r>
          </w:p>
        </w:tc>
        <w:tc>
          <w:tcPr>
            <w:tcW w:w="1320" w:type="dxa"/>
            <w:tcBorders>
              <w:top w:val="nil"/>
              <w:left w:val="nil"/>
              <w:bottom w:val="nil"/>
              <w:right w:val="nil"/>
            </w:tcBorders>
            <w:shd w:val="clear" w:color="auto" w:fill="auto"/>
            <w:noWrap/>
            <w:vAlign w:val="bottom"/>
            <w:hideMark/>
          </w:tcPr>
          <w:p w14:paraId="097DDA72"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1,738,261</w:t>
            </w:r>
          </w:p>
        </w:tc>
      </w:tr>
      <w:tr w:rsidR="00063725" w:rsidRPr="00063725" w14:paraId="1362E856" w14:textId="77777777" w:rsidTr="00063725">
        <w:trPr>
          <w:trHeight w:val="260"/>
        </w:trPr>
        <w:tc>
          <w:tcPr>
            <w:tcW w:w="3519" w:type="dxa"/>
            <w:tcBorders>
              <w:top w:val="nil"/>
              <w:left w:val="nil"/>
              <w:bottom w:val="nil"/>
              <w:right w:val="nil"/>
            </w:tcBorders>
            <w:shd w:val="clear" w:color="auto" w:fill="auto"/>
            <w:noWrap/>
            <w:vAlign w:val="bottom"/>
            <w:hideMark/>
          </w:tcPr>
          <w:p w14:paraId="623C87FA"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Households</w:t>
            </w:r>
          </w:p>
        </w:tc>
        <w:tc>
          <w:tcPr>
            <w:tcW w:w="1047" w:type="dxa"/>
            <w:tcBorders>
              <w:top w:val="nil"/>
              <w:left w:val="nil"/>
              <w:bottom w:val="nil"/>
              <w:right w:val="nil"/>
            </w:tcBorders>
            <w:shd w:val="clear" w:color="000000" w:fill="FFFFFF"/>
            <w:noWrap/>
            <w:vAlign w:val="bottom"/>
            <w:hideMark/>
          </w:tcPr>
          <w:p w14:paraId="4739616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2,608,023</w:t>
            </w:r>
          </w:p>
        </w:tc>
        <w:tc>
          <w:tcPr>
            <w:tcW w:w="1047" w:type="dxa"/>
            <w:tcBorders>
              <w:top w:val="nil"/>
              <w:left w:val="nil"/>
              <w:bottom w:val="nil"/>
              <w:right w:val="nil"/>
            </w:tcBorders>
            <w:shd w:val="clear" w:color="000000" w:fill="FFFFFF"/>
            <w:noWrap/>
            <w:vAlign w:val="bottom"/>
            <w:hideMark/>
          </w:tcPr>
          <w:p w14:paraId="7F5B8A1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2,720,410</w:t>
            </w:r>
          </w:p>
        </w:tc>
        <w:tc>
          <w:tcPr>
            <w:tcW w:w="1047" w:type="dxa"/>
            <w:tcBorders>
              <w:top w:val="nil"/>
              <w:left w:val="nil"/>
              <w:bottom w:val="nil"/>
              <w:right w:val="nil"/>
            </w:tcBorders>
            <w:shd w:val="clear" w:color="000000" w:fill="FFFFFF"/>
            <w:noWrap/>
            <w:vAlign w:val="bottom"/>
            <w:hideMark/>
          </w:tcPr>
          <w:p w14:paraId="75CE232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2,837,680</w:t>
            </w:r>
          </w:p>
        </w:tc>
        <w:tc>
          <w:tcPr>
            <w:tcW w:w="1140" w:type="dxa"/>
            <w:tcBorders>
              <w:top w:val="nil"/>
              <w:left w:val="nil"/>
              <w:bottom w:val="nil"/>
              <w:right w:val="nil"/>
            </w:tcBorders>
            <w:shd w:val="clear" w:color="000000" w:fill="FFFFFF"/>
            <w:noWrap/>
            <w:vAlign w:val="bottom"/>
            <w:hideMark/>
          </w:tcPr>
          <w:p w14:paraId="00272DA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2,952,910</w:t>
            </w:r>
          </w:p>
        </w:tc>
        <w:tc>
          <w:tcPr>
            <w:tcW w:w="1140" w:type="dxa"/>
            <w:tcBorders>
              <w:top w:val="nil"/>
              <w:left w:val="nil"/>
              <w:bottom w:val="nil"/>
              <w:right w:val="nil"/>
            </w:tcBorders>
            <w:shd w:val="clear" w:color="000000" w:fill="FFFFFF"/>
            <w:noWrap/>
            <w:vAlign w:val="bottom"/>
            <w:hideMark/>
          </w:tcPr>
          <w:p w14:paraId="7A0FA9E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3,072,920</w:t>
            </w:r>
          </w:p>
        </w:tc>
        <w:tc>
          <w:tcPr>
            <w:tcW w:w="1220" w:type="dxa"/>
            <w:tcBorders>
              <w:top w:val="nil"/>
              <w:left w:val="nil"/>
              <w:bottom w:val="nil"/>
              <w:right w:val="nil"/>
            </w:tcBorders>
            <w:shd w:val="clear" w:color="000000" w:fill="FFFFFF"/>
            <w:noWrap/>
            <w:vAlign w:val="bottom"/>
            <w:hideMark/>
          </w:tcPr>
          <w:p w14:paraId="45F5BFE9"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3,188,330</w:t>
            </w:r>
          </w:p>
        </w:tc>
        <w:tc>
          <w:tcPr>
            <w:tcW w:w="1220" w:type="dxa"/>
            <w:tcBorders>
              <w:top w:val="nil"/>
              <w:left w:val="nil"/>
              <w:bottom w:val="nil"/>
              <w:right w:val="nil"/>
            </w:tcBorders>
            <w:shd w:val="clear" w:color="000000" w:fill="FFFFFF"/>
            <w:noWrap/>
            <w:vAlign w:val="bottom"/>
            <w:hideMark/>
          </w:tcPr>
          <w:p w14:paraId="7FD0305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3,308,090</w:t>
            </w:r>
          </w:p>
        </w:tc>
        <w:tc>
          <w:tcPr>
            <w:tcW w:w="1320" w:type="dxa"/>
            <w:tcBorders>
              <w:top w:val="nil"/>
              <w:left w:val="nil"/>
              <w:bottom w:val="nil"/>
              <w:right w:val="nil"/>
            </w:tcBorders>
            <w:shd w:val="clear" w:color="auto" w:fill="auto"/>
            <w:noWrap/>
            <w:vAlign w:val="bottom"/>
            <w:hideMark/>
          </w:tcPr>
          <w:p w14:paraId="70DAC275"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580,307</w:t>
            </w:r>
          </w:p>
        </w:tc>
      </w:tr>
      <w:tr w:rsidR="00063725" w:rsidRPr="00063725" w14:paraId="078AA064" w14:textId="77777777" w:rsidTr="00063725">
        <w:trPr>
          <w:trHeight w:val="260"/>
        </w:trPr>
        <w:tc>
          <w:tcPr>
            <w:tcW w:w="3519" w:type="dxa"/>
            <w:tcBorders>
              <w:top w:val="nil"/>
              <w:left w:val="nil"/>
              <w:bottom w:val="nil"/>
              <w:right w:val="nil"/>
            </w:tcBorders>
            <w:shd w:val="clear" w:color="auto" w:fill="auto"/>
            <w:noWrap/>
            <w:vAlign w:val="bottom"/>
            <w:hideMark/>
          </w:tcPr>
          <w:p w14:paraId="5477D906"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Persons Per Household</w:t>
            </w:r>
          </w:p>
        </w:tc>
        <w:tc>
          <w:tcPr>
            <w:tcW w:w="1047" w:type="dxa"/>
            <w:tcBorders>
              <w:top w:val="nil"/>
              <w:left w:val="nil"/>
              <w:bottom w:val="nil"/>
              <w:right w:val="nil"/>
            </w:tcBorders>
            <w:shd w:val="clear" w:color="000000" w:fill="FFFFFF"/>
            <w:noWrap/>
            <w:vAlign w:val="bottom"/>
            <w:hideMark/>
          </w:tcPr>
          <w:p w14:paraId="14CD9459"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2.69</w:t>
            </w:r>
          </w:p>
        </w:tc>
        <w:tc>
          <w:tcPr>
            <w:tcW w:w="1047" w:type="dxa"/>
            <w:tcBorders>
              <w:top w:val="nil"/>
              <w:left w:val="nil"/>
              <w:bottom w:val="nil"/>
              <w:right w:val="nil"/>
            </w:tcBorders>
            <w:shd w:val="clear" w:color="000000" w:fill="FFFFFF"/>
            <w:noWrap/>
            <w:vAlign w:val="bottom"/>
            <w:hideMark/>
          </w:tcPr>
          <w:p w14:paraId="2DC0D3A7"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2.69</w:t>
            </w:r>
          </w:p>
        </w:tc>
        <w:tc>
          <w:tcPr>
            <w:tcW w:w="1047" w:type="dxa"/>
            <w:tcBorders>
              <w:top w:val="nil"/>
              <w:left w:val="nil"/>
              <w:bottom w:val="nil"/>
              <w:right w:val="nil"/>
            </w:tcBorders>
            <w:shd w:val="clear" w:color="000000" w:fill="FFFFFF"/>
            <w:noWrap/>
            <w:vAlign w:val="bottom"/>
            <w:hideMark/>
          </w:tcPr>
          <w:p w14:paraId="598485C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2.69</w:t>
            </w:r>
          </w:p>
        </w:tc>
        <w:tc>
          <w:tcPr>
            <w:tcW w:w="1140" w:type="dxa"/>
            <w:tcBorders>
              <w:top w:val="nil"/>
              <w:left w:val="nil"/>
              <w:bottom w:val="nil"/>
              <w:right w:val="nil"/>
            </w:tcBorders>
            <w:shd w:val="clear" w:color="000000" w:fill="FFFFFF"/>
            <w:noWrap/>
            <w:vAlign w:val="bottom"/>
            <w:hideMark/>
          </w:tcPr>
          <w:p w14:paraId="4C0D3AD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2.70</w:t>
            </w:r>
          </w:p>
        </w:tc>
        <w:tc>
          <w:tcPr>
            <w:tcW w:w="1140" w:type="dxa"/>
            <w:tcBorders>
              <w:top w:val="nil"/>
              <w:left w:val="nil"/>
              <w:bottom w:val="nil"/>
              <w:right w:val="nil"/>
            </w:tcBorders>
            <w:shd w:val="clear" w:color="000000" w:fill="FFFFFF"/>
            <w:noWrap/>
            <w:vAlign w:val="bottom"/>
            <w:hideMark/>
          </w:tcPr>
          <w:p w14:paraId="3298687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2.71</w:t>
            </w:r>
          </w:p>
        </w:tc>
        <w:tc>
          <w:tcPr>
            <w:tcW w:w="1220" w:type="dxa"/>
            <w:tcBorders>
              <w:top w:val="nil"/>
              <w:left w:val="nil"/>
              <w:bottom w:val="nil"/>
              <w:right w:val="nil"/>
            </w:tcBorders>
            <w:shd w:val="clear" w:color="000000" w:fill="FFFFFF"/>
            <w:noWrap/>
            <w:vAlign w:val="bottom"/>
            <w:hideMark/>
          </w:tcPr>
          <w:p w14:paraId="1BEC3C7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2.73</w:t>
            </w:r>
          </w:p>
        </w:tc>
        <w:tc>
          <w:tcPr>
            <w:tcW w:w="1220" w:type="dxa"/>
            <w:tcBorders>
              <w:top w:val="nil"/>
              <w:left w:val="nil"/>
              <w:bottom w:val="nil"/>
              <w:right w:val="nil"/>
            </w:tcBorders>
            <w:shd w:val="clear" w:color="000000" w:fill="FFFFFF"/>
            <w:noWrap/>
            <w:vAlign w:val="bottom"/>
            <w:hideMark/>
          </w:tcPr>
          <w:p w14:paraId="50D8E45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2.75</w:t>
            </w:r>
          </w:p>
        </w:tc>
        <w:tc>
          <w:tcPr>
            <w:tcW w:w="1320" w:type="dxa"/>
            <w:tcBorders>
              <w:top w:val="nil"/>
              <w:left w:val="nil"/>
              <w:bottom w:val="nil"/>
              <w:right w:val="nil"/>
            </w:tcBorders>
            <w:shd w:val="clear" w:color="auto" w:fill="auto"/>
            <w:noWrap/>
            <w:vAlign w:val="bottom"/>
            <w:hideMark/>
          </w:tcPr>
          <w:p w14:paraId="2BBCDD82"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0.06</w:t>
            </w:r>
          </w:p>
        </w:tc>
      </w:tr>
      <w:tr w:rsidR="00063725" w:rsidRPr="00063725" w14:paraId="48D80A00" w14:textId="77777777" w:rsidTr="00063725">
        <w:trPr>
          <w:trHeight w:val="260"/>
        </w:trPr>
        <w:tc>
          <w:tcPr>
            <w:tcW w:w="3519" w:type="dxa"/>
            <w:tcBorders>
              <w:top w:val="nil"/>
              <w:left w:val="nil"/>
              <w:bottom w:val="nil"/>
              <w:right w:val="nil"/>
            </w:tcBorders>
            <w:shd w:val="clear" w:color="auto" w:fill="auto"/>
            <w:noWrap/>
            <w:vAlign w:val="bottom"/>
            <w:hideMark/>
          </w:tcPr>
          <w:p w14:paraId="6C37DFD6"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Employed Residents</w:t>
            </w:r>
          </w:p>
        </w:tc>
        <w:tc>
          <w:tcPr>
            <w:tcW w:w="1047" w:type="dxa"/>
            <w:tcBorders>
              <w:top w:val="nil"/>
              <w:left w:val="nil"/>
              <w:bottom w:val="nil"/>
              <w:right w:val="nil"/>
            </w:tcBorders>
            <w:shd w:val="clear" w:color="000000" w:fill="FFFFFF"/>
            <w:noWrap/>
            <w:vAlign w:val="bottom"/>
            <w:hideMark/>
          </w:tcPr>
          <w:p w14:paraId="369307D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3,268,680</w:t>
            </w:r>
          </w:p>
        </w:tc>
        <w:tc>
          <w:tcPr>
            <w:tcW w:w="1047" w:type="dxa"/>
            <w:tcBorders>
              <w:top w:val="nil"/>
              <w:left w:val="nil"/>
              <w:bottom w:val="nil"/>
              <w:right w:val="nil"/>
            </w:tcBorders>
            <w:shd w:val="clear" w:color="000000" w:fill="FFFFFF"/>
            <w:noWrap/>
            <w:vAlign w:val="bottom"/>
            <w:hideMark/>
          </w:tcPr>
          <w:p w14:paraId="41A0503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3,547,310</w:t>
            </w:r>
          </w:p>
        </w:tc>
        <w:tc>
          <w:tcPr>
            <w:tcW w:w="1047" w:type="dxa"/>
            <w:tcBorders>
              <w:top w:val="nil"/>
              <w:left w:val="nil"/>
              <w:bottom w:val="nil"/>
              <w:right w:val="nil"/>
            </w:tcBorders>
            <w:shd w:val="clear" w:color="000000" w:fill="FFFFFF"/>
            <w:noWrap/>
            <w:vAlign w:val="bottom"/>
            <w:hideMark/>
          </w:tcPr>
          <w:p w14:paraId="3E32460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3,849,790</w:t>
            </w:r>
          </w:p>
        </w:tc>
        <w:tc>
          <w:tcPr>
            <w:tcW w:w="1140" w:type="dxa"/>
            <w:tcBorders>
              <w:top w:val="nil"/>
              <w:left w:val="nil"/>
              <w:bottom w:val="nil"/>
              <w:right w:val="nil"/>
            </w:tcBorders>
            <w:shd w:val="clear" w:color="000000" w:fill="FFFFFF"/>
            <w:noWrap/>
            <w:vAlign w:val="bottom"/>
            <w:hideMark/>
          </w:tcPr>
          <w:p w14:paraId="29B4E0D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3,949,620</w:t>
            </w:r>
          </w:p>
        </w:tc>
        <w:tc>
          <w:tcPr>
            <w:tcW w:w="1140" w:type="dxa"/>
            <w:tcBorders>
              <w:top w:val="nil"/>
              <w:left w:val="nil"/>
              <w:bottom w:val="nil"/>
              <w:right w:val="nil"/>
            </w:tcBorders>
            <w:shd w:val="clear" w:color="000000" w:fill="FFFFFF"/>
            <w:noWrap/>
            <w:vAlign w:val="bottom"/>
            <w:hideMark/>
          </w:tcPr>
          <w:p w14:paraId="1B228CB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4,052,020</w:t>
            </w:r>
          </w:p>
        </w:tc>
        <w:tc>
          <w:tcPr>
            <w:tcW w:w="1220" w:type="dxa"/>
            <w:tcBorders>
              <w:top w:val="nil"/>
              <w:left w:val="nil"/>
              <w:bottom w:val="nil"/>
              <w:right w:val="nil"/>
            </w:tcBorders>
            <w:shd w:val="clear" w:color="000000" w:fill="FFFFFF"/>
            <w:noWrap/>
            <w:vAlign w:val="bottom"/>
            <w:hideMark/>
          </w:tcPr>
          <w:p w14:paraId="177C546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4,198,400</w:t>
            </w:r>
          </w:p>
        </w:tc>
        <w:tc>
          <w:tcPr>
            <w:tcW w:w="1220" w:type="dxa"/>
            <w:tcBorders>
              <w:top w:val="nil"/>
              <w:left w:val="nil"/>
              <w:bottom w:val="nil"/>
              <w:right w:val="nil"/>
            </w:tcBorders>
            <w:shd w:val="clear" w:color="000000" w:fill="FFFFFF"/>
            <w:noWrap/>
            <w:vAlign w:val="bottom"/>
            <w:hideMark/>
          </w:tcPr>
          <w:p w14:paraId="17BF58D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4,350,070</w:t>
            </w:r>
          </w:p>
        </w:tc>
        <w:tc>
          <w:tcPr>
            <w:tcW w:w="1320" w:type="dxa"/>
            <w:tcBorders>
              <w:top w:val="nil"/>
              <w:left w:val="nil"/>
              <w:bottom w:val="nil"/>
              <w:right w:val="nil"/>
            </w:tcBorders>
            <w:shd w:val="clear" w:color="auto" w:fill="auto"/>
            <w:noWrap/>
            <w:vAlign w:val="bottom"/>
            <w:hideMark/>
          </w:tcPr>
          <w:p w14:paraId="22C05DB7"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929,720</w:t>
            </w:r>
          </w:p>
        </w:tc>
      </w:tr>
      <w:tr w:rsidR="00063725" w:rsidRPr="00063725" w14:paraId="02E32DD8" w14:textId="77777777" w:rsidTr="00063725">
        <w:trPr>
          <w:trHeight w:val="260"/>
        </w:trPr>
        <w:tc>
          <w:tcPr>
            <w:tcW w:w="3519" w:type="dxa"/>
            <w:tcBorders>
              <w:top w:val="nil"/>
              <w:left w:val="nil"/>
              <w:bottom w:val="nil"/>
              <w:right w:val="nil"/>
            </w:tcBorders>
            <w:shd w:val="clear" w:color="auto" w:fill="auto"/>
            <w:noWrap/>
            <w:vAlign w:val="bottom"/>
            <w:hideMark/>
          </w:tcPr>
          <w:p w14:paraId="230477A5"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Jobs</w:t>
            </w:r>
          </w:p>
        </w:tc>
        <w:tc>
          <w:tcPr>
            <w:tcW w:w="1047" w:type="dxa"/>
            <w:tcBorders>
              <w:top w:val="nil"/>
              <w:left w:val="nil"/>
              <w:bottom w:val="nil"/>
              <w:right w:val="nil"/>
            </w:tcBorders>
            <w:shd w:val="clear" w:color="000000" w:fill="FFFFFF"/>
            <w:noWrap/>
            <w:vAlign w:val="bottom"/>
            <w:hideMark/>
          </w:tcPr>
          <w:p w14:paraId="7D6EC00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3,385,300</w:t>
            </w:r>
          </w:p>
        </w:tc>
        <w:tc>
          <w:tcPr>
            <w:tcW w:w="1047" w:type="dxa"/>
            <w:tcBorders>
              <w:top w:val="nil"/>
              <w:left w:val="nil"/>
              <w:bottom w:val="nil"/>
              <w:right w:val="nil"/>
            </w:tcBorders>
            <w:shd w:val="clear" w:color="000000" w:fill="FFFFFF"/>
            <w:noWrap/>
            <w:vAlign w:val="bottom"/>
            <w:hideMark/>
          </w:tcPr>
          <w:p w14:paraId="1CC959C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3,669,990</w:t>
            </w:r>
          </w:p>
        </w:tc>
        <w:tc>
          <w:tcPr>
            <w:tcW w:w="1047" w:type="dxa"/>
            <w:tcBorders>
              <w:top w:val="nil"/>
              <w:left w:val="nil"/>
              <w:bottom w:val="nil"/>
              <w:right w:val="nil"/>
            </w:tcBorders>
            <w:shd w:val="clear" w:color="000000" w:fill="FFFFFF"/>
            <w:noWrap/>
            <w:vAlign w:val="bottom"/>
            <w:hideMark/>
          </w:tcPr>
          <w:p w14:paraId="7387138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3,987,150</w:t>
            </w:r>
          </w:p>
        </w:tc>
        <w:tc>
          <w:tcPr>
            <w:tcW w:w="1140" w:type="dxa"/>
            <w:tcBorders>
              <w:top w:val="nil"/>
              <w:left w:val="nil"/>
              <w:bottom w:val="nil"/>
              <w:right w:val="nil"/>
            </w:tcBorders>
            <w:shd w:val="clear" w:color="000000" w:fill="FFFFFF"/>
            <w:noWrap/>
            <w:vAlign w:val="bottom"/>
            <w:hideMark/>
          </w:tcPr>
          <w:p w14:paraId="2004AD6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3,949,620</w:t>
            </w:r>
          </w:p>
        </w:tc>
        <w:tc>
          <w:tcPr>
            <w:tcW w:w="1140" w:type="dxa"/>
            <w:tcBorders>
              <w:top w:val="nil"/>
              <w:left w:val="nil"/>
              <w:bottom w:val="nil"/>
              <w:right w:val="nil"/>
            </w:tcBorders>
            <w:shd w:val="clear" w:color="000000" w:fill="FFFFFF"/>
            <w:noWrap/>
            <w:vAlign w:val="bottom"/>
            <w:hideMark/>
          </w:tcPr>
          <w:p w14:paraId="6E7E462D"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4,196,580</w:t>
            </w:r>
          </w:p>
        </w:tc>
        <w:tc>
          <w:tcPr>
            <w:tcW w:w="1220" w:type="dxa"/>
            <w:tcBorders>
              <w:top w:val="nil"/>
              <w:left w:val="nil"/>
              <w:bottom w:val="nil"/>
              <w:right w:val="nil"/>
            </w:tcBorders>
            <w:shd w:val="clear" w:color="000000" w:fill="FFFFFF"/>
            <w:noWrap/>
            <w:vAlign w:val="bottom"/>
            <w:hideMark/>
          </w:tcPr>
          <w:p w14:paraId="7D5717C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4,346,820</w:t>
            </w:r>
          </w:p>
        </w:tc>
        <w:tc>
          <w:tcPr>
            <w:tcW w:w="1220" w:type="dxa"/>
            <w:tcBorders>
              <w:top w:val="nil"/>
              <w:left w:val="nil"/>
              <w:bottom w:val="nil"/>
              <w:right w:val="nil"/>
            </w:tcBorders>
            <w:shd w:val="clear" w:color="000000" w:fill="FFFFFF"/>
            <w:noWrap/>
            <w:vAlign w:val="bottom"/>
            <w:hideMark/>
          </w:tcPr>
          <w:p w14:paraId="1138B2D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4,505,230</w:t>
            </w:r>
          </w:p>
        </w:tc>
        <w:tc>
          <w:tcPr>
            <w:tcW w:w="1320" w:type="dxa"/>
            <w:tcBorders>
              <w:top w:val="nil"/>
              <w:left w:val="nil"/>
              <w:bottom w:val="nil"/>
              <w:right w:val="nil"/>
            </w:tcBorders>
            <w:shd w:val="clear" w:color="auto" w:fill="auto"/>
            <w:noWrap/>
            <w:vAlign w:val="bottom"/>
            <w:hideMark/>
          </w:tcPr>
          <w:p w14:paraId="4732CCAF"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961,520</w:t>
            </w:r>
          </w:p>
        </w:tc>
      </w:tr>
      <w:tr w:rsidR="00063725" w:rsidRPr="00063725" w14:paraId="6D12A9B9" w14:textId="77777777" w:rsidTr="00063725">
        <w:trPr>
          <w:trHeight w:val="260"/>
        </w:trPr>
        <w:tc>
          <w:tcPr>
            <w:tcW w:w="3519" w:type="dxa"/>
            <w:tcBorders>
              <w:top w:val="nil"/>
              <w:left w:val="nil"/>
              <w:bottom w:val="nil"/>
              <w:right w:val="nil"/>
            </w:tcBorders>
            <w:shd w:val="clear" w:color="auto" w:fill="auto"/>
            <w:noWrap/>
            <w:vAlign w:val="bottom"/>
            <w:hideMark/>
          </w:tcPr>
          <w:p w14:paraId="606269E5"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Jobs/Employed Residents</w:t>
            </w:r>
          </w:p>
        </w:tc>
        <w:tc>
          <w:tcPr>
            <w:tcW w:w="1047" w:type="dxa"/>
            <w:tcBorders>
              <w:top w:val="nil"/>
              <w:left w:val="nil"/>
              <w:bottom w:val="nil"/>
              <w:right w:val="nil"/>
            </w:tcBorders>
            <w:shd w:val="clear" w:color="auto" w:fill="auto"/>
            <w:noWrap/>
            <w:vAlign w:val="bottom"/>
            <w:hideMark/>
          </w:tcPr>
          <w:p w14:paraId="3A85596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1.04</w:t>
            </w:r>
          </w:p>
        </w:tc>
        <w:tc>
          <w:tcPr>
            <w:tcW w:w="1047" w:type="dxa"/>
            <w:tcBorders>
              <w:top w:val="nil"/>
              <w:left w:val="nil"/>
              <w:bottom w:val="nil"/>
              <w:right w:val="nil"/>
            </w:tcBorders>
            <w:shd w:val="clear" w:color="auto" w:fill="auto"/>
            <w:noWrap/>
            <w:vAlign w:val="bottom"/>
            <w:hideMark/>
          </w:tcPr>
          <w:p w14:paraId="28C37B6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1.03</w:t>
            </w:r>
          </w:p>
        </w:tc>
        <w:tc>
          <w:tcPr>
            <w:tcW w:w="1047" w:type="dxa"/>
            <w:tcBorders>
              <w:top w:val="nil"/>
              <w:left w:val="nil"/>
              <w:bottom w:val="nil"/>
              <w:right w:val="nil"/>
            </w:tcBorders>
            <w:shd w:val="clear" w:color="auto" w:fill="auto"/>
            <w:noWrap/>
            <w:vAlign w:val="bottom"/>
            <w:hideMark/>
          </w:tcPr>
          <w:p w14:paraId="6E6277C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1.04</w:t>
            </w:r>
          </w:p>
        </w:tc>
        <w:tc>
          <w:tcPr>
            <w:tcW w:w="1140" w:type="dxa"/>
            <w:tcBorders>
              <w:top w:val="nil"/>
              <w:left w:val="nil"/>
              <w:bottom w:val="nil"/>
              <w:right w:val="nil"/>
            </w:tcBorders>
            <w:shd w:val="clear" w:color="000000" w:fill="FFFFFF"/>
            <w:noWrap/>
            <w:vAlign w:val="bottom"/>
            <w:hideMark/>
          </w:tcPr>
          <w:p w14:paraId="529A3189"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3,949,620</w:t>
            </w:r>
          </w:p>
        </w:tc>
        <w:tc>
          <w:tcPr>
            <w:tcW w:w="1140" w:type="dxa"/>
            <w:tcBorders>
              <w:top w:val="nil"/>
              <w:left w:val="nil"/>
              <w:bottom w:val="nil"/>
              <w:right w:val="nil"/>
            </w:tcBorders>
            <w:shd w:val="clear" w:color="auto" w:fill="auto"/>
            <w:noWrap/>
            <w:vAlign w:val="bottom"/>
            <w:hideMark/>
          </w:tcPr>
          <w:p w14:paraId="006B349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1.04</w:t>
            </w:r>
          </w:p>
        </w:tc>
        <w:tc>
          <w:tcPr>
            <w:tcW w:w="1220" w:type="dxa"/>
            <w:tcBorders>
              <w:top w:val="nil"/>
              <w:left w:val="nil"/>
              <w:bottom w:val="nil"/>
              <w:right w:val="nil"/>
            </w:tcBorders>
            <w:shd w:val="clear" w:color="auto" w:fill="auto"/>
            <w:noWrap/>
            <w:vAlign w:val="bottom"/>
            <w:hideMark/>
          </w:tcPr>
          <w:p w14:paraId="2BCDDE0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1.04</w:t>
            </w:r>
          </w:p>
        </w:tc>
        <w:tc>
          <w:tcPr>
            <w:tcW w:w="1220" w:type="dxa"/>
            <w:tcBorders>
              <w:top w:val="nil"/>
              <w:left w:val="nil"/>
              <w:bottom w:val="nil"/>
              <w:right w:val="nil"/>
            </w:tcBorders>
            <w:shd w:val="clear" w:color="auto" w:fill="auto"/>
            <w:noWrap/>
            <w:vAlign w:val="bottom"/>
            <w:hideMark/>
          </w:tcPr>
          <w:p w14:paraId="13CA689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1.04</w:t>
            </w:r>
          </w:p>
        </w:tc>
        <w:tc>
          <w:tcPr>
            <w:tcW w:w="1320" w:type="dxa"/>
            <w:tcBorders>
              <w:top w:val="nil"/>
              <w:left w:val="nil"/>
              <w:bottom w:val="nil"/>
              <w:right w:val="nil"/>
            </w:tcBorders>
            <w:shd w:val="clear" w:color="auto" w:fill="auto"/>
            <w:noWrap/>
            <w:vAlign w:val="bottom"/>
            <w:hideMark/>
          </w:tcPr>
          <w:p w14:paraId="571C205E"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0.00</w:t>
            </w:r>
          </w:p>
        </w:tc>
      </w:tr>
      <w:tr w:rsidR="00063725" w:rsidRPr="00063725" w14:paraId="42817EE6" w14:textId="77777777" w:rsidTr="00063725">
        <w:trPr>
          <w:trHeight w:val="140"/>
        </w:trPr>
        <w:tc>
          <w:tcPr>
            <w:tcW w:w="3519" w:type="dxa"/>
            <w:tcBorders>
              <w:top w:val="nil"/>
              <w:left w:val="nil"/>
              <w:bottom w:val="nil"/>
              <w:right w:val="nil"/>
            </w:tcBorders>
            <w:shd w:val="clear" w:color="auto" w:fill="auto"/>
            <w:noWrap/>
            <w:vAlign w:val="bottom"/>
            <w:hideMark/>
          </w:tcPr>
          <w:p w14:paraId="00061233" w14:textId="77777777" w:rsidR="00063725" w:rsidRPr="00063725" w:rsidRDefault="00063725" w:rsidP="00063725">
            <w:pPr>
              <w:spacing w:line="240" w:lineRule="auto"/>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03F4E8E7"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65978623"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0101D843"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ED220B0"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E3CC912"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CFA8145"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13E03B7" w14:textId="77777777" w:rsidR="00063725" w:rsidRPr="00063725" w:rsidRDefault="00063725" w:rsidP="00063725">
            <w:pPr>
              <w:spacing w:line="240" w:lineRule="auto"/>
              <w:jc w:val="right"/>
              <w:rPr>
                <w:rFonts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14:paraId="5321608A" w14:textId="77777777" w:rsidR="00063725" w:rsidRPr="00063725" w:rsidRDefault="00063725" w:rsidP="00063725">
            <w:pPr>
              <w:spacing w:line="240" w:lineRule="auto"/>
              <w:jc w:val="right"/>
              <w:rPr>
                <w:rFonts w:eastAsia="Times New Roman" w:cs="Times New Roman"/>
                <w:b/>
                <w:bCs/>
                <w:sz w:val="20"/>
                <w:szCs w:val="20"/>
              </w:rPr>
            </w:pPr>
          </w:p>
        </w:tc>
      </w:tr>
      <w:tr w:rsidR="00063725" w:rsidRPr="00063725" w14:paraId="5AB05BC4" w14:textId="77777777" w:rsidTr="00063725">
        <w:trPr>
          <w:trHeight w:val="260"/>
        </w:trPr>
        <w:tc>
          <w:tcPr>
            <w:tcW w:w="3519" w:type="dxa"/>
            <w:tcBorders>
              <w:top w:val="nil"/>
              <w:left w:val="nil"/>
              <w:bottom w:val="nil"/>
              <w:right w:val="nil"/>
            </w:tcBorders>
            <w:shd w:val="clear" w:color="auto" w:fill="auto"/>
            <w:noWrap/>
            <w:vAlign w:val="bottom"/>
            <w:hideMark/>
          </w:tcPr>
          <w:p w14:paraId="7CEE258D" w14:textId="77777777" w:rsidR="00063725" w:rsidRPr="00063725" w:rsidRDefault="00063725" w:rsidP="00063725">
            <w:pPr>
              <w:spacing w:line="240" w:lineRule="auto"/>
              <w:rPr>
                <w:rFonts w:eastAsia="Times New Roman" w:cs="Times New Roman"/>
                <w:b/>
                <w:bCs/>
                <w:sz w:val="20"/>
                <w:szCs w:val="20"/>
              </w:rPr>
            </w:pPr>
            <w:r w:rsidRPr="00063725">
              <w:rPr>
                <w:rFonts w:eastAsia="Times New Roman" w:cs="Times New Roman"/>
                <w:b/>
                <w:bCs/>
                <w:sz w:val="20"/>
                <w:szCs w:val="20"/>
              </w:rPr>
              <w:t>San Mateo County</w:t>
            </w:r>
          </w:p>
        </w:tc>
        <w:tc>
          <w:tcPr>
            <w:tcW w:w="1047" w:type="dxa"/>
            <w:tcBorders>
              <w:top w:val="nil"/>
              <w:left w:val="nil"/>
              <w:bottom w:val="nil"/>
              <w:right w:val="nil"/>
            </w:tcBorders>
            <w:shd w:val="clear" w:color="auto" w:fill="auto"/>
            <w:noWrap/>
            <w:vAlign w:val="bottom"/>
            <w:hideMark/>
          </w:tcPr>
          <w:p w14:paraId="572396EB"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0B61A997"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3CB3AEC4"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544475C9"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61677F07"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A8115AB"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25293111" w14:textId="77777777" w:rsidR="00063725" w:rsidRPr="00063725" w:rsidRDefault="00063725" w:rsidP="00063725">
            <w:pPr>
              <w:spacing w:line="240" w:lineRule="auto"/>
              <w:jc w:val="right"/>
              <w:rPr>
                <w:rFonts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14:paraId="384C1AE4" w14:textId="77777777" w:rsidR="00063725" w:rsidRPr="00063725" w:rsidRDefault="00063725" w:rsidP="00063725">
            <w:pPr>
              <w:spacing w:line="240" w:lineRule="auto"/>
              <w:jc w:val="right"/>
              <w:rPr>
                <w:rFonts w:eastAsia="Times New Roman" w:cs="Times New Roman"/>
                <w:b/>
                <w:bCs/>
                <w:sz w:val="20"/>
                <w:szCs w:val="20"/>
              </w:rPr>
            </w:pPr>
          </w:p>
        </w:tc>
      </w:tr>
      <w:tr w:rsidR="00063725" w:rsidRPr="00063725" w14:paraId="4FC7172C" w14:textId="77777777" w:rsidTr="00063725">
        <w:trPr>
          <w:trHeight w:val="260"/>
        </w:trPr>
        <w:tc>
          <w:tcPr>
            <w:tcW w:w="3519" w:type="dxa"/>
            <w:tcBorders>
              <w:top w:val="nil"/>
              <w:left w:val="nil"/>
              <w:bottom w:val="nil"/>
              <w:right w:val="nil"/>
            </w:tcBorders>
            <w:shd w:val="clear" w:color="auto" w:fill="auto"/>
            <w:noWrap/>
            <w:vAlign w:val="bottom"/>
            <w:hideMark/>
          </w:tcPr>
          <w:p w14:paraId="3ABD5E39"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Population</w:t>
            </w:r>
          </w:p>
        </w:tc>
        <w:tc>
          <w:tcPr>
            <w:tcW w:w="1047" w:type="dxa"/>
            <w:tcBorders>
              <w:top w:val="nil"/>
              <w:left w:val="nil"/>
              <w:bottom w:val="nil"/>
              <w:right w:val="nil"/>
            </w:tcBorders>
            <w:shd w:val="clear" w:color="000000" w:fill="FFFFFF"/>
            <w:noWrap/>
            <w:vAlign w:val="bottom"/>
            <w:hideMark/>
          </w:tcPr>
          <w:p w14:paraId="0DD4796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718,451</w:t>
            </w:r>
          </w:p>
        </w:tc>
        <w:tc>
          <w:tcPr>
            <w:tcW w:w="1047" w:type="dxa"/>
            <w:tcBorders>
              <w:top w:val="nil"/>
              <w:left w:val="nil"/>
              <w:bottom w:val="nil"/>
              <w:right w:val="nil"/>
            </w:tcBorders>
            <w:shd w:val="clear" w:color="000000" w:fill="FFFFFF"/>
            <w:noWrap/>
            <w:vAlign w:val="bottom"/>
            <w:hideMark/>
          </w:tcPr>
          <w:p w14:paraId="2B41AC2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745,400</w:t>
            </w:r>
          </w:p>
        </w:tc>
        <w:tc>
          <w:tcPr>
            <w:tcW w:w="1047" w:type="dxa"/>
            <w:tcBorders>
              <w:top w:val="nil"/>
              <w:left w:val="nil"/>
              <w:bottom w:val="nil"/>
              <w:right w:val="nil"/>
            </w:tcBorders>
            <w:shd w:val="clear" w:color="000000" w:fill="FFFFFF"/>
            <w:noWrap/>
            <w:vAlign w:val="bottom"/>
            <w:hideMark/>
          </w:tcPr>
          <w:p w14:paraId="1175F7D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775,100</w:t>
            </w:r>
          </w:p>
        </w:tc>
        <w:tc>
          <w:tcPr>
            <w:tcW w:w="1140" w:type="dxa"/>
            <w:tcBorders>
              <w:top w:val="nil"/>
              <w:left w:val="nil"/>
              <w:bottom w:val="nil"/>
              <w:right w:val="nil"/>
            </w:tcBorders>
            <w:shd w:val="clear" w:color="000000" w:fill="FFFFFF"/>
            <w:noWrap/>
            <w:vAlign w:val="bottom"/>
            <w:hideMark/>
          </w:tcPr>
          <w:p w14:paraId="75B191E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805,600</w:t>
            </w:r>
          </w:p>
        </w:tc>
        <w:tc>
          <w:tcPr>
            <w:tcW w:w="1140" w:type="dxa"/>
            <w:tcBorders>
              <w:top w:val="nil"/>
              <w:left w:val="nil"/>
              <w:bottom w:val="nil"/>
              <w:right w:val="nil"/>
            </w:tcBorders>
            <w:shd w:val="clear" w:color="000000" w:fill="FFFFFF"/>
            <w:noWrap/>
            <w:vAlign w:val="bottom"/>
            <w:hideMark/>
          </w:tcPr>
          <w:p w14:paraId="3837177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836,100</w:t>
            </w:r>
          </w:p>
        </w:tc>
        <w:tc>
          <w:tcPr>
            <w:tcW w:w="1220" w:type="dxa"/>
            <w:tcBorders>
              <w:top w:val="nil"/>
              <w:left w:val="nil"/>
              <w:bottom w:val="nil"/>
              <w:right w:val="nil"/>
            </w:tcBorders>
            <w:shd w:val="clear" w:color="000000" w:fill="FFFFFF"/>
            <w:noWrap/>
            <w:vAlign w:val="bottom"/>
            <w:hideMark/>
          </w:tcPr>
          <w:p w14:paraId="348D2F31"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869,300</w:t>
            </w:r>
          </w:p>
        </w:tc>
        <w:tc>
          <w:tcPr>
            <w:tcW w:w="1220" w:type="dxa"/>
            <w:tcBorders>
              <w:top w:val="nil"/>
              <w:left w:val="nil"/>
              <w:bottom w:val="nil"/>
              <w:right w:val="nil"/>
            </w:tcBorders>
            <w:shd w:val="clear" w:color="000000" w:fill="FFFFFF"/>
            <w:noWrap/>
            <w:vAlign w:val="bottom"/>
            <w:hideMark/>
          </w:tcPr>
          <w:p w14:paraId="27582C4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904,400</w:t>
            </w:r>
          </w:p>
        </w:tc>
        <w:tc>
          <w:tcPr>
            <w:tcW w:w="1320" w:type="dxa"/>
            <w:tcBorders>
              <w:top w:val="nil"/>
              <w:left w:val="nil"/>
              <w:bottom w:val="nil"/>
              <w:right w:val="nil"/>
            </w:tcBorders>
            <w:shd w:val="clear" w:color="auto" w:fill="auto"/>
            <w:noWrap/>
            <w:vAlign w:val="bottom"/>
            <w:hideMark/>
          </w:tcPr>
          <w:p w14:paraId="7CA7E347"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150,849</w:t>
            </w:r>
          </w:p>
        </w:tc>
      </w:tr>
      <w:tr w:rsidR="00063725" w:rsidRPr="00063725" w14:paraId="03611903" w14:textId="77777777" w:rsidTr="00063725">
        <w:trPr>
          <w:trHeight w:val="260"/>
        </w:trPr>
        <w:tc>
          <w:tcPr>
            <w:tcW w:w="3519" w:type="dxa"/>
            <w:tcBorders>
              <w:top w:val="nil"/>
              <w:left w:val="nil"/>
              <w:bottom w:val="nil"/>
              <w:right w:val="nil"/>
            </w:tcBorders>
            <w:shd w:val="clear" w:color="auto" w:fill="auto"/>
            <w:noWrap/>
            <w:vAlign w:val="bottom"/>
            <w:hideMark/>
          </w:tcPr>
          <w:p w14:paraId="23D0E0E8"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Households</w:t>
            </w:r>
          </w:p>
        </w:tc>
        <w:tc>
          <w:tcPr>
            <w:tcW w:w="1047" w:type="dxa"/>
            <w:tcBorders>
              <w:top w:val="nil"/>
              <w:left w:val="nil"/>
              <w:bottom w:val="nil"/>
              <w:right w:val="nil"/>
            </w:tcBorders>
            <w:shd w:val="clear" w:color="000000" w:fill="FFFFFF"/>
            <w:noWrap/>
            <w:vAlign w:val="bottom"/>
            <w:hideMark/>
          </w:tcPr>
          <w:p w14:paraId="1F50E9A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257,837</w:t>
            </w:r>
          </w:p>
        </w:tc>
        <w:tc>
          <w:tcPr>
            <w:tcW w:w="1047" w:type="dxa"/>
            <w:tcBorders>
              <w:top w:val="nil"/>
              <w:left w:val="nil"/>
              <w:bottom w:val="nil"/>
              <w:right w:val="nil"/>
            </w:tcBorders>
            <w:shd w:val="clear" w:color="000000" w:fill="FFFFFF"/>
            <w:noWrap/>
            <w:vAlign w:val="bottom"/>
            <w:hideMark/>
          </w:tcPr>
          <w:p w14:paraId="7E21003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267,150</w:t>
            </w:r>
          </w:p>
        </w:tc>
        <w:tc>
          <w:tcPr>
            <w:tcW w:w="1047" w:type="dxa"/>
            <w:tcBorders>
              <w:top w:val="nil"/>
              <w:left w:val="nil"/>
              <w:bottom w:val="nil"/>
              <w:right w:val="nil"/>
            </w:tcBorders>
            <w:shd w:val="clear" w:color="000000" w:fill="FFFFFF"/>
            <w:noWrap/>
            <w:vAlign w:val="bottom"/>
            <w:hideMark/>
          </w:tcPr>
          <w:p w14:paraId="53130A1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277,200</w:t>
            </w:r>
          </w:p>
        </w:tc>
        <w:tc>
          <w:tcPr>
            <w:tcW w:w="1140" w:type="dxa"/>
            <w:tcBorders>
              <w:top w:val="nil"/>
              <w:left w:val="nil"/>
              <w:bottom w:val="nil"/>
              <w:right w:val="nil"/>
            </w:tcBorders>
            <w:shd w:val="clear" w:color="000000" w:fill="FFFFFF"/>
            <w:noWrap/>
            <w:vAlign w:val="bottom"/>
            <w:hideMark/>
          </w:tcPr>
          <w:p w14:paraId="1C75E2D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286,790</w:t>
            </w:r>
          </w:p>
        </w:tc>
        <w:tc>
          <w:tcPr>
            <w:tcW w:w="1140" w:type="dxa"/>
            <w:tcBorders>
              <w:top w:val="nil"/>
              <w:left w:val="nil"/>
              <w:bottom w:val="nil"/>
              <w:right w:val="nil"/>
            </w:tcBorders>
            <w:shd w:val="clear" w:color="000000" w:fill="FFFFFF"/>
            <w:noWrap/>
            <w:vAlign w:val="bottom"/>
            <w:hideMark/>
          </w:tcPr>
          <w:p w14:paraId="718C934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296,280</w:t>
            </w:r>
          </w:p>
        </w:tc>
        <w:tc>
          <w:tcPr>
            <w:tcW w:w="1220" w:type="dxa"/>
            <w:tcBorders>
              <w:top w:val="nil"/>
              <w:left w:val="nil"/>
              <w:bottom w:val="nil"/>
              <w:right w:val="nil"/>
            </w:tcBorders>
            <w:shd w:val="clear" w:color="000000" w:fill="FFFFFF"/>
            <w:noWrap/>
            <w:vAlign w:val="bottom"/>
            <w:hideMark/>
          </w:tcPr>
          <w:p w14:paraId="38FAA23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305,390</w:t>
            </w:r>
          </w:p>
        </w:tc>
        <w:tc>
          <w:tcPr>
            <w:tcW w:w="1220" w:type="dxa"/>
            <w:tcBorders>
              <w:top w:val="nil"/>
              <w:left w:val="nil"/>
              <w:bottom w:val="nil"/>
              <w:right w:val="nil"/>
            </w:tcBorders>
            <w:shd w:val="clear" w:color="000000" w:fill="FFFFFF"/>
            <w:noWrap/>
            <w:vAlign w:val="bottom"/>
            <w:hideMark/>
          </w:tcPr>
          <w:p w14:paraId="022F1F2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315,100</w:t>
            </w:r>
          </w:p>
        </w:tc>
        <w:tc>
          <w:tcPr>
            <w:tcW w:w="1320" w:type="dxa"/>
            <w:tcBorders>
              <w:top w:val="nil"/>
              <w:left w:val="nil"/>
              <w:bottom w:val="nil"/>
              <w:right w:val="nil"/>
            </w:tcBorders>
            <w:shd w:val="clear" w:color="auto" w:fill="auto"/>
            <w:noWrap/>
            <w:vAlign w:val="bottom"/>
            <w:hideMark/>
          </w:tcPr>
          <w:p w14:paraId="64CC0ECF"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47,553</w:t>
            </w:r>
          </w:p>
        </w:tc>
      </w:tr>
      <w:tr w:rsidR="00063725" w:rsidRPr="00063725" w14:paraId="62FBF952" w14:textId="77777777" w:rsidTr="00063725">
        <w:trPr>
          <w:trHeight w:val="260"/>
        </w:trPr>
        <w:tc>
          <w:tcPr>
            <w:tcW w:w="3519" w:type="dxa"/>
            <w:tcBorders>
              <w:top w:val="nil"/>
              <w:left w:val="nil"/>
              <w:bottom w:val="nil"/>
              <w:right w:val="nil"/>
            </w:tcBorders>
            <w:shd w:val="clear" w:color="auto" w:fill="auto"/>
            <w:noWrap/>
            <w:vAlign w:val="bottom"/>
            <w:hideMark/>
          </w:tcPr>
          <w:p w14:paraId="3F092B3B"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Persons Per Household</w:t>
            </w:r>
          </w:p>
        </w:tc>
        <w:tc>
          <w:tcPr>
            <w:tcW w:w="1047" w:type="dxa"/>
            <w:tcBorders>
              <w:top w:val="nil"/>
              <w:left w:val="nil"/>
              <w:bottom w:val="nil"/>
              <w:right w:val="nil"/>
            </w:tcBorders>
            <w:shd w:val="clear" w:color="000000" w:fill="FFFFFF"/>
            <w:noWrap/>
            <w:vAlign w:val="bottom"/>
            <w:hideMark/>
          </w:tcPr>
          <w:p w14:paraId="5DCC578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2.75</w:t>
            </w:r>
          </w:p>
        </w:tc>
        <w:tc>
          <w:tcPr>
            <w:tcW w:w="1047" w:type="dxa"/>
            <w:tcBorders>
              <w:top w:val="nil"/>
              <w:left w:val="nil"/>
              <w:bottom w:val="nil"/>
              <w:right w:val="nil"/>
            </w:tcBorders>
            <w:shd w:val="clear" w:color="000000" w:fill="FFFFFF"/>
            <w:noWrap/>
            <w:vAlign w:val="bottom"/>
            <w:hideMark/>
          </w:tcPr>
          <w:p w14:paraId="0347329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2.76</w:t>
            </w:r>
          </w:p>
        </w:tc>
        <w:tc>
          <w:tcPr>
            <w:tcW w:w="1047" w:type="dxa"/>
            <w:tcBorders>
              <w:top w:val="nil"/>
              <w:left w:val="nil"/>
              <w:bottom w:val="nil"/>
              <w:right w:val="nil"/>
            </w:tcBorders>
            <w:shd w:val="clear" w:color="000000" w:fill="FFFFFF"/>
            <w:noWrap/>
            <w:vAlign w:val="bottom"/>
            <w:hideMark/>
          </w:tcPr>
          <w:p w14:paraId="5D6B613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2.76</w:t>
            </w:r>
          </w:p>
        </w:tc>
        <w:tc>
          <w:tcPr>
            <w:tcW w:w="1140" w:type="dxa"/>
            <w:tcBorders>
              <w:top w:val="nil"/>
              <w:left w:val="nil"/>
              <w:bottom w:val="nil"/>
              <w:right w:val="nil"/>
            </w:tcBorders>
            <w:shd w:val="clear" w:color="000000" w:fill="FFFFFF"/>
            <w:noWrap/>
            <w:vAlign w:val="bottom"/>
            <w:hideMark/>
          </w:tcPr>
          <w:p w14:paraId="7B7DE0A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2.77</w:t>
            </w:r>
          </w:p>
        </w:tc>
        <w:tc>
          <w:tcPr>
            <w:tcW w:w="1140" w:type="dxa"/>
            <w:tcBorders>
              <w:top w:val="nil"/>
              <w:left w:val="nil"/>
              <w:bottom w:val="nil"/>
              <w:right w:val="nil"/>
            </w:tcBorders>
            <w:shd w:val="clear" w:color="000000" w:fill="FFFFFF"/>
            <w:noWrap/>
            <w:vAlign w:val="bottom"/>
            <w:hideMark/>
          </w:tcPr>
          <w:p w14:paraId="271FB3A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2.79</w:t>
            </w:r>
          </w:p>
        </w:tc>
        <w:tc>
          <w:tcPr>
            <w:tcW w:w="1220" w:type="dxa"/>
            <w:tcBorders>
              <w:top w:val="nil"/>
              <w:left w:val="nil"/>
              <w:bottom w:val="nil"/>
              <w:right w:val="nil"/>
            </w:tcBorders>
            <w:shd w:val="clear" w:color="000000" w:fill="FFFFFF"/>
            <w:noWrap/>
            <w:vAlign w:val="bottom"/>
            <w:hideMark/>
          </w:tcPr>
          <w:p w14:paraId="063B801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2.81</w:t>
            </w:r>
          </w:p>
        </w:tc>
        <w:tc>
          <w:tcPr>
            <w:tcW w:w="1220" w:type="dxa"/>
            <w:tcBorders>
              <w:top w:val="nil"/>
              <w:left w:val="nil"/>
              <w:bottom w:val="nil"/>
              <w:right w:val="nil"/>
            </w:tcBorders>
            <w:shd w:val="clear" w:color="000000" w:fill="FFFFFF"/>
            <w:noWrap/>
            <w:vAlign w:val="bottom"/>
            <w:hideMark/>
          </w:tcPr>
          <w:p w14:paraId="33AE6A5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2.83</w:t>
            </w:r>
          </w:p>
        </w:tc>
        <w:tc>
          <w:tcPr>
            <w:tcW w:w="1320" w:type="dxa"/>
            <w:tcBorders>
              <w:top w:val="nil"/>
              <w:left w:val="nil"/>
              <w:bottom w:val="nil"/>
              <w:right w:val="nil"/>
            </w:tcBorders>
            <w:shd w:val="clear" w:color="auto" w:fill="auto"/>
            <w:noWrap/>
            <w:vAlign w:val="bottom"/>
            <w:hideMark/>
          </w:tcPr>
          <w:p w14:paraId="45337AD4"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0.06</w:t>
            </w:r>
          </w:p>
        </w:tc>
      </w:tr>
      <w:tr w:rsidR="00063725" w:rsidRPr="00063725" w14:paraId="0E6A9934" w14:textId="77777777" w:rsidTr="00063725">
        <w:trPr>
          <w:trHeight w:val="260"/>
        </w:trPr>
        <w:tc>
          <w:tcPr>
            <w:tcW w:w="3519" w:type="dxa"/>
            <w:tcBorders>
              <w:top w:val="nil"/>
              <w:left w:val="nil"/>
              <w:bottom w:val="nil"/>
              <w:right w:val="nil"/>
            </w:tcBorders>
            <w:shd w:val="clear" w:color="auto" w:fill="auto"/>
            <w:noWrap/>
            <w:vAlign w:val="bottom"/>
            <w:hideMark/>
          </w:tcPr>
          <w:p w14:paraId="7798A49D"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Employed Residents</w:t>
            </w:r>
          </w:p>
        </w:tc>
        <w:tc>
          <w:tcPr>
            <w:tcW w:w="1047" w:type="dxa"/>
            <w:tcBorders>
              <w:top w:val="nil"/>
              <w:left w:val="nil"/>
              <w:bottom w:val="nil"/>
              <w:right w:val="nil"/>
            </w:tcBorders>
            <w:shd w:val="clear" w:color="000000" w:fill="FFFFFF"/>
            <w:noWrap/>
            <w:vAlign w:val="bottom"/>
            <w:hideMark/>
          </w:tcPr>
          <w:p w14:paraId="35F0157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342,060</w:t>
            </w:r>
          </w:p>
        </w:tc>
        <w:tc>
          <w:tcPr>
            <w:tcW w:w="1047" w:type="dxa"/>
            <w:tcBorders>
              <w:top w:val="nil"/>
              <w:left w:val="nil"/>
              <w:bottom w:val="nil"/>
              <w:right w:val="nil"/>
            </w:tcBorders>
            <w:shd w:val="clear" w:color="000000" w:fill="FFFFFF"/>
            <w:noWrap/>
            <w:vAlign w:val="bottom"/>
            <w:hideMark/>
          </w:tcPr>
          <w:p w14:paraId="56746EF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368,790</w:t>
            </w:r>
          </w:p>
        </w:tc>
        <w:tc>
          <w:tcPr>
            <w:tcW w:w="1047" w:type="dxa"/>
            <w:tcBorders>
              <w:top w:val="nil"/>
              <w:left w:val="nil"/>
              <w:bottom w:val="nil"/>
              <w:right w:val="nil"/>
            </w:tcBorders>
            <w:shd w:val="clear" w:color="000000" w:fill="FFFFFF"/>
            <w:noWrap/>
            <w:vAlign w:val="bottom"/>
            <w:hideMark/>
          </w:tcPr>
          <w:p w14:paraId="4BD0DEE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398,220</w:t>
            </w:r>
          </w:p>
        </w:tc>
        <w:tc>
          <w:tcPr>
            <w:tcW w:w="1140" w:type="dxa"/>
            <w:tcBorders>
              <w:top w:val="nil"/>
              <w:left w:val="nil"/>
              <w:bottom w:val="nil"/>
              <w:right w:val="nil"/>
            </w:tcBorders>
            <w:shd w:val="clear" w:color="000000" w:fill="FFFFFF"/>
            <w:noWrap/>
            <w:vAlign w:val="bottom"/>
            <w:hideMark/>
          </w:tcPr>
          <w:p w14:paraId="27051FF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406,310</w:t>
            </w:r>
          </w:p>
        </w:tc>
        <w:tc>
          <w:tcPr>
            <w:tcW w:w="1140" w:type="dxa"/>
            <w:tcBorders>
              <w:top w:val="nil"/>
              <w:left w:val="nil"/>
              <w:bottom w:val="nil"/>
              <w:right w:val="nil"/>
            </w:tcBorders>
            <w:shd w:val="clear" w:color="000000" w:fill="FFFFFF"/>
            <w:noWrap/>
            <w:vAlign w:val="bottom"/>
            <w:hideMark/>
          </w:tcPr>
          <w:p w14:paraId="0AA7EF7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413,740</w:t>
            </w:r>
          </w:p>
        </w:tc>
        <w:tc>
          <w:tcPr>
            <w:tcW w:w="1220" w:type="dxa"/>
            <w:tcBorders>
              <w:top w:val="nil"/>
              <w:left w:val="nil"/>
              <w:bottom w:val="nil"/>
              <w:right w:val="nil"/>
            </w:tcBorders>
            <w:shd w:val="clear" w:color="000000" w:fill="FFFFFF"/>
            <w:noWrap/>
            <w:vAlign w:val="bottom"/>
            <w:hideMark/>
          </w:tcPr>
          <w:p w14:paraId="679B876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425,830</w:t>
            </w:r>
          </w:p>
        </w:tc>
        <w:tc>
          <w:tcPr>
            <w:tcW w:w="1220" w:type="dxa"/>
            <w:tcBorders>
              <w:top w:val="nil"/>
              <w:left w:val="nil"/>
              <w:bottom w:val="nil"/>
              <w:right w:val="nil"/>
            </w:tcBorders>
            <w:shd w:val="clear" w:color="000000" w:fill="FFFFFF"/>
            <w:noWrap/>
            <w:vAlign w:val="bottom"/>
            <w:hideMark/>
          </w:tcPr>
          <w:p w14:paraId="54A6FB1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438,770</w:t>
            </w:r>
          </w:p>
        </w:tc>
        <w:tc>
          <w:tcPr>
            <w:tcW w:w="1320" w:type="dxa"/>
            <w:tcBorders>
              <w:top w:val="nil"/>
              <w:left w:val="nil"/>
              <w:bottom w:val="nil"/>
              <w:right w:val="nil"/>
            </w:tcBorders>
            <w:shd w:val="clear" w:color="auto" w:fill="auto"/>
            <w:noWrap/>
            <w:vAlign w:val="bottom"/>
            <w:hideMark/>
          </w:tcPr>
          <w:p w14:paraId="24FCB9A4"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83,770</w:t>
            </w:r>
          </w:p>
        </w:tc>
      </w:tr>
      <w:tr w:rsidR="00063725" w:rsidRPr="00063725" w14:paraId="1567B5F9" w14:textId="77777777" w:rsidTr="00063725">
        <w:trPr>
          <w:trHeight w:val="260"/>
        </w:trPr>
        <w:tc>
          <w:tcPr>
            <w:tcW w:w="3519" w:type="dxa"/>
            <w:tcBorders>
              <w:top w:val="nil"/>
              <w:left w:val="nil"/>
              <w:bottom w:val="nil"/>
              <w:right w:val="nil"/>
            </w:tcBorders>
            <w:shd w:val="clear" w:color="auto" w:fill="auto"/>
            <w:noWrap/>
            <w:vAlign w:val="bottom"/>
            <w:hideMark/>
          </w:tcPr>
          <w:p w14:paraId="2A842474"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Jobs</w:t>
            </w:r>
          </w:p>
        </w:tc>
        <w:tc>
          <w:tcPr>
            <w:tcW w:w="1047" w:type="dxa"/>
            <w:tcBorders>
              <w:top w:val="nil"/>
              <w:left w:val="nil"/>
              <w:bottom w:val="nil"/>
              <w:right w:val="nil"/>
            </w:tcBorders>
            <w:shd w:val="clear" w:color="000000" w:fill="FFFFFF"/>
            <w:noWrap/>
            <w:vAlign w:val="bottom"/>
            <w:hideMark/>
          </w:tcPr>
          <w:p w14:paraId="2A77315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345,190</w:t>
            </w:r>
          </w:p>
        </w:tc>
        <w:tc>
          <w:tcPr>
            <w:tcW w:w="1047" w:type="dxa"/>
            <w:tcBorders>
              <w:top w:val="nil"/>
              <w:left w:val="nil"/>
              <w:bottom w:val="nil"/>
              <w:right w:val="nil"/>
            </w:tcBorders>
            <w:shd w:val="clear" w:color="000000" w:fill="FFFFFF"/>
            <w:noWrap/>
            <w:vAlign w:val="bottom"/>
            <w:hideMark/>
          </w:tcPr>
          <w:p w14:paraId="39AC76C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374,940</w:t>
            </w:r>
          </w:p>
        </w:tc>
        <w:tc>
          <w:tcPr>
            <w:tcW w:w="1047" w:type="dxa"/>
            <w:tcBorders>
              <w:top w:val="nil"/>
              <w:left w:val="nil"/>
              <w:bottom w:val="nil"/>
              <w:right w:val="nil"/>
            </w:tcBorders>
            <w:shd w:val="clear" w:color="000000" w:fill="FFFFFF"/>
            <w:noWrap/>
            <w:vAlign w:val="bottom"/>
            <w:hideMark/>
          </w:tcPr>
          <w:p w14:paraId="28547AA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407,550</w:t>
            </w:r>
          </w:p>
        </w:tc>
        <w:tc>
          <w:tcPr>
            <w:tcW w:w="1140" w:type="dxa"/>
            <w:tcBorders>
              <w:top w:val="nil"/>
              <w:left w:val="nil"/>
              <w:bottom w:val="nil"/>
              <w:right w:val="nil"/>
            </w:tcBorders>
            <w:shd w:val="clear" w:color="000000" w:fill="FFFFFF"/>
            <w:noWrap/>
            <w:vAlign w:val="bottom"/>
            <w:hideMark/>
          </w:tcPr>
          <w:p w14:paraId="4BF2C09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414,240</w:t>
            </w:r>
          </w:p>
        </w:tc>
        <w:tc>
          <w:tcPr>
            <w:tcW w:w="1140" w:type="dxa"/>
            <w:tcBorders>
              <w:top w:val="nil"/>
              <w:left w:val="nil"/>
              <w:bottom w:val="nil"/>
              <w:right w:val="nil"/>
            </w:tcBorders>
            <w:shd w:val="clear" w:color="000000" w:fill="FFFFFF"/>
            <w:noWrap/>
            <w:vAlign w:val="bottom"/>
            <w:hideMark/>
          </w:tcPr>
          <w:p w14:paraId="3AD281B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421,500</w:t>
            </w:r>
          </w:p>
        </w:tc>
        <w:tc>
          <w:tcPr>
            <w:tcW w:w="1220" w:type="dxa"/>
            <w:tcBorders>
              <w:top w:val="nil"/>
              <w:left w:val="nil"/>
              <w:bottom w:val="nil"/>
              <w:right w:val="nil"/>
            </w:tcBorders>
            <w:shd w:val="clear" w:color="000000" w:fill="FFFFFF"/>
            <w:noWrap/>
            <w:vAlign w:val="bottom"/>
            <w:hideMark/>
          </w:tcPr>
          <w:p w14:paraId="38C66FA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432,980</w:t>
            </w:r>
          </w:p>
        </w:tc>
        <w:tc>
          <w:tcPr>
            <w:tcW w:w="1220" w:type="dxa"/>
            <w:tcBorders>
              <w:top w:val="nil"/>
              <w:left w:val="nil"/>
              <w:bottom w:val="nil"/>
              <w:right w:val="nil"/>
            </w:tcBorders>
            <w:shd w:val="clear" w:color="000000" w:fill="FFFFFF"/>
            <w:noWrap/>
            <w:vAlign w:val="bottom"/>
            <w:hideMark/>
          </w:tcPr>
          <w:p w14:paraId="2FB5C89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445,070</w:t>
            </w:r>
          </w:p>
        </w:tc>
        <w:tc>
          <w:tcPr>
            <w:tcW w:w="1320" w:type="dxa"/>
            <w:tcBorders>
              <w:top w:val="nil"/>
              <w:left w:val="nil"/>
              <w:bottom w:val="nil"/>
              <w:right w:val="nil"/>
            </w:tcBorders>
            <w:shd w:val="clear" w:color="auto" w:fill="auto"/>
            <w:noWrap/>
            <w:vAlign w:val="bottom"/>
            <w:hideMark/>
          </w:tcPr>
          <w:p w14:paraId="6BDCEC72"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87,790</w:t>
            </w:r>
          </w:p>
        </w:tc>
      </w:tr>
      <w:tr w:rsidR="00063725" w:rsidRPr="00063725" w14:paraId="5EB58C66" w14:textId="77777777" w:rsidTr="00063725">
        <w:trPr>
          <w:trHeight w:val="260"/>
        </w:trPr>
        <w:tc>
          <w:tcPr>
            <w:tcW w:w="3519" w:type="dxa"/>
            <w:tcBorders>
              <w:top w:val="nil"/>
              <w:left w:val="nil"/>
              <w:bottom w:val="nil"/>
              <w:right w:val="nil"/>
            </w:tcBorders>
            <w:shd w:val="clear" w:color="auto" w:fill="auto"/>
            <w:noWrap/>
            <w:vAlign w:val="bottom"/>
            <w:hideMark/>
          </w:tcPr>
          <w:p w14:paraId="46BCBBF1"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Jobs/Employed Residents</w:t>
            </w:r>
          </w:p>
        </w:tc>
        <w:tc>
          <w:tcPr>
            <w:tcW w:w="1047" w:type="dxa"/>
            <w:tcBorders>
              <w:top w:val="nil"/>
              <w:left w:val="nil"/>
              <w:bottom w:val="nil"/>
              <w:right w:val="nil"/>
            </w:tcBorders>
            <w:shd w:val="clear" w:color="auto" w:fill="auto"/>
            <w:noWrap/>
            <w:vAlign w:val="bottom"/>
            <w:hideMark/>
          </w:tcPr>
          <w:p w14:paraId="5182E60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1.01</w:t>
            </w:r>
          </w:p>
        </w:tc>
        <w:tc>
          <w:tcPr>
            <w:tcW w:w="1047" w:type="dxa"/>
            <w:tcBorders>
              <w:top w:val="nil"/>
              <w:left w:val="nil"/>
              <w:bottom w:val="nil"/>
              <w:right w:val="nil"/>
            </w:tcBorders>
            <w:shd w:val="clear" w:color="auto" w:fill="auto"/>
            <w:noWrap/>
            <w:vAlign w:val="bottom"/>
            <w:hideMark/>
          </w:tcPr>
          <w:p w14:paraId="25BEFCA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047" w:type="dxa"/>
            <w:tcBorders>
              <w:top w:val="nil"/>
              <w:left w:val="nil"/>
              <w:bottom w:val="nil"/>
              <w:right w:val="nil"/>
            </w:tcBorders>
            <w:shd w:val="clear" w:color="auto" w:fill="auto"/>
            <w:noWrap/>
            <w:vAlign w:val="bottom"/>
            <w:hideMark/>
          </w:tcPr>
          <w:p w14:paraId="2AEF33F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140" w:type="dxa"/>
            <w:tcBorders>
              <w:top w:val="nil"/>
              <w:left w:val="nil"/>
              <w:bottom w:val="nil"/>
              <w:right w:val="nil"/>
            </w:tcBorders>
            <w:shd w:val="clear" w:color="auto" w:fill="auto"/>
            <w:noWrap/>
            <w:vAlign w:val="bottom"/>
            <w:hideMark/>
          </w:tcPr>
          <w:p w14:paraId="35A84A8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140" w:type="dxa"/>
            <w:tcBorders>
              <w:top w:val="nil"/>
              <w:left w:val="nil"/>
              <w:bottom w:val="nil"/>
              <w:right w:val="nil"/>
            </w:tcBorders>
            <w:shd w:val="clear" w:color="auto" w:fill="auto"/>
            <w:noWrap/>
            <w:vAlign w:val="bottom"/>
            <w:hideMark/>
          </w:tcPr>
          <w:p w14:paraId="14406D7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220" w:type="dxa"/>
            <w:tcBorders>
              <w:top w:val="nil"/>
              <w:left w:val="nil"/>
              <w:bottom w:val="nil"/>
              <w:right w:val="nil"/>
            </w:tcBorders>
            <w:shd w:val="clear" w:color="auto" w:fill="auto"/>
            <w:noWrap/>
            <w:vAlign w:val="bottom"/>
            <w:hideMark/>
          </w:tcPr>
          <w:p w14:paraId="06B5610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220" w:type="dxa"/>
            <w:tcBorders>
              <w:top w:val="nil"/>
              <w:left w:val="nil"/>
              <w:bottom w:val="nil"/>
              <w:right w:val="nil"/>
            </w:tcBorders>
            <w:shd w:val="clear" w:color="auto" w:fill="auto"/>
            <w:noWrap/>
            <w:vAlign w:val="bottom"/>
            <w:hideMark/>
          </w:tcPr>
          <w:p w14:paraId="7759073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1.01</w:t>
            </w:r>
          </w:p>
        </w:tc>
        <w:tc>
          <w:tcPr>
            <w:tcW w:w="1320" w:type="dxa"/>
            <w:tcBorders>
              <w:top w:val="nil"/>
              <w:left w:val="nil"/>
              <w:bottom w:val="nil"/>
              <w:right w:val="nil"/>
            </w:tcBorders>
            <w:shd w:val="clear" w:color="auto" w:fill="auto"/>
            <w:noWrap/>
            <w:vAlign w:val="bottom"/>
            <w:hideMark/>
          </w:tcPr>
          <w:p w14:paraId="2D778EFF"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0.00</w:t>
            </w:r>
          </w:p>
        </w:tc>
      </w:tr>
      <w:tr w:rsidR="00063725" w:rsidRPr="00063725" w14:paraId="2175FE11" w14:textId="77777777" w:rsidTr="00063725">
        <w:trPr>
          <w:trHeight w:val="260"/>
        </w:trPr>
        <w:tc>
          <w:tcPr>
            <w:tcW w:w="3519" w:type="dxa"/>
            <w:tcBorders>
              <w:top w:val="nil"/>
              <w:left w:val="nil"/>
              <w:bottom w:val="nil"/>
              <w:right w:val="nil"/>
            </w:tcBorders>
            <w:shd w:val="clear" w:color="auto" w:fill="auto"/>
            <w:noWrap/>
            <w:vAlign w:val="bottom"/>
            <w:hideMark/>
          </w:tcPr>
          <w:p w14:paraId="75D814FF"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Percent of Bay Area Population</w:t>
            </w:r>
          </w:p>
        </w:tc>
        <w:tc>
          <w:tcPr>
            <w:tcW w:w="1047" w:type="dxa"/>
            <w:tcBorders>
              <w:top w:val="nil"/>
              <w:left w:val="nil"/>
              <w:bottom w:val="nil"/>
              <w:right w:val="nil"/>
            </w:tcBorders>
            <w:shd w:val="clear" w:color="auto" w:fill="auto"/>
            <w:noWrap/>
            <w:vAlign w:val="bottom"/>
            <w:hideMark/>
          </w:tcPr>
          <w:p w14:paraId="7DAA62B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10.0%</w:t>
            </w:r>
          </w:p>
        </w:tc>
        <w:tc>
          <w:tcPr>
            <w:tcW w:w="1047" w:type="dxa"/>
            <w:tcBorders>
              <w:top w:val="nil"/>
              <w:left w:val="nil"/>
              <w:bottom w:val="nil"/>
              <w:right w:val="nil"/>
            </w:tcBorders>
            <w:shd w:val="clear" w:color="auto" w:fill="auto"/>
            <w:noWrap/>
            <w:vAlign w:val="bottom"/>
            <w:hideMark/>
          </w:tcPr>
          <w:p w14:paraId="0C99C58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10.0%</w:t>
            </w:r>
          </w:p>
        </w:tc>
        <w:tc>
          <w:tcPr>
            <w:tcW w:w="1047" w:type="dxa"/>
            <w:tcBorders>
              <w:top w:val="nil"/>
              <w:left w:val="nil"/>
              <w:bottom w:val="nil"/>
              <w:right w:val="nil"/>
            </w:tcBorders>
            <w:shd w:val="clear" w:color="auto" w:fill="auto"/>
            <w:noWrap/>
            <w:vAlign w:val="bottom"/>
            <w:hideMark/>
          </w:tcPr>
          <w:p w14:paraId="023A69D7"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10.0%</w:t>
            </w:r>
          </w:p>
        </w:tc>
        <w:tc>
          <w:tcPr>
            <w:tcW w:w="1140" w:type="dxa"/>
            <w:tcBorders>
              <w:top w:val="nil"/>
              <w:left w:val="nil"/>
              <w:bottom w:val="nil"/>
              <w:right w:val="nil"/>
            </w:tcBorders>
            <w:shd w:val="clear" w:color="auto" w:fill="auto"/>
            <w:noWrap/>
            <w:vAlign w:val="bottom"/>
            <w:hideMark/>
          </w:tcPr>
          <w:p w14:paraId="15FB024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9.9%</w:t>
            </w:r>
          </w:p>
        </w:tc>
        <w:tc>
          <w:tcPr>
            <w:tcW w:w="1140" w:type="dxa"/>
            <w:tcBorders>
              <w:top w:val="nil"/>
              <w:left w:val="nil"/>
              <w:bottom w:val="nil"/>
              <w:right w:val="nil"/>
            </w:tcBorders>
            <w:shd w:val="clear" w:color="auto" w:fill="auto"/>
            <w:noWrap/>
            <w:vAlign w:val="bottom"/>
            <w:hideMark/>
          </w:tcPr>
          <w:p w14:paraId="5992EE81"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9.8%</w:t>
            </w:r>
          </w:p>
        </w:tc>
        <w:tc>
          <w:tcPr>
            <w:tcW w:w="1220" w:type="dxa"/>
            <w:tcBorders>
              <w:top w:val="nil"/>
              <w:left w:val="nil"/>
              <w:bottom w:val="nil"/>
              <w:right w:val="nil"/>
            </w:tcBorders>
            <w:shd w:val="clear" w:color="auto" w:fill="auto"/>
            <w:noWrap/>
            <w:vAlign w:val="bottom"/>
            <w:hideMark/>
          </w:tcPr>
          <w:p w14:paraId="74D4A8B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9.8%</w:t>
            </w:r>
          </w:p>
        </w:tc>
        <w:tc>
          <w:tcPr>
            <w:tcW w:w="1220" w:type="dxa"/>
            <w:tcBorders>
              <w:top w:val="nil"/>
              <w:left w:val="nil"/>
              <w:bottom w:val="nil"/>
              <w:right w:val="nil"/>
            </w:tcBorders>
            <w:shd w:val="clear" w:color="auto" w:fill="auto"/>
            <w:noWrap/>
            <w:vAlign w:val="bottom"/>
            <w:hideMark/>
          </w:tcPr>
          <w:p w14:paraId="1D5A981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9.7%</w:t>
            </w:r>
          </w:p>
        </w:tc>
        <w:tc>
          <w:tcPr>
            <w:tcW w:w="1320" w:type="dxa"/>
            <w:tcBorders>
              <w:top w:val="nil"/>
              <w:left w:val="nil"/>
              <w:bottom w:val="nil"/>
              <w:right w:val="nil"/>
            </w:tcBorders>
            <w:shd w:val="clear" w:color="auto" w:fill="auto"/>
            <w:noWrap/>
            <w:vAlign w:val="bottom"/>
            <w:hideMark/>
          </w:tcPr>
          <w:p w14:paraId="3789184C"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-0.3%</w:t>
            </w:r>
          </w:p>
        </w:tc>
      </w:tr>
      <w:tr w:rsidR="00063725" w:rsidRPr="00063725" w14:paraId="1B5A1BB7" w14:textId="77777777" w:rsidTr="00063725">
        <w:trPr>
          <w:trHeight w:val="260"/>
        </w:trPr>
        <w:tc>
          <w:tcPr>
            <w:tcW w:w="3519" w:type="dxa"/>
            <w:tcBorders>
              <w:top w:val="nil"/>
              <w:left w:val="nil"/>
              <w:bottom w:val="nil"/>
              <w:right w:val="nil"/>
            </w:tcBorders>
            <w:shd w:val="clear" w:color="auto" w:fill="auto"/>
            <w:noWrap/>
            <w:vAlign w:val="bottom"/>
            <w:hideMark/>
          </w:tcPr>
          <w:p w14:paraId="46A09F94"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Percent of Bay Area Jobs</w:t>
            </w:r>
          </w:p>
        </w:tc>
        <w:tc>
          <w:tcPr>
            <w:tcW w:w="1047" w:type="dxa"/>
            <w:tcBorders>
              <w:top w:val="nil"/>
              <w:left w:val="nil"/>
              <w:bottom w:val="nil"/>
              <w:right w:val="nil"/>
            </w:tcBorders>
            <w:shd w:val="clear" w:color="auto" w:fill="auto"/>
            <w:noWrap/>
            <w:vAlign w:val="bottom"/>
            <w:hideMark/>
          </w:tcPr>
          <w:p w14:paraId="1B16BC9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047" w:type="dxa"/>
            <w:tcBorders>
              <w:top w:val="nil"/>
              <w:left w:val="nil"/>
              <w:bottom w:val="nil"/>
              <w:right w:val="nil"/>
            </w:tcBorders>
            <w:shd w:val="clear" w:color="auto" w:fill="auto"/>
            <w:noWrap/>
            <w:vAlign w:val="bottom"/>
            <w:hideMark/>
          </w:tcPr>
          <w:p w14:paraId="524DE62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047" w:type="dxa"/>
            <w:tcBorders>
              <w:top w:val="nil"/>
              <w:left w:val="nil"/>
              <w:bottom w:val="nil"/>
              <w:right w:val="nil"/>
            </w:tcBorders>
            <w:shd w:val="clear" w:color="auto" w:fill="auto"/>
            <w:noWrap/>
            <w:vAlign w:val="bottom"/>
            <w:hideMark/>
          </w:tcPr>
          <w:p w14:paraId="1183B60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10.2%</w:t>
            </w:r>
          </w:p>
        </w:tc>
        <w:tc>
          <w:tcPr>
            <w:tcW w:w="1140" w:type="dxa"/>
            <w:tcBorders>
              <w:top w:val="nil"/>
              <w:left w:val="nil"/>
              <w:bottom w:val="nil"/>
              <w:right w:val="nil"/>
            </w:tcBorders>
            <w:shd w:val="clear" w:color="auto" w:fill="auto"/>
            <w:noWrap/>
            <w:vAlign w:val="bottom"/>
            <w:hideMark/>
          </w:tcPr>
          <w:p w14:paraId="04EAB2B7"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10.5%</w:t>
            </w:r>
          </w:p>
        </w:tc>
        <w:tc>
          <w:tcPr>
            <w:tcW w:w="1140" w:type="dxa"/>
            <w:tcBorders>
              <w:top w:val="nil"/>
              <w:left w:val="nil"/>
              <w:bottom w:val="nil"/>
              <w:right w:val="nil"/>
            </w:tcBorders>
            <w:shd w:val="clear" w:color="auto" w:fill="auto"/>
            <w:noWrap/>
            <w:vAlign w:val="bottom"/>
            <w:hideMark/>
          </w:tcPr>
          <w:p w14:paraId="3AD6C23D"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10.0%</w:t>
            </w:r>
          </w:p>
        </w:tc>
        <w:tc>
          <w:tcPr>
            <w:tcW w:w="1220" w:type="dxa"/>
            <w:tcBorders>
              <w:top w:val="nil"/>
              <w:left w:val="nil"/>
              <w:bottom w:val="nil"/>
              <w:right w:val="nil"/>
            </w:tcBorders>
            <w:shd w:val="clear" w:color="auto" w:fill="auto"/>
            <w:noWrap/>
            <w:vAlign w:val="bottom"/>
            <w:hideMark/>
          </w:tcPr>
          <w:p w14:paraId="5BE67AF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10.0%</w:t>
            </w:r>
          </w:p>
        </w:tc>
        <w:tc>
          <w:tcPr>
            <w:tcW w:w="1220" w:type="dxa"/>
            <w:tcBorders>
              <w:top w:val="nil"/>
              <w:left w:val="nil"/>
              <w:bottom w:val="nil"/>
              <w:right w:val="nil"/>
            </w:tcBorders>
            <w:shd w:val="clear" w:color="auto" w:fill="auto"/>
            <w:noWrap/>
            <w:vAlign w:val="bottom"/>
            <w:hideMark/>
          </w:tcPr>
          <w:p w14:paraId="3409648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9.9%</w:t>
            </w:r>
          </w:p>
        </w:tc>
        <w:tc>
          <w:tcPr>
            <w:tcW w:w="1320" w:type="dxa"/>
            <w:tcBorders>
              <w:top w:val="nil"/>
              <w:left w:val="nil"/>
              <w:bottom w:val="nil"/>
              <w:right w:val="nil"/>
            </w:tcBorders>
            <w:shd w:val="clear" w:color="auto" w:fill="auto"/>
            <w:noWrap/>
            <w:vAlign w:val="bottom"/>
            <w:hideMark/>
          </w:tcPr>
          <w:p w14:paraId="67615080"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-0.3%</w:t>
            </w:r>
          </w:p>
        </w:tc>
      </w:tr>
      <w:tr w:rsidR="00063725" w:rsidRPr="00063725" w14:paraId="494C6075" w14:textId="77777777" w:rsidTr="00063725">
        <w:trPr>
          <w:trHeight w:val="140"/>
        </w:trPr>
        <w:tc>
          <w:tcPr>
            <w:tcW w:w="3519" w:type="dxa"/>
            <w:tcBorders>
              <w:top w:val="nil"/>
              <w:left w:val="nil"/>
              <w:bottom w:val="nil"/>
              <w:right w:val="nil"/>
            </w:tcBorders>
            <w:shd w:val="clear" w:color="auto" w:fill="auto"/>
            <w:noWrap/>
            <w:vAlign w:val="bottom"/>
            <w:hideMark/>
          </w:tcPr>
          <w:p w14:paraId="6AE5ED75" w14:textId="77777777" w:rsidR="00063725" w:rsidRPr="00063725" w:rsidRDefault="00063725" w:rsidP="00063725">
            <w:pPr>
              <w:spacing w:line="240" w:lineRule="auto"/>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11D38144"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7A12C692"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3D58CA12"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24CF846"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2DDD3FD7"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BE6ED9B"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05360644" w14:textId="77777777" w:rsidR="00063725" w:rsidRPr="00063725" w:rsidRDefault="00063725" w:rsidP="00063725">
            <w:pPr>
              <w:spacing w:line="240" w:lineRule="auto"/>
              <w:jc w:val="right"/>
              <w:rPr>
                <w:rFonts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14:paraId="049AFF9A" w14:textId="77777777" w:rsidR="00063725" w:rsidRPr="00063725" w:rsidRDefault="00063725" w:rsidP="00063725">
            <w:pPr>
              <w:spacing w:line="240" w:lineRule="auto"/>
              <w:jc w:val="right"/>
              <w:rPr>
                <w:rFonts w:eastAsia="Times New Roman" w:cs="Times New Roman"/>
                <w:b/>
                <w:bCs/>
                <w:sz w:val="20"/>
                <w:szCs w:val="20"/>
              </w:rPr>
            </w:pPr>
          </w:p>
        </w:tc>
      </w:tr>
      <w:tr w:rsidR="00063725" w:rsidRPr="00063725" w14:paraId="26113055" w14:textId="77777777" w:rsidTr="00063725">
        <w:trPr>
          <w:trHeight w:val="260"/>
        </w:trPr>
        <w:tc>
          <w:tcPr>
            <w:tcW w:w="4566" w:type="dxa"/>
            <w:gridSpan w:val="2"/>
            <w:tcBorders>
              <w:top w:val="nil"/>
              <w:left w:val="nil"/>
              <w:bottom w:val="nil"/>
              <w:right w:val="nil"/>
            </w:tcBorders>
            <w:shd w:val="clear" w:color="auto" w:fill="auto"/>
            <w:noWrap/>
            <w:vAlign w:val="bottom"/>
            <w:hideMark/>
          </w:tcPr>
          <w:p w14:paraId="121D341C" w14:textId="77777777" w:rsidR="00063725" w:rsidRPr="00063725" w:rsidRDefault="00063725" w:rsidP="00063725">
            <w:pPr>
              <w:spacing w:line="240" w:lineRule="auto"/>
              <w:rPr>
                <w:rFonts w:eastAsia="Times New Roman" w:cs="Times New Roman"/>
                <w:b/>
                <w:bCs/>
                <w:sz w:val="20"/>
                <w:szCs w:val="20"/>
              </w:rPr>
            </w:pPr>
            <w:r w:rsidRPr="00063725">
              <w:rPr>
                <w:rFonts w:eastAsia="Times New Roman" w:cs="Times New Roman"/>
                <w:b/>
                <w:bCs/>
                <w:sz w:val="20"/>
                <w:szCs w:val="20"/>
              </w:rPr>
              <w:t>Hillsborough Planning Area (Town Limits)</w:t>
            </w:r>
          </w:p>
        </w:tc>
        <w:tc>
          <w:tcPr>
            <w:tcW w:w="1047" w:type="dxa"/>
            <w:tcBorders>
              <w:top w:val="nil"/>
              <w:left w:val="nil"/>
              <w:bottom w:val="nil"/>
              <w:right w:val="nil"/>
            </w:tcBorders>
            <w:shd w:val="clear" w:color="auto" w:fill="auto"/>
            <w:noWrap/>
            <w:vAlign w:val="bottom"/>
            <w:hideMark/>
          </w:tcPr>
          <w:p w14:paraId="0564D437"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082E04BF"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6878C0CB"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7B89086E"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3155840"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74E7657D" w14:textId="77777777" w:rsidR="00063725" w:rsidRPr="00063725" w:rsidRDefault="00063725" w:rsidP="00063725">
            <w:pPr>
              <w:spacing w:line="240" w:lineRule="auto"/>
              <w:jc w:val="right"/>
              <w:rPr>
                <w:rFonts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14:paraId="6C2D6F3C" w14:textId="77777777" w:rsidR="00063725" w:rsidRPr="00063725" w:rsidRDefault="00063725" w:rsidP="00063725">
            <w:pPr>
              <w:spacing w:line="240" w:lineRule="auto"/>
              <w:jc w:val="right"/>
              <w:rPr>
                <w:rFonts w:eastAsia="Times New Roman" w:cs="Times New Roman"/>
                <w:b/>
                <w:bCs/>
                <w:sz w:val="20"/>
                <w:szCs w:val="20"/>
              </w:rPr>
            </w:pPr>
          </w:p>
        </w:tc>
      </w:tr>
      <w:tr w:rsidR="00063725" w:rsidRPr="00063725" w14:paraId="78282A7A" w14:textId="77777777" w:rsidTr="00063725">
        <w:trPr>
          <w:trHeight w:val="260"/>
        </w:trPr>
        <w:tc>
          <w:tcPr>
            <w:tcW w:w="3519" w:type="dxa"/>
            <w:tcBorders>
              <w:top w:val="nil"/>
              <w:left w:val="nil"/>
              <w:bottom w:val="nil"/>
              <w:right w:val="nil"/>
            </w:tcBorders>
            <w:shd w:val="clear" w:color="auto" w:fill="auto"/>
            <w:noWrap/>
            <w:vAlign w:val="bottom"/>
            <w:hideMark/>
          </w:tcPr>
          <w:p w14:paraId="7C77F721"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Population</w:t>
            </w:r>
          </w:p>
        </w:tc>
        <w:tc>
          <w:tcPr>
            <w:tcW w:w="1047" w:type="dxa"/>
            <w:tcBorders>
              <w:top w:val="nil"/>
              <w:left w:val="nil"/>
              <w:bottom w:val="nil"/>
              <w:right w:val="nil"/>
            </w:tcBorders>
            <w:shd w:val="clear" w:color="000000" w:fill="FFFFFF"/>
            <w:noWrap/>
            <w:vAlign w:val="bottom"/>
            <w:hideMark/>
          </w:tcPr>
          <w:p w14:paraId="2150AD6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10,825</w:t>
            </w:r>
          </w:p>
        </w:tc>
        <w:tc>
          <w:tcPr>
            <w:tcW w:w="1047" w:type="dxa"/>
            <w:tcBorders>
              <w:top w:val="nil"/>
              <w:left w:val="nil"/>
              <w:bottom w:val="nil"/>
              <w:right w:val="nil"/>
            </w:tcBorders>
            <w:shd w:val="clear" w:color="000000" w:fill="FFFFFF"/>
            <w:noWrap/>
            <w:vAlign w:val="bottom"/>
            <w:hideMark/>
          </w:tcPr>
          <w:p w14:paraId="2F19A23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11,000</w:t>
            </w:r>
          </w:p>
        </w:tc>
        <w:tc>
          <w:tcPr>
            <w:tcW w:w="1047" w:type="dxa"/>
            <w:tcBorders>
              <w:top w:val="nil"/>
              <w:left w:val="nil"/>
              <w:bottom w:val="nil"/>
              <w:right w:val="nil"/>
            </w:tcBorders>
            <w:shd w:val="clear" w:color="000000" w:fill="FFFFFF"/>
            <w:noWrap/>
            <w:vAlign w:val="bottom"/>
            <w:hideMark/>
          </w:tcPr>
          <w:p w14:paraId="0571B2C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11,200</w:t>
            </w:r>
          </w:p>
        </w:tc>
        <w:tc>
          <w:tcPr>
            <w:tcW w:w="1140" w:type="dxa"/>
            <w:tcBorders>
              <w:top w:val="nil"/>
              <w:left w:val="nil"/>
              <w:bottom w:val="nil"/>
              <w:right w:val="nil"/>
            </w:tcBorders>
            <w:shd w:val="clear" w:color="000000" w:fill="FFFFFF"/>
            <w:noWrap/>
            <w:vAlign w:val="bottom"/>
            <w:hideMark/>
          </w:tcPr>
          <w:p w14:paraId="75E3A9F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11,400</w:t>
            </w:r>
          </w:p>
        </w:tc>
        <w:tc>
          <w:tcPr>
            <w:tcW w:w="1140" w:type="dxa"/>
            <w:tcBorders>
              <w:top w:val="nil"/>
              <w:left w:val="nil"/>
              <w:bottom w:val="nil"/>
              <w:right w:val="nil"/>
            </w:tcBorders>
            <w:shd w:val="clear" w:color="000000" w:fill="FFFFFF"/>
            <w:noWrap/>
            <w:vAlign w:val="bottom"/>
            <w:hideMark/>
          </w:tcPr>
          <w:p w14:paraId="39FB9137"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11,600</w:t>
            </w:r>
          </w:p>
        </w:tc>
        <w:tc>
          <w:tcPr>
            <w:tcW w:w="1220" w:type="dxa"/>
            <w:tcBorders>
              <w:top w:val="nil"/>
              <w:left w:val="nil"/>
              <w:bottom w:val="nil"/>
              <w:right w:val="nil"/>
            </w:tcBorders>
            <w:shd w:val="clear" w:color="000000" w:fill="FFFFFF"/>
            <w:noWrap/>
            <w:vAlign w:val="bottom"/>
            <w:hideMark/>
          </w:tcPr>
          <w:p w14:paraId="02FEBED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11,900</w:t>
            </w:r>
          </w:p>
        </w:tc>
        <w:tc>
          <w:tcPr>
            <w:tcW w:w="1220" w:type="dxa"/>
            <w:tcBorders>
              <w:top w:val="nil"/>
              <w:left w:val="nil"/>
              <w:bottom w:val="nil"/>
              <w:right w:val="nil"/>
            </w:tcBorders>
            <w:shd w:val="clear" w:color="000000" w:fill="FFFFFF"/>
            <w:noWrap/>
            <w:vAlign w:val="bottom"/>
            <w:hideMark/>
          </w:tcPr>
          <w:p w14:paraId="01EB885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12,100</w:t>
            </w:r>
          </w:p>
        </w:tc>
        <w:tc>
          <w:tcPr>
            <w:tcW w:w="1320" w:type="dxa"/>
            <w:tcBorders>
              <w:top w:val="nil"/>
              <w:left w:val="nil"/>
              <w:bottom w:val="nil"/>
              <w:right w:val="nil"/>
            </w:tcBorders>
            <w:shd w:val="clear" w:color="auto" w:fill="auto"/>
            <w:noWrap/>
            <w:vAlign w:val="bottom"/>
            <w:hideMark/>
          </w:tcPr>
          <w:p w14:paraId="43D90882"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1,075</w:t>
            </w:r>
          </w:p>
        </w:tc>
      </w:tr>
      <w:tr w:rsidR="00063725" w:rsidRPr="00063725" w14:paraId="3EBEA4E5" w14:textId="77777777" w:rsidTr="00063725">
        <w:trPr>
          <w:trHeight w:val="260"/>
        </w:trPr>
        <w:tc>
          <w:tcPr>
            <w:tcW w:w="3519" w:type="dxa"/>
            <w:tcBorders>
              <w:top w:val="nil"/>
              <w:left w:val="nil"/>
              <w:bottom w:val="nil"/>
              <w:right w:val="nil"/>
            </w:tcBorders>
            <w:shd w:val="clear" w:color="auto" w:fill="auto"/>
            <w:noWrap/>
            <w:vAlign w:val="bottom"/>
            <w:hideMark/>
          </w:tcPr>
          <w:p w14:paraId="37F278EA"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Households</w:t>
            </w:r>
          </w:p>
        </w:tc>
        <w:tc>
          <w:tcPr>
            <w:tcW w:w="1047" w:type="dxa"/>
            <w:tcBorders>
              <w:top w:val="nil"/>
              <w:left w:val="nil"/>
              <w:bottom w:val="nil"/>
              <w:right w:val="nil"/>
            </w:tcBorders>
            <w:shd w:val="clear" w:color="000000" w:fill="FFFFFF"/>
            <w:noWrap/>
            <w:vAlign w:val="bottom"/>
            <w:hideMark/>
          </w:tcPr>
          <w:p w14:paraId="6C1586B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3,693</w:t>
            </w:r>
          </w:p>
        </w:tc>
        <w:tc>
          <w:tcPr>
            <w:tcW w:w="1047" w:type="dxa"/>
            <w:tcBorders>
              <w:top w:val="nil"/>
              <w:left w:val="nil"/>
              <w:bottom w:val="nil"/>
              <w:right w:val="nil"/>
            </w:tcBorders>
            <w:shd w:val="clear" w:color="000000" w:fill="FFFFFF"/>
            <w:noWrap/>
            <w:vAlign w:val="bottom"/>
            <w:hideMark/>
          </w:tcPr>
          <w:p w14:paraId="10DF09C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3,750</w:t>
            </w:r>
          </w:p>
        </w:tc>
        <w:tc>
          <w:tcPr>
            <w:tcW w:w="1047" w:type="dxa"/>
            <w:tcBorders>
              <w:top w:val="nil"/>
              <w:left w:val="nil"/>
              <w:bottom w:val="nil"/>
              <w:right w:val="nil"/>
            </w:tcBorders>
            <w:shd w:val="clear" w:color="000000" w:fill="FFFFFF"/>
            <w:noWrap/>
            <w:vAlign w:val="bottom"/>
            <w:hideMark/>
          </w:tcPr>
          <w:p w14:paraId="578700B7"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3,800</w:t>
            </w:r>
          </w:p>
        </w:tc>
        <w:tc>
          <w:tcPr>
            <w:tcW w:w="1140" w:type="dxa"/>
            <w:tcBorders>
              <w:top w:val="nil"/>
              <w:left w:val="nil"/>
              <w:bottom w:val="nil"/>
              <w:right w:val="nil"/>
            </w:tcBorders>
            <w:shd w:val="clear" w:color="000000" w:fill="FFFFFF"/>
            <w:noWrap/>
            <w:vAlign w:val="bottom"/>
            <w:hideMark/>
          </w:tcPr>
          <w:p w14:paraId="71335C1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3,850</w:t>
            </w:r>
          </w:p>
        </w:tc>
        <w:tc>
          <w:tcPr>
            <w:tcW w:w="1140" w:type="dxa"/>
            <w:tcBorders>
              <w:top w:val="nil"/>
              <w:left w:val="nil"/>
              <w:bottom w:val="nil"/>
              <w:right w:val="nil"/>
            </w:tcBorders>
            <w:shd w:val="clear" w:color="000000" w:fill="FFFFFF"/>
            <w:noWrap/>
            <w:vAlign w:val="bottom"/>
            <w:hideMark/>
          </w:tcPr>
          <w:p w14:paraId="5A6203D3"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3,900</w:t>
            </w:r>
          </w:p>
        </w:tc>
        <w:tc>
          <w:tcPr>
            <w:tcW w:w="1220" w:type="dxa"/>
            <w:tcBorders>
              <w:top w:val="nil"/>
              <w:left w:val="nil"/>
              <w:bottom w:val="nil"/>
              <w:right w:val="nil"/>
            </w:tcBorders>
            <w:shd w:val="clear" w:color="000000" w:fill="FFFFFF"/>
            <w:noWrap/>
            <w:vAlign w:val="bottom"/>
            <w:hideMark/>
          </w:tcPr>
          <w:p w14:paraId="7D39AB83"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3,960</w:t>
            </w:r>
          </w:p>
        </w:tc>
        <w:tc>
          <w:tcPr>
            <w:tcW w:w="1220" w:type="dxa"/>
            <w:tcBorders>
              <w:top w:val="nil"/>
              <w:left w:val="nil"/>
              <w:bottom w:val="nil"/>
              <w:right w:val="nil"/>
            </w:tcBorders>
            <w:shd w:val="clear" w:color="000000" w:fill="FFFFFF"/>
            <w:noWrap/>
            <w:vAlign w:val="bottom"/>
            <w:hideMark/>
          </w:tcPr>
          <w:p w14:paraId="2875B61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4,010</w:t>
            </w:r>
          </w:p>
        </w:tc>
        <w:tc>
          <w:tcPr>
            <w:tcW w:w="1320" w:type="dxa"/>
            <w:tcBorders>
              <w:top w:val="nil"/>
              <w:left w:val="nil"/>
              <w:bottom w:val="nil"/>
              <w:right w:val="nil"/>
            </w:tcBorders>
            <w:shd w:val="clear" w:color="auto" w:fill="auto"/>
            <w:noWrap/>
            <w:vAlign w:val="bottom"/>
            <w:hideMark/>
          </w:tcPr>
          <w:p w14:paraId="46D6EFE9"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267</w:t>
            </w:r>
          </w:p>
        </w:tc>
      </w:tr>
      <w:tr w:rsidR="00063725" w:rsidRPr="00063725" w14:paraId="1BDB0A2F" w14:textId="77777777" w:rsidTr="00063725">
        <w:trPr>
          <w:trHeight w:val="260"/>
        </w:trPr>
        <w:tc>
          <w:tcPr>
            <w:tcW w:w="3519" w:type="dxa"/>
            <w:tcBorders>
              <w:top w:val="nil"/>
              <w:left w:val="nil"/>
              <w:bottom w:val="nil"/>
              <w:right w:val="nil"/>
            </w:tcBorders>
            <w:shd w:val="clear" w:color="auto" w:fill="auto"/>
            <w:noWrap/>
            <w:vAlign w:val="bottom"/>
            <w:hideMark/>
          </w:tcPr>
          <w:p w14:paraId="32C8CA92"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Persons Per Household</w:t>
            </w:r>
          </w:p>
        </w:tc>
        <w:tc>
          <w:tcPr>
            <w:tcW w:w="1047" w:type="dxa"/>
            <w:tcBorders>
              <w:top w:val="nil"/>
              <w:left w:val="nil"/>
              <w:bottom w:val="nil"/>
              <w:right w:val="nil"/>
            </w:tcBorders>
            <w:shd w:val="clear" w:color="000000" w:fill="FFFFFF"/>
            <w:noWrap/>
            <w:vAlign w:val="bottom"/>
            <w:hideMark/>
          </w:tcPr>
          <w:p w14:paraId="5C1013A9"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2.93</w:t>
            </w:r>
          </w:p>
        </w:tc>
        <w:tc>
          <w:tcPr>
            <w:tcW w:w="1047" w:type="dxa"/>
            <w:tcBorders>
              <w:top w:val="nil"/>
              <w:left w:val="nil"/>
              <w:bottom w:val="nil"/>
              <w:right w:val="nil"/>
            </w:tcBorders>
            <w:shd w:val="clear" w:color="000000" w:fill="FFFFFF"/>
            <w:noWrap/>
            <w:vAlign w:val="bottom"/>
            <w:hideMark/>
          </w:tcPr>
          <w:p w14:paraId="6FCF2551"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2.93</w:t>
            </w:r>
          </w:p>
        </w:tc>
        <w:tc>
          <w:tcPr>
            <w:tcW w:w="1047" w:type="dxa"/>
            <w:tcBorders>
              <w:top w:val="nil"/>
              <w:left w:val="nil"/>
              <w:bottom w:val="nil"/>
              <w:right w:val="nil"/>
            </w:tcBorders>
            <w:shd w:val="clear" w:color="000000" w:fill="FFFFFF"/>
            <w:noWrap/>
            <w:vAlign w:val="bottom"/>
            <w:hideMark/>
          </w:tcPr>
          <w:p w14:paraId="78D775F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2.95</w:t>
            </w:r>
          </w:p>
        </w:tc>
        <w:tc>
          <w:tcPr>
            <w:tcW w:w="1140" w:type="dxa"/>
            <w:tcBorders>
              <w:top w:val="nil"/>
              <w:left w:val="nil"/>
              <w:bottom w:val="nil"/>
              <w:right w:val="nil"/>
            </w:tcBorders>
            <w:shd w:val="clear" w:color="000000" w:fill="FFFFFF"/>
            <w:noWrap/>
            <w:vAlign w:val="bottom"/>
            <w:hideMark/>
          </w:tcPr>
          <w:p w14:paraId="7CD60B33"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2.96</w:t>
            </w:r>
          </w:p>
        </w:tc>
        <w:tc>
          <w:tcPr>
            <w:tcW w:w="1140" w:type="dxa"/>
            <w:tcBorders>
              <w:top w:val="nil"/>
              <w:left w:val="nil"/>
              <w:bottom w:val="nil"/>
              <w:right w:val="nil"/>
            </w:tcBorders>
            <w:shd w:val="clear" w:color="000000" w:fill="FFFFFF"/>
            <w:noWrap/>
            <w:vAlign w:val="bottom"/>
            <w:hideMark/>
          </w:tcPr>
          <w:p w14:paraId="3A78AED2"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2.97</w:t>
            </w:r>
          </w:p>
        </w:tc>
        <w:tc>
          <w:tcPr>
            <w:tcW w:w="1220" w:type="dxa"/>
            <w:tcBorders>
              <w:top w:val="nil"/>
              <w:left w:val="nil"/>
              <w:bottom w:val="nil"/>
              <w:right w:val="nil"/>
            </w:tcBorders>
            <w:shd w:val="clear" w:color="000000" w:fill="FFFFFF"/>
            <w:noWrap/>
            <w:vAlign w:val="bottom"/>
            <w:hideMark/>
          </w:tcPr>
          <w:p w14:paraId="42D77B8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3.01</w:t>
            </w:r>
          </w:p>
        </w:tc>
        <w:tc>
          <w:tcPr>
            <w:tcW w:w="1220" w:type="dxa"/>
            <w:tcBorders>
              <w:top w:val="nil"/>
              <w:left w:val="nil"/>
              <w:bottom w:val="nil"/>
              <w:right w:val="nil"/>
            </w:tcBorders>
            <w:shd w:val="clear" w:color="000000" w:fill="FFFFFF"/>
            <w:noWrap/>
            <w:vAlign w:val="bottom"/>
            <w:hideMark/>
          </w:tcPr>
          <w:p w14:paraId="5FAB4163"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3.02</w:t>
            </w:r>
          </w:p>
        </w:tc>
        <w:tc>
          <w:tcPr>
            <w:tcW w:w="1320" w:type="dxa"/>
            <w:tcBorders>
              <w:top w:val="nil"/>
              <w:left w:val="nil"/>
              <w:bottom w:val="nil"/>
              <w:right w:val="nil"/>
            </w:tcBorders>
            <w:shd w:val="clear" w:color="auto" w:fill="auto"/>
            <w:noWrap/>
            <w:vAlign w:val="bottom"/>
            <w:hideMark/>
          </w:tcPr>
          <w:p w14:paraId="47F84E27"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0.07</w:t>
            </w:r>
          </w:p>
        </w:tc>
      </w:tr>
      <w:tr w:rsidR="00063725" w:rsidRPr="00063725" w14:paraId="29B622C6" w14:textId="77777777" w:rsidTr="00063725">
        <w:trPr>
          <w:trHeight w:val="260"/>
        </w:trPr>
        <w:tc>
          <w:tcPr>
            <w:tcW w:w="3519" w:type="dxa"/>
            <w:tcBorders>
              <w:top w:val="nil"/>
              <w:left w:val="nil"/>
              <w:bottom w:val="nil"/>
              <w:right w:val="nil"/>
            </w:tcBorders>
            <w:shd w:val="clear" w:color="auto" w:fill="auto"/>
            <w:noWrap/>
            <w:vAlign w:val="bottom"/>
            <w:hideMark/>
          </w:tcPr>
          <w:p w14:paraId="3D2262A6"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Employed Residents</w:t>
            </w:r>
          </w:p>
        </w:tc>
        <w:tc>
          <w:tcPr>
            <w:tcW w:w="1047" w:type="dxa"/>
            <w:tcBorders>
              <w:top w:val="nil"/>
              <w:left w:val="nil"/>
              <w:bottom w:val="nil"/>
              <w:right w:val="nil"/>
            </w:tcBorders>
            <w:shd w:val="clear" w:color="000000" w:fill="FFFFFF"/>
            <w:noWrap/>
            <w:vAlign w:val="bottom"/>
            <w:hideMark/>
          </w:tcPr>
          <w:p w14:paraId="6B2F4F4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4,020</w:t>
            </w:r>
          </w:p>
        </w:tc>
        <w:tc>
          <w:tcPr>
            <w:tcW w:w="1047" w:type="dxa"/>
            <w:tcBorders>
              <w:top w:val="nil"/>
              <w:left w:val="nil"/>
              <w:bottom w:val="nil"/>
              <w:right w:val="nil"/>
            </w:tcBorders>
            <w:shd w:val="clear" w:color="000000" w:fill="FFFFFF"/>
            <w:noWrap/>
            <w:vAlign w:val="bottom"/>
            <w:hideMark/>
          </w:tcPr>
          <w:p w14:paraId="1101098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4,240</w:t>
            </w:r>
          </w:p>
        </w:tc>
        <w:tc>
          <w:tcPr>
            <w:tcW w:w="1047" w:type="dxa"/>
            <w:tcBorders>
              <w:top w:val="nil"/>
              <w:left w:val="nil"/>
              <w:bottom w:val="nil"/>
              <w:right w:val="nil"/>
            </w:tcBorders>
            <w:shd w:val="clear" w:color="000000" w:fill="FFFFFF"/>
            <w:noWrap/>
            <w:vAlign w:val="bottom"/>
            <w:hideMark/>
          </w:tcPr>
          <w:p w14:paraId="6FD70C1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4,480</w:t>
            </w:r>
          </w:p>
        </w:tc>
        <w:tc>
          <w:tcPr>
            <w:tcW w:w="1140" w:type="dxa"/>
            <w:tcBorders>
              <w:top w:val="nil"/>
              <w:left w:val="nil"/>
              <w:bottom w:val="nil"/>
              <w:right w:val="nil"/>
            </w:tcBorders>
            <w:shd w:val="clear" w:color="000000" w:fill="FFFFFF"/>
            <w:noWrap/>
            <w:vAlign w:val="bottom"/>
            <w:hideMark/>
          </w:tcPr>
          <w:p w14:paraId="27F84B0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4,470</w:t>
            </w:r>
          </w:p>
        </w:tc>
        <w:tc>
          <w:tcPr>
            <w:tcW w:w="1140" w:type="dxa"/>
            <w:tcBorders>
              <w:top w:val="nil"/>
              <w:left w:val="nil"/>
              <w:bottom w:val="nil"/>
              <w:right w:val="nil"/>
            </w:tcBorders>
            <w:shd w:val="clear" w:color="000000" w:fill="FFFFFF"/>
            <w:noWrap/>
            <w:vAlign w:val="bottom"/>
            <w:hideMark/>
          </w:tcPr>
          <w:p w14:paraId="7B629ECF"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4,470</w:t>
            </w:r>
          </w:p>
        </w:tc>
        <w:tc>
          <w:tcPr>
            <w:tcW w:w="1220" w:type="dxa"/>
            <w:tcBorders>
              <w:top w:val="nil"/>
              <w:left w:val="nil"/>
              <w:bottom w:val="nil"/>
              <w:right w:val="nil"/>
            </w:tcBorders>
            <w:shd w:val="clear" w:color="000000" w:fill="FFFFFF"/>
            <w:noWrap/>
            <w:vAlign w:val="bottom"/>
            <w:hideMark/>
          </w:tcPr>
          <w:p w14:paraId="11735A8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4,530</w:t>
            </w:r>
          </w:p>
        </w:tc>
        <w:tc>
          <w:tcPr>
            <w:tcW w:w="1220" w:type="dxa"/>
            <w:tcBorders>
              <w:top w:val="nil"/>
              <w:left w:val="nil"/>
              <w:bottom w:val="nil"/>
              <w:right w:val="nil"/>
            </w:tcBorders>
            <w:shd w:val="clear" w:color="000000" w:fill="FFFFFF"/>
            <w:noWrap/>
            <w:vAlign w:val="bottom"/>
            <w:hideMark/>
          </w:tcPr>
          <w:p w14:paraId="11655D57"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4,590</w:t>
            </w:r>
          </w:p>
        </w:tc>
        <w:tc>
          <w:tcPr>
            <w:tcW w:w="1320" w:type="dxa"/>
            <w:tcBorders>
              <w:top w:val="nil"/>
              <w:left w:val="nil"/>
              <w:bottom w:val="nil"/>
              <w:right w:val="nil"/>
            </w:tcBorders>
            <w:shd w:val="clear" w:color="auto" w:fill="auto"/>
            <w:noWrap/>
            <w:vAlign w:val="bottom"/>
            <w:hideMark/>
          </w:tcPr>
          <w:p w14:paraId="78BA9A15"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510</w:t>
            </w:r>
          </w:p>
        </w:tc>
      </w:tr>
      <w:tr w:rsidR="00063725" w:rsidRPr="00063725" w14:paraId="398ECF93" w14:textId="77777777" w:rsidTr="00063725">
        <w:trPr>
          <w:trHeight w:val="260"/>
        </w:trPr>
        <w:tc>
          <w:tcPr>
            <w:tcW w:w="3519" w:type="dxa"/>
            <w:tcBorders>
              <w:top w:val="nil"/>
              <w:left w:val="nil"/>
              <w:bottom w:val="nil"/>
              <w:right w:val="nil"/>
            </w:tcBorders>
            <w:shd w:val="clear" w:color="auto" w:fill="auto"/>
            <w:noWrap/>
            <w:vAlign w:val="bottom"/>
            <w:hideMark/>
          </w:tcPr>
          <w:p w14:paraId="4B60C53E"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Jobs</w:t>
            </w:r>
          </w:p>
        </w:tc>
        <w:tc>
          <w:tcPr>
            <w:tcW w:w="1047" w:type="dxa"/>
            <w:tcBorders>
              <w:top w:val="nil"/>
              <w:left w:val="nil"/>
              <w:bottom w:val="nil"/>
              <w:right w:val="nil"/>
            </w:tcBorders>
            <w:shd w:val="clear" w:color="000000" w:fill="FFFFFF"/>
            <w:noWrap/>
            <w:vAlign w:val="bottom"/>
            <w:hideMark/>
          </w:tcPr>
          <w:p w14:paraId="5A7BC80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1,850</w:t>
            </w:r>
          </w:p>
        </w:tc>
        <w:tc>
          <w:tcPr>
            <w:tcW w:w="1047" w:type="dxa"/>
            <w:tcBorders>
              <w:top w:val="nil"/>
              <w:left w:val="nil"/>
              <w:bottom w:val="nil"/>
              <w:right w:val="nil"/>
            </w:tcBorders>
            <w:shd w:val="clear" w:color="000000" w:fill="FFFFFF"/>
            <w:noWrap/>
            <w:vAlign w:val="bottom"/>
            <w:hideMark/>
          </w:tcPr>
          <w:p w14:paraId="59B54241"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1,950</w:t>
            </w:r>
          </w:p>
        </w:tc>
        <w:tc>
          <w:tcPr>
            <w:tcW w:w="1047" w:type="dxa"/>
            <w:tcBorders>
              <w:top w:val="nil"/>
              <w:left w:val="nil"/>
              <w:bottom w:val="nil"/>
              <w:right w:val="nil"/>
            </w:tcBorders>
            <w:shd w:val="clear" w:color="000000" w:fill="FFFFFF"/>
            <w:noWrap/>
            <w:vAlign w:val="bottom"/>
            <w:hideMark/>
          </w:tcPr>
          <w:p w14:paraId="19BB9AA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2,040</w:t>
            </w:r>
          </w:p>
        </w:tc>
        <w:tc>
          <w:tcPr>
            <w:tcW w:w="1140" w:type="dxa"/>
            <w:tcBorders>
              <w:top w:val="nil"/>
              <w:left w:val="nil"/>
              <w:bottom w:val="nil"/>
              <w:right w:val="nil"/>
            </w:tcBorders>
            <w:shd w:val="clear" w:color="000000" w:fill="FFFFFF"/>
            <w:noWrap/>
            <w:vAlign w:val="bottom"/>
            <w:hideMark/>
          </w:tcPr>
          <w:p w14:paraId="4D2970E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2,080</w:t>
            </w:r>
          </w:p>
        </w:tc>
        <w:tc>
          <w:tcPr>
            <w:tcW w:w="1140" w:type="dxa"/>
            <w:tcBorders>
              <w:top w:val="nil"/>
              <w:left w:val="nil"/>
              <w:bottom w:val="nil"/>
              <w:right w:val="nil"/>
            </w:tcBorders>
            <w:shd w:val="clear" w:color="000000" w:fill="FFFFFF"/>
            <w:noWrap/>
            <w:vAlign w:val="bottom"/>
            <w:hideMark/>
          </w:tcPr>
          <w:p w14:paraId="49DD4581"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2,130</w:t>
            </w:r>
          </w:p>
        </w:tc>
        <w:tc>
          <w:tcPr>
            <w:tcW w:w="1220" w:type="dxa"/>
            <w:tcBorders>
              <w:top w:val="nil"/>
              <w:left w:val="nil"/>
              <w:bottom w:val="nil"/>
              <w:right w:val="nil"/>
            </w:tcBorders>
            <w:shd w:val="clear" w:color="000000" w:fill="FFFFFF"/>
            <w:noWrap/>
            <w:vAlign w:val="bottom"/>
            <w:hideMark/>
          </w:tcPr>
          <w:p w14:paraId="48C03BC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2,200</w:t>
            </w:r>
          </w:p>
        </w:tc>
        <w:tc>
          <w:tcPr>
            <w:tcW w:w="1220" w:type="dxa"/>
            <w:tcBorders>
              <w:top w:val="nil"/>
              <w:left w:val="nil"/>
              <w:bottom w:val="nil"/>
              <w:right w:val="nil"/>
            </w:tcBorders>
            <w:shd w:val="clear" w:color="000000" w:fill="FFFFFF"/>
            <w:noWrap/>
            <w:vAlign w:val="bottom"/>
            <w:hideMark/>
          </w:tcPr>
          <w:p w14:paraId="11C334C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2,250</w:t>
            </w:r>
          </w:p>
        </w:tc>
        <w:tc>
          <w:tcPr>
            <w:tcW w:w="1320" w:type="dxa"/>
            <w:tcBorders>
              <w:top w:val="nil"/>
              <w:left w:val="nil"/>
              <w:bottom w:val="nil"/>
              <w:right w:val="nil"/>
            </w:tcBorders>
            <w:shd w:val="clear" w:color="auto" w:fill="auto"/>
            <w:noWrap/>
            <w:vAlign w:val="bottom"/>
            <w:hideMark/>
          </w:tcPr>
          <w:p w14:paraId="08CCF2E4"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350</w:t>
            </w:r>
          </w:p>
        </w:tc>
      </w:tr>
      <w:tr w:rsidR="00063725" w:rsidRPr="00063725" w14:paraId="7DFC7CB4" w14:textId="77777777" w:rsidTr="00063725">
        <w:trPr>
          <w:trHeight w:val="260"/>
        </w:trPr>
        <w:tc>
          <w:tcPr>
            <w:tcW w:w="3519" w:type="dxa"/>
            <w:tcBorders>
              <w:top w:val="nil"/>
              <w:left w:val="nil"/>
              <w:bottom w:val="nil"/>
              <w:right w:val="nil"/>
            </w:tcBorders>
            <w:shd w:val="clear" w:color="auto" w:fill="auto"/>
            <w:noWrap/>
            <w:vAlign w:val="bottom"/>
            <w:hideMark/>
          </w:tcPr>
          <w:p w14:paraId="36BDFD77"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Jobs/Employed Residents</w:t>
            </w:r>
          </w:p>
        </w:tc>
        <w:tc>
          <w:tcPr>
            <w:tcW w:w="1047" w:type="dxa"/>
            <w:tcBorders>
              <w:top w:val="nil"/>
              <w:left w:val="nil"/>
              <w:bottom w:val="nil"/>
              <w:right w:val="nil"/>
            </w:tcBorders>
            <w:shd w:val="clear" w:color="auto" w:fill="auto"/>
            <w:noWrap/>
            <w:vAlign w:val="bottom"/>
            <w:hideMark/>
          </w:tcPr>
          <w:p w14:paraId="31B18783"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0.46</w:t>
            </w:r>
          </w:p>
        </w:tc>
        <w:tc>
          <w:tcPr>
            <w:tcW w:w="1047" w:type="dxa"/>
            <w:tcBorders>
              <w:top w:val="nil"/>
              <w:left w:val="nil"/>
              <w:bottom w:val="nil"/>
              <w:right w:val="nil"/>
            </w:tcBorders>
            <w:shd w:val="clear" w:color="auto" w:fill="auto"/>
            <w:noWrap/>
            <w:vAlign w:val="bottom"/>
            <w:hideMark/>
          </w:tcPr>
          <w:p w14:paraId="02A878C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0.46</w:t>
            </w:r>
          </w:p>
        </w:tc>
        <w:tc>
          <w:tcPr>
            <w:tcW w:w="1047" w:type="dxa"/>
            <w:tcBorders>
              <w:top w:val="nil"/>
              <w:left w:val="nil"/>
              <w:bottom w:val="nil"/>
              <w:right w:val="nil"/>
            </w:tcBorders>
            <w:shd w:val="clear" w:color="auto" w:fill="auto"/>
            <w:noWrap/>
            <w:vAlign w:val="bottom"/>
            <w:hideMark/>
          </w:tcPr>
          <w:p w14:paraId="142ED32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0.46</w:t>
            </w:r>
          </w:p>
        </w:tc>
        <w:tc>
          <w:tcPr>
            <w:tcW w:w="1140" w:type="dxa"/>
            <w:tcBorders>
              <w:top w:val="nil"/>
              <w:left w:val="nil"/>
              <w:bottom w:val="nil"/>
              <w:right w:val="nil"/>
            </w:tcBorders>
            <w:shd w:val="clear" w:color="auto" w:fill="auto"/>
            <w:noWrap/>
            <w:vAlign w:val="bottom"/>
            <w:hideMark/>
          </w:tcPr>
          <w:p w14:paraId="63680724"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0.47</w:t>
            </w:r>
          </w:p>
        </w:tc>
        <w:tc>
          <w:tcPr>
            <w:tcW w:w="1140" w:type="dxa"/>
            <w:tcBorders>
              <w:top w:val="nil"/>
              <w:left w:val="nil"/>
              <w:bottom w:val="nil"/>
              <w:right w:val="nil"/>
            </w:tcBorders>
            <w:shd w:val="clear" w:color="auto" w:fill="auto"/>
            <w:noWrap/>
            <w:vAlign w:val="bottom"/>
            <w:hideMark/>
          </w:tcPr>
          <w:p w14:paraId="28E6DDDA"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0.48</w:t>
            </w:r>
          </w:p>
        </w:tc>
        <w:tc>
          <w:tcPr>
            <w:tcW w:w="1220" w:type="dxa"/>
            <w:tcBorders>
              <w:top w:val="nil"/>
              <w:left w:val="nil"/>
              <w:bottom w:val="nil"/>
              <w:right w:val="nil"/>
            </w:tcBorders>
            <w:shd w:val="clear" w:color="auto" w:fill="auto"/>
            <w:noWrap/>
            <w:vAlign w:val="bottom"/>
            <w:hideMark/>
          </w:tcPr>
          <w:p w14:paraId="3BD9ABA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0.49</w:t>
            </w:r>
          </w:p>
        </w:tc>
        <w:tc>
          <w:tcPr>
            <w:tcW w:w="1220" w:type="dxa"/>
            <w:tcBorders>
              <w:top w:val="nil"/>
              <w:left w:val="nil"/>
              <w:bottom w:val="nil"/>
              <w:right w:val="nil"/>
            </w:tcBorders>
            <w:shd w:val="clear" w:color="auto" w:fill="auto"/>
            <w:noWrap/>
            <w:vAlign w:val="bottom"/>
            <w:hideMark/>
          </w:tcPr>
          <w:p w14:paraId="289A9C4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0.49</w:t>
            </w:r>
          </w:p>
        </w:tc>
        <w:tc>
          <w:tcPr>
            <w:tcW w:w="1320" w:type="dxa"/>
            <w:tcBorders>
              <w:top w:val="nil"/>
              <w:left w:val="nil"/>
              <w:bottom w:val="nil"/>
              <w:right w:val="nil"/>
            </w:tcBorders>
            <w:shd w:val="clear" w:color="auto" w:fill="auto"/>
            <w:noWrap/>
            <w:vAlign w:val="bottom"/>
            <w:hideMark/>
          </w:tcPr>
          <w:p w14:paraId="4E6B1B20"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0.00</w:t>
            </w:r>
          </w:p>
        </w:tc>
      </w:tr>
      <w:tr w:rsidR="00063725" w:rsidRPr="00063725" w14:paraId="3B744352" w14:textId="77777777" w:rsidTr="00063725">
        <w:trPr>
          <w:trHeight w:val="260"/>
        </w:trPr>
        <w:tc>
          <w:tcPr>
            <w:tcW w:w="3519" w:type="dxa"/>
            <w:tcBorders>
              <w:top w:val="nil"/>
              <w:left w:val="nil"/>
              <w:bottom w:val="nil"/>
              <w:right w:val="nil"/>
            </w:tcBorders>
            <w:shd w:val="clear" w:color="auto" w:fill="auto"/>
            <w:noWrap/>
            <w:vAlign w:val="bottom"/>
            <w:hideMark/>
          </w:tcPr>
          <w:p w14:paraId="5A48FCAD"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Percent of County Population</w:t>
            </w:r>
          </w:p>
        </w:tc>
        <w:tc>
          <w:tcPr>
            <w:tcW w:w="1047" w:type="dxa"/>
            <w:tcBorders>
              <w:top w:val="nil"/>
              <w:left w:val="nil"/>
              <w:bottom w:val="nil"/>
              <w:right w:val="nil"/>
            </w:tcBorders>
            <w:shd w:val="clear" w:color="auto" w:fill="auto"/>
            <w:noWrap/>
            <w:vAlign w:val="bottom"/>
            <w:hideMark/>
          </w:tcPr>
          <w:p w14:paraId="3D125948"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1.5%</w:t>
            </w:r>
          </w:p>
        </w:tc>
        <w:tc>
          <w:tcPr>
            <w:tcW w:w="1047" w:type="dxa"/>
            <w:tcBorders>
              <w:top w:val="nil"/>
              <w:left w:val="nil"/>
              <w:bottom w:val="nil"/>
              <w:right w:val="nil"/>
            </w:tcBorders>
            <w:shd w:val="clear" w:color="auto" w:fill="auto"/>
            <w:noWrap/>
            <w:vAlign w:val="bottom"/>
            <w:hideMark/>
          </w:tcPr>
          <w:p w14:paraId="03F7F03C"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1.5%</w:t>
            </w:r>
          </w:p>
        </w:tc>
        <w:tc>
          <w:tcPr>
            <w:tcW w:w="1047" w:type="dxa"/>
            <w:tcBorders>
              <w:top w:val="nil"/>
              <w:left w:val="nil"/>
              <w:bottom w:val="nil"/>
              <w:right w:val="nil"/>
            </w:tcBorders>
            <w:shd w:val="clear" w:color="auto" w:fill="auto"/>
            <w:noWrap/>
            <w:vAlign w:val="bottom"/>
            <w:hideMark/>
          </w:tcPr>
          <w:p w14:paraId="59C7CF70"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1.4%</w:t>
            </w:r>
          </w:p>
        </w:tc>
        <w:tc>
          <w:tcPr>
            <w:tcW w:w="1140" w:type="dxa"/>
            <w:tcBorders>
              <w:top w:val="nil"/>
              <w:left w:val="nil"/>
              <w:bottom w:val="nil"/>
              <w:right w:val="nil"/>
            </w:tcBorders>
            <w:shd w:val="clear" w:color="auto" w:fill="auto"/>
            <w:noWrap/>
            <w:vAlign w:val="bottom"/>
            <w:hideMark/>
          </w:tcPr>
          <w:p w14:paraId="616DEAE1"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1.4%</w:t>
            </w:r>
          </w:p>
        </w:tc>
        <w:tc>
          <w:tcPr>
            <w:tcW w:w="1140" w:type="dxa"/>
            <w:tcBorders>
              <w:top w:val="nil"/>
              <w:left w:val="nil"/>
              <w:bottom w:val="nil"/>
              <w:right w:val="nil"/>
            </w:tcBorders>
            <w:shd w:val="clear" w:color="auto" w:fill="auto"/>
            <w:noWrap/>
            <w:vAlign w:val="bottom"/>
            <w:hideMark/>
          </w:tcPr>
          <w:p w14:paraId="50D8A8DB"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1.4%</w:t>
            </w:r>
          </w:p>
        </w:tc>
        <w:tc>
          <w:tcPr>
            <w:tcW w:w="1220" w:type="dxa"/>
            <w:tcBorders>
              <w:top w:val="nil"/>
              <w:left w:val="nil"/>
              <w:bottom w:val="nil"/>
              <w:right w:val="nil"/>
            </w:tcBorders>
            <w:shd w:val="clear" w:color="auto" w:fill="auto"/>
            <w:noWrap/>
            <w:vAlign w:val="bottom"/>
            <w:hideMark/>
          </w:tcPr>
          <w:p w14:paraId="22D2C1B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1.4%</w:t>
            </w:r>
          </w:p>
        </w:tc>
        <w:tc>
          <w:tcPr>
            <w:tcW w:w="1220" w:type="dxa"/>
            <w:tcBorders>
              <w:top w:val="nil"/>
              <w:left w:val="nil"/>
              <w:bottom w:val="nil"/>
              <w:right w:val="nil"/>
            </w:tcBorders>
            <w:shd w:val="clear" w:color="auto" w:fill="auto"/>
            <w:noWrap/>
            <w:vAlign w:val="bottom"/>
            <w:hideMark/>
          </w:tcPr>
          <w:p w14:paraId="0A5E2907"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1.3%</w:t>
            </w:r>
          </w:p>
        </w:tc>
        <w:tc>
          <w:tcPr>
            <w:tcW w:w="1320" w:type="dxa"/>
            <w:tcBorders>
              <w:top w:val="nil"/>
              <w:left w:val="nil"/>
              <w:bottom w:val="nil"/>
              <w:right w:val="nil"/>
            </w:tcBorders>
            <w:shd w:val="clear" w:color="auto" w:fill="auto"/>
            <w:noWrap/>
            <w:vAlign w:val="bottom"/>
            <w:hideMark/>
          </w:tcPr>
          <w:p w14:paraId="5958B713"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-0.1%</w:t>
            </w:r>
          </w:p>
        </w:tc>
      </w:tr>
      <w:tr w:rsidR="00063725" w:rsidRPr="00063725" w14:paraId="6CF1D6F0" w14:textId="77777777" w:rsidTr="00063725">
        <w:trPr>
          <w:trHeight w:val="260"/>
        </w:trPr>
        <w:tc>
          <w:tcPr>
            <w:tcW w:w="3519" w:type="dxa"/>
            <w:tcBorders>
              <w:top w:val="nil"/>
              <w:left w:val="nil"/>
              <w:bottom w:val="nil"/>
              <w:right w:val="nil"/>
            </w:tcBorders>
            <w:shd w:val="clear" w:color="auto" w:fill="auto"/>
            <w:noWrap/>
            <w:vAlign w:val="bottom"/>
            <w:hideMark/>
          </w:tcPr>
          <w:p w14:paraId="76477E72"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Percent of County Jobs</w:t>
            </w:r>
          </w:p>
        </w:tc>
        <w:tc>
          <w:tcPr>
            <w:tcW w:w="1047" w:type="dxa"/>
            <w:tcBorders>
              <w:top w:val="nil"/>
              <w:left w:val="nil"/>
              <w:bottom w:val="nil"/>
              <w:right w:val="nil"/>
            </w:tcBorders>
            <w:shd w:val="clear" w:color="auto" w:fill="auto"/>
            <w:noWrap/>
            <w:vAlign w:val="bottom"/>
            <w:hideMark/>
          </w:tcPr>
          <w:p w14:paraId="2FCADD91"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0.5%</w:t>
            </w:r>
          </w:p>
        </w:tc>
        <w:tc>
          <w:tcPr>
            <w:tcW w:w="1047" w:type="dxa"/>
            <w:tcBorders>
              <w:top w:val="nil"/>
              <w:left w:val="nil"/>
              <w:bottom w:val="nil"/>
              <w:right w:val="nil"/>
            </w:tcBorders>
            <w:shd w:val="clear" w:color="auto" w:fill="auto"/>
            <w:noWrap/>
            <w:vAlign w:val="bottom"/>
            <w:hideMark/>
          </w:tcPr>
          <w:p w14:paraId="14A2CAC9"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0.5%</w:t>
            </w:r>
          </w:p>
        </w:tc>
        <w:tc>
          <w:tcPr>
            <w:tcW w:w="1047" w:type="dxa"/>
            <w:tcBorders>
              <w:top w:val="nil"/>
              <w:left w:val="nil"/>
              <w:bottom w:val="nil"/>
              <w:right w:val="nil"/>
            </w:tcBorders>
            <w:shd w:val="clear" w:color="auto" w:fill="auto"/>
            <w:noWrap/>
            <w:vAlign w:val="bottom"/>
            <w:hideMark/>
          </w:tcPr>
          <w:p w14:paraId="444A42F5"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0.5%</w:t>
            </w:r>
          </w:p>
        </w:tc>
        <w:tc>
          <w:tcPr>
            <w:tcW w:w="1140" w:type="dxa"/>
            <w:tcBorders>
              <w:top w:val="nil"/>
              <w:left w:val="nil"/>
              <w:bottom w:val="nil"/>
              <w:right w:val="nil"/>
            </w:tcBorders>
            <w:shd w:val="clear" w:color="auto" w:fill="auto"/>
            <w:noWrap/>
            <w:vAlign w:val="bottom"/>
            <w:hideMark/>
          </w:tcPr>
          <w:p w14:paraId="6FF784D9"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0.5%</w:t>
            </w:r>
          </w:p>
        </w:tc>
        <w:tc>
          <w:tcPr>
            <w:tcW w:w="1140" w:type="dxa"/>
            <w:tcBorders>
              <w:top w:val="nil"/>
              <w:left w:val="nil"/>
              <w:bottom w:val="nil"/>
              <w:right w:val="nil"/>
            </w:tcBorders>
            <w:shd w:val="clear" w:color="auto" w:fill="auto"/>
            <w:noWrap/>
            <w:vAlign w:val="bottom"/>
            <w:hideMark/>
          </w:tcPr>
          <w:p w14:paraId="05B05C7E"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0.5%</w:t>
            </w:r>
          </w:p>
        </w:tc>
        <w:tc>
          <w:tcPr>
            <w:tcW w:w="1220" w:type="dxa"/>
            <w:tcBorders>
              <w:top w:val="nil"/>
              <w:left w:val="nil"/>
              <w:bottom w:val="nil"/>
              <w:right w:val="nil"/>
            </w:tcBorders>
            <w:shd w:val="clear" w:color="auto" w:fill="auto"/>
            <w:noWrap/>
            <w:vAlign w:val="bottom"/>
            <w:hideMark/>
          </w:tcPr>
          <w:p w14:paraId="59D8F15D"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0.5%</w:t>
            </w:r>
          </w:p>
        </w:tc>
        <w:tc>
          <w:tcPr>
            <w:tcW w:w="1220" w:type="dxa"/>
            <w:tcBorders>
              <w:top w:val="nil"/>
              <w:left w:val="nil"/>
              <w:bottom w:val="nil"/>
              <w:right w:val="nil"/>
            </w:tcBorders>
            <w:shd w:val="clear" w:color="auto" w:fill="auto"/>
            <w:noWrap/>
            <w:vAlign w:val="bottom"/>
            <w:hideMark/>
          </w:tcPr>
          <w:p w14:paraId="72B06156" w14:textId="77777777" w:rsidR="00063725" w:rsidRPr="00063725" w:rsidRDefault="00063725" w:rsidP="00063725">
            <w:pPr>
              <w:spacing w:line="240" w:lineRule="auto"/>
              <w:jc w:val="right"/>
              <w:rPr>
                <w:rFonts w:eastAsia="Times New Roman" w:cs="Times New Roman"/>
                <w:sz w:val="20"/>
                <w:szCs w:val="20"/>
              </w:rPr>
            </w:pPr>
            <w:r w:rsidRPr="00063725">
              <w:rPr>
                <w:rFonts w:eastAsia="Times New Roman" w:cs="Times New Roman"/>
                <w:sz w:val="20"/>
                <w:szCs w:val="20"/>
              </w:rPr>
              <w:t>0.5%</w:t>
            </w:r>
          </w:p>
        </w:tc>
        <w:tc>
          <w:tcPr>
            <w:tcW w:w="1320" w:type="dxa"/>
            <w:tcBorders>
              <w:top w:val="nil"/>
              <w:left w:val="nil"/>
              <w:bottom w:val="nil"/>
              <w:right w:val="nil"/>
            </w:tcBorders>
            <w:shd w:val="clear" w:color="auto" w:fill="auto"/>
            <w:noWrap/>
            <w:vAlign w:val="bottom"/>
            <w:hideMark/>
          </w:tcPr>
          <w:p w14:paraId="7393174D" w14:textId="77777777" w:rsidR="00063725" w:rsidRPr="00063725" w:rsidRDefault="00063725" w:rsidP="00063725">
            <w:pPr>
              <w:spacing w:line="240" w:lineRule="auto"/>
              <w:jc w:val="right"/>
              <w:rPr>
                <w:rFonts w:eastAsia="Times New Roman" w:cs="Times New Roman"/>
                <w:b/>
                <w:bCs/>
                <w:sz w:val="20"/>
                <w:szCs w:val="20"/>
              </w:rPr>
            </w:pPr>
            <w:r w:rsidRPr="00063725">
              <w:rPr>
                <w:rFonts w:eastAsia="Times New Roman" w:cs="Times New Roman"/>
                <w:b/>
                <w:bCs/>
                <w:sz w:val="20"/>
                <w:szCs w:val="20"/>
              </w:rPr>
              <w:t>0.0%</w:t>
            </w:r>
          </w:p>
        </w:tc>
      </w:tr>
      <w:tr w:rsidR="00063725" w:rsidRPr="00063725" w14:paraId="529EE74E" w14:textId="77777777" w:rsidTr="00063725">
        <w:trPr>
          <w:trHeight w:val="140"/>
        </w:trPr>
        <w:tc>
          <w:tcPr>
            <w:tcW w:w="3519" w:type="dxa"/>
            <w:tcBorders>
              <w:top w:val="nil"/>
              <w:left w:val="nil"/>
              <w:bottom w:val="nil"/>
              <w:right w:val="nil"/>
            </w:tcBorders>
            <w:shd w:val="clear" w:color="auto" w:fill="auto"/>
            <w:noWrap/>
            <w:vAlign w:val="bottom"/>
            <w:hideMark/>
          </w:tcPr>
          <w:p w14:paraId="14CF99AB" w14:textId="77777777" w:rsidR="00063725" w:rsidRPr="00063725" w:rsidRDefault="00063725" w:rsidP="00063725">
            <w:pPr>
              <w:spacing w:line="240" w:lineRule="auto"/>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7B46FEEC"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6DAEA0B6" w14:textId="77777777" w:rsidR="00063725" w:rsidRPr="00063725" w:rsidRDefault="00063725" w:rsidP="00063725">
            <w:pPr>
              <w:spacing w:line="240" w:lineRule="auto"/>
              <w:jc w:val="right"/>
              <w:rPr>
                <w:rFonts w:eastAsia="Times New Roman" w:cs="Times New Roman"/>
                <w:sz w:val="20"/>
                <w:szCs w:val="20"/>
              </w:rPr>
            </w:pPr>
          </w:p>
        </w:tc>
        <w:tc>
          <w:tcPr>
            <w:tcW w:w="1047" w:type="dxa"/>
            <w:tcBorders>
              <w:top w:val="nil"/>
              <w:left w:val="nil"/>
              <w:bottom w:val="nil"/>
              <w:right w:val="nil"/>
            </w:tcBorders>
            <w:shd w:val="clear" w:color="auto" w:fill="auto"/>
            <w:noWrap/>
            <w:vAlign w:val="bottom"/>
            <w:hideMark/>
          </w:tcPr>
          <w:p w14:paraId="5F58656B"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5D37AB16" w14:textId="77777777" w:rsidR="00063725" w:rsidRPr="00063725" w:rsidRDefault="00063725" w:rsidP="00063725">
            <w:pPr>
              <w:spacing w:line="240" w:lineRule="auto"/>
              <w:jc w:val="right"/>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BAB5671"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371FF2A9" w14:textId="77777777" w:rsidR="00063725" w:rsidRPr="00063725" w:rsidRDefault="00063725" w:rsidP="00063725">
            <w:pPr>
              <w:spacing w:line="240" w:lineRule="auto"/>
              <w:jc w:val="right"/>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FAD0D6B" w14:textId="77777777" w:rsidR="00063725" w:rsidRPr="00063725" w:rsidRDefault="00063725" w:rsidP="00063725">
            <w:pPr>
              <w:spacing w:line="240" w:lineRule="auto"/>
              <w:jc w:val="right"/>
              <w:rPr>
                <w:rFonts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14:paraId="0CE89B6A" w14:textId="77777777" w:rsidR="00063725" w:rsidRPr="00063725" w:rsidRDefault="00063725" w:rsidP="00063725">
            <w:pPr>
              <w:spacing w:line="240" w:lineRule="auto"/>
              <w:jc w:val="right"/>
              <w:rPr>
                <w:rFonts w:eastAsia="Times New Roman" w:cs="Times New Roman"/>
                <w:sz w:val="20"/>
                <w:szCs w:val="20"/>
              </w:rPr>
            </w:pPr>
          </w:p>
        </w:tc>
      </w:tr>
      <w:tr w:rsidR="00063725" w:rsidRPr="00063725" w14:paraId="222F3559" w14:textId="77777777" w:rsidTr="00063725">
        <w:trPr>
          <w:trHeight w:val="400"/>
        </w:trPr>
        <w:tc>
          <w:tcPr>
            <w:tcW w:w="12700" w:type="dxa"/>
            <w:gridSpan w:val="9"/>
            <w:tcBorders>
              <w:top w:val="single" w:sz="4" w:space="0" w:color="auto"/>
              <w:left w:val="nil"/>
              <w:bottom w:val="single" w:sz="4" w:space="0" w:color="auto"/>
              <w:right w:val="nil"/>
            </w:tcBorders>
            <w:shd w:val="clear" w:color="auto" w:fill="auto"/>
            <w:vAlign w:val="center"/>
            <w:hideMark/>
          </w:tcPr>
          <w:p w14:paraId="351C8536" w14:textId="77777777" w:rsidR="00063725" w:rsidRPr="00063725" w:rsidRDefault="00063725" w:rsidP="00063725">
            <w:pPr>
              <w:spacing w:line="240" w:lineRule="auto"/>
              <w:rPr>
                <w:rFonts w:eastAsia="Times New Roman" w:cs="Times New Roman"/>
                <w:sz w:val="20"/>
                <w:szCs w:val="20"/>
              </w:rPr>
            </w:pPr>
            <w:r w:rsidRPr="00063725">
              <w:rPr>
                <w:rFonts w:eastAsia="Times New Roman" w:cs="Times New Roman"/>
                <w:sz w:val="20"/>
                <w:szCs w:val="20"/>
              </w:rPr>
              <w:t xml:space="preserve">Source:  ABAG Projections 2013 </w:t>
            </w:r>
          </w:p>
        </w:tc>
      </w:tr>
    </w:tbl>
    <w:p w14:paraId="469099AA" w14:textId="77777777" w:rsidR="00C0780F" w:rsidRPr="00BB639A" w:rsidRDefault="00C0780F" w:rsidP="00C0780F">
      <w:pPr>
        <w:widowControl w:val="0"/>
        <w:autoSpaceDE w:val="0"/>
        <w:autoSpaceDN w:val="0"/>
        <w:adjustRightInd w:val="0"/>
        <w:rPr>
          <w:rFonts w:ascii="ArialMT" w:hAnsi="ArialMT" w:cs="ArialMT"/>
          <w:sz w:val="20"/>
          <w:szCs w:val="22"/>
        </w:rPr>
      </w:pPr>
    </w:p>
    <w:tbl>
      <w:tblPr>
        <w:tblW w:w="14100" w:type="dxa"/>
        <w:tblInd w:w="-432" w:type="dxa"/>
        <w:tblLayout w:type="fixed"/>
        <w:tblLook w:val="04A0" w:firstRow="1" w:lastRow="0" w:firstColumn="1" w:lastColumn="0" w:noHBand="0" w:noVBand="1"/>
      </w:tblPr>
      <w:tblGrid>
        <w:gridCol w:w="4155"/>
        <w:gridCol w:w="245"/>
        <w:gridCol w:w="1220"/>
        <w:gridCol w:w="1220"/>
        <w:gridCol w:w="1220"/>
        <w:gridCol w:w="1220"/>
        <w:gridCol w:w="1220"/>
        <w:gridCol w:w="1220"/>
        <w:gridCol w:w="1220"/>
        <w:gridCol w:w="1160"/>
      </w:tblGrid>
      <w:tr w:rsidR="00063725" w:rsidRPr="00063725" w14:paraId="7F8D81DA" w14:textId="77777777" w:rsidTr="00B81596">
        <w:trPr>
          <w:trHeight w:val="260"/>
        </w:trPr>
        <w:tc>
          <w:tcPr>
            <w:tcW w:w="4400" w:type="dxa"/>
            <w:gridSpan w:val="2"/>
            <w:tcBorders>
              <w:top w:val="nil"/>
              <w:left w:val="nil"/>
              <w:bottom w:val="nil"/>
              <w:right w:val="nil"/>
            </w:tcBorders>
            <w:shd w:val="clear" w:color="000000" w:fill="000000"/>
            <w:noWrap/>
            <w:vAlign w:val="bottom"/>
            <w:hideMark/>
          </w:tcPr>
          <w:p w14:paraId="4483A8D7" w14:textId="77777777" w:rsidR="00063725" w:rsidRPr="00063725" w:rsidRDefault="00063725" w:rsidP="00063725">
            <w:pPr>
              <w:spacing w:line="240" w:lineRule="auto"/>
              <w:rPr>
                <w:rFonts w:eastAsia="Times New Roman" w:cs="Times New Roman"/>
                <w:b/>
                <w:bCs/>
                <w:color w:val="FFFFFF"/>
                <w:sz w:val="18"/>
                <w:szCs w:val="18"/>
              </w:rPr>
            </w:pPr>
            <w:r w:rsidRPr="00063725">
              <w:rPr>
                <w:rFonts w:eastAsia="Times New Roman" w:cs="Times New Roman"/>
                <w:b/>
                <w:bCs/>
                <w:color w:val="FFFFFF"/>
                <w:sz w:val="18"/>
                <w:szCs w:val="18"/>
              </w:rPr>
              <w:t>Projections for Types of Jobs (2010-2040)</w:t>
            </w:r>
          </w:p>
        </w:tc>
        <w:tc>
          <w:tcPr>
            <w:tcW w:w="1220" w:type="dxa"/>
            <w:tcBorders>
              <w:top w:val="nil"/>
              <w:left w:val="nil"/>
              <w:bottom w:val="nil"/>
              <w:right w:val="nil"/>
            </w:tcBorders>
            <w:shd w:val="clear" w:color="000000" w:fill="000000"/>
            <w:noWrap/>
            <w:vAlign w:val="bottom"/>
            <w:hideMark/>
          </w:tcPr>
          <w:p w14:paraId="09F107AA" w14:textId="77777777" w:rsidR="00063725" w:rsidRPr="00063725" w:rsidRDefault="00063725" w:rsidP="00063725">
            <w:pPr>
              <w:spacing w:line="240" w:lineRule="auto"/>
              <w:jc w:val="right"/>
              <w:rPr>
                <w:rFonts w:eastAsia="Times New Roman" w:cs="Times New Roman"/>
                <w:color w:val="FFFFFF"/>
                <w:sz w:val="18"/>
                <w:szCs w:val="18"/>
              </w:rPr>
            </w:pPr>
            <w:r w:rsidRPr="00063725">
              <w:rPr>
                <w:rFonts w:eastAsia="Times New Roman" w:cs="Times New Roman"/>
                <w:color w:val="FFFFFF"/>
                <w:sz w:val="18"/>
                <w:szCs w:val="18"/>
              </w:rPr>
              <w:t> </w:t>
            </w:r>
          </w:p>
        </w:tc>
        <w:tc>
          <w:tcPr>
            <w:tcW w:w="1220" w:type="dxa"/>
            <w:tcBorders>
              <w:top w:val="nil"/>
              <w:left w:val="nil"/>
              <w:bottom w:val="nil"/>
              <w:right w:val="nil"/>
            </w:tcBorders>
            <w:shd w:val="clear" w:color="000000" w:fill="000000"/>
            <w:noWrap/>
            <w:vAlign w:val="bottom"/>
            <w:hideMark/>
          </w:tcPr>
          <w:p w14:paraId="7EBFCA23" w14:textId="77777777" w:rsidR="00063725" w:rsidRPr="00063725" w:rsidRDefault="00063725" w:rsidP="00063725">
            <w:pPr>
              <w:spacing w:line="240" w:lineRule="auto"/>
              <w:jc w:val="right"/>
              <w:rPr>
                <w:rFonts w:eastAsia="Times New Roman" w:cs="Times New Roman"/>
                <w:color w:val="FFFFFF"/>
                <w:sz w:val="18"/>
                <w:szCs w:val="18"/>
              </w:rPr>
            </w:pPr>
            <w:r w:rsidRPr="00063725">
              <w:rPr>
                <w:rFonts w:eastAsia="Times New Roman" w:cs="Times New Roman"/>
                <w:color w:val="FFFFFF"/>
                <w:sz w:val="18"/>
                <w:szCs w:val="18"/>
              </w:rPr>
              <w:t> </w:t>
            </w:r>
          </w:p>
        </w:tc>
        <w:tc>
          <w:tcPr>
            <w:tcW w:w="1220" w:type="dxa"/>
            <w:tcBorders>
              <w:top w:val="nil"/>
              <w:left w:val="nil"/>
              <w:bottom w:val="nil"/>
              <w:right w:val="nil"/>
            </w:tcBorders>
            <w:shd w:val="clear" w:color="000000" w:fill="000000"/>
            <w:noWrap/>
            <w:vAlign w:val="bottom"/>
            <w:hideMark/>
          </w:tcPr>
          <w:p w14:paraId="1EBAA890" w14:textId="77777777" w:rsidR="00063725" w:rsidRPr="00063725" w:rsidRDefault="00063725" w:rsidP="00063725">
            <w:pPr>
              <w:spacing w:line="240" w:lineRule="auto"/>
              <w:jc w:val="right"/>
              <w:rPr>
                <w:rFonts w:eastAsia="Times New Roman" w:cs="Times New Roman"/>
                <w:color w:val="FFFFFF"/>
                <w:sz w:val="18"/>
                <w:szCs w:val="18"/>
              </w:rPr>
            </w:pPr>
            <w:r w:rsidRPr="00063725">
              <w:rPr>
                <w:rFonts w:eastAsia="Times New Roman" w:cs="Times New Roman"/>
                <w:color w:val="FFFFFF"/>
                <w:sz w:val="18"/>
                <w:szCs w:val="18"/>
              </w:rPr>
              <w:t> </w:t>
            </w:r>
          </w:p>
        </w:tc>
        <w:tc>
          <w:tcPr>
            <w:tcW w:w="1220" w:type="dxa"/>
            <w:tcBorders>
              <w:top w:val="nil"/>
              <w:left w:val="nil"/>
              <w:bottom w:val="nil"/>
              <w:right w:val="nil"/>
            </w:tcBorders>
            <w:shd w:val="clear" w:color="000000" w:fill="000000"/>
            <w:noWrap/>
            <w:vAlign w:val="bottom"/>
            <w:hideMark/>
          </w:tcPr>
          <w:p w14:paraId="79E15BEC" w14:textId="77777777" w:rsidR="00063725" w:rsidRPr="00063725" w:rsidRDefault="00063725" w:rsidP="00063725">
            <w:pPr>
              <w:spacing w:line="240" w:lineRule="auto"/>
              <w:jc w:val="right"/>
              <w:rPr>
                <w:rFonts w:eastAsia="Times New Roman" w:cs="Times New Roman"/>
                <w:color w:val="FFFFFF"/>
                <w:sz w:val="18"/>
                <w:szCs w:val="18"/>
              </w:rPr>
            </w:pPr>
            <w:r w:rsidRPr="00063725">
              <w:rPr>
                <w:rFonts w:eastAsia="Times New Roman" w:cs="Times New Roman"/>
                <w:color w:val="FFFFFF"/>
                <w:sz w:val="18"/>
                <w:szCs w:val="18"/>
              </w:rPr>
              <w:t> </w:t>
            </w:r>
          </w:p>
        </w:tc>
        <w:tc>
          <w:tcPr>
            <w:tcW w:w="1220" w:type="dxa"/>
            <w:tcBorders>
              <w:top w:val="nil"/>
              <w:left w:val="nil"/>
              <w:bottom w:val="nil"/>
              <w:right w:val="nil"/>
            </w:tcBorders>
            <w:shd w:val="clear" w:color="000000" w:fill="000000"/>
            <w:noWrap/>
            <w:vAlign w:val="bottom"/>
            <w:hideMark/>
          </w:tcPr>
          <w:p w14:paraId="5590751A" w14:textId="77777777" w:rsidR="00063725" w:rsidRPr="00063725" w:rsidRDefault="00063725" w:rsidP="00063725">
            <w:pPr>
              <w:spacing w:line="240" w:lineRule="auto"/>
              <w:jc w:val="right"/>
              <w:rPr>
                <w:rFonts w:eastAsia="Times New Roman" w:cs="Times New Roman"/>
                <w:color w:val="FFFFFF"/>
                <w:sz w:val="18"/>
                <w:szCs w:val="18"/>
              </w:rPr>
            </w:pPr>
            <w:r w:rsidRPr="00063725">
              <w:rPr>
                <w:rFonts w:eastAsia="Times New Roman" w:cs="Times New Roman"/>
                <w:color w:val="FFFFFF"/>
                <w:sz w:val="18"/>
                <w:szCs w:val="18"/>
              </w:rPr>
              <w:t> </w:t>
            </w:r>
          </w:p>
        </w:tc>
        <w:tc>
          <w:tcPr>
            <w:tcW w:w="1220" w:type="dxa"/>
            <w:tcBorders>
              <w:top w:val="nil"/>
              <w:left w:val="nil"/>
              <w:bottom w:val="nil"/>
              <w:right w:val="nil"/>
            </w:tcBorders>
            <w:shd w:val="clear" w:color="000000" w:fill="000000"/>
            <w:noWrap/>
            <w:vAlign w:val="bottom"/>
            <w:hideMark/>
          </w:tcPr>
          <w:p w14:paraId="21E956C4" w14:textId="77777777" w:rsidR="00063725" w:rsidRPr="00063725" w:rsidRDefault="00063725" w:rsidP="00063725">
            <w:pPr>
              <w:spacing w:line="240" w:lineRule="auto"/>
              <w:jc w:val="right"/>
              <w:rPr>
                <w:rFonts w:eastAsia="Times New Roman" w:cs="Times New Roman"/>
                <w:color w:val="FFFFFF"/>
                <w:sz w:val="18"/>
                <w:szCs w:val="18"/>
              </w:rPr>
            </w:pPr>
            <w:r w:rsidRPr="00063725">
              <w:rPr>
                <w:rFonts w:eastAsia="Times New Roman" w:cs="Times New Roman"/>
                <w:color w:val="FFFFFF"/>
                <w:sz w:val="18"/>
                <w:szCs w:val="18"/>
              </w:rPr>
              <w:t> </w:t>
            </w:r>
          </w:p>
        </w:tc>
        <w:tc>
          <w:tcPr>
            <w:tcW w:w="1220" w:type="dxa"/>
            <w:tcBorders>
              <w:top w:val="nil"/>
              <w:left w:val="nil"/>
              <w:bottom w:val="nil"/>
              <w:right w:val="nil"/>
            </w:tcBorders>
            <w:shd w:val="clear" w:color="000000" w:fill="000000"/>
            <w:noWrap/>
            <w:vAlign w:val="bottom"/>
            <w:hideMark/>
          </w:tcPr>
          <w:p w14:paraId="0FB25B66" w14:textId="77777777" w:rsidR="00063725" w:rsidRPr="00063725" w:rsidRDefault="00063725" w:rsidP="00063725">
            <w:pPr>
              <w:spacing w:line="240" w:lineRule="auto"/>
              <w:jc w:val="right"/>
              <w:rPr>
                <w:rFonts w:eastAsia="Times New Roman" w:cs="Times New Roman"/>
                <w:color w:val="FFFFFF"/>
                <w:sz w:val="18"/>
                <w:szCs w:val="18"/>
              </w:rPr>
            </w:pPr>
            <w:r w:rsidRPr="00063725">
              <w:rPr>
                <w:rFonts w:eastAsia="Times New Roman" w:cs="Times New Roman"/>
                <w:color w:val="FFFFFF"/>
                <w:sz w:val="18"/>
                <w:szCs w:val="18"/>
              </w:rPr>
              <w:t> </w:t>
            </w:r>
          </w:p>
        </w:tc>
        <w:tc>
          <w:tcPr>
            <w:tcW w:w="1160" w:type="dxa"/>
            <w:tcBorders>
              <w:top w:val="nil"/>
              <w:left w:val="nil"/>
              <w:bottom w:val="nil"/>
              <w:right w:val="nil"/>
            </w:tcBorders>
            <w:shd w:val="clear" w:color="000000" w:fill="000000"/>
            <w:noWrap/>
            <w:vAlign w:val="bottom"/>
            <w:hideMark/>
          </w:tcPr>
          <w:p w14:paraId="48690264" w14:textId="77777777" w:rsidR="00063725" w:rsidRPr="00063725" w:rsidRDefault="00063725" w:rsidP="00063725">
            <w:pPr>
              <w:spacing w:line="240" w:lineRule="auto"/>
              <w:jc w:val="right"/>
              <w:rPr>
                <w:rFonts w:eastAsia="Times New Roman" w:cs="Times New Roman"/>
                <w:b/>
                <w:bCs/>
                <w:color w:val="FFFFFF"/>
                <w:sz w:val="18"/>
                <w:szCs w:val="18"/>
              </w:rPr>
            </w:pPr>
            <w:r w:rsidRPr="00063725">
              <w:rPr>
                <w:rFonts w:eastAsia="Times New Roman" w:cs="Times New Roman"/>
                <w:b/>
                <w:bCs/>
                <w:color w:val="FFFFFF"/>
                <w:sz w:val="18"/>
                <w:szCs w:val="18"/>
              </w:rPr>
              <w:t> </w:t>
            </w:r>
          </w:p>
        </w:tc>
      </w:tr>
      <w:tr w:rsidR="00063725" w:rsidRPr="00063725" w14:paraId="08316807" w14:textId="77777777" w:rsidTr="00B81596">
        <w:trPr>
          <w:trHeight w:val="560"/>
        </w:trPr>
        <w:tc>
          <w:tcPr>
            <w:tcW w:w="4155" w:type="dxa"/>
            <w:tcBorders>
              <w:top w:val="single" w:sz="4" w:space="0" w:color="auto"/>
              <w:left w:val="nil"/>
              <w:bottom w:val="single" w:sz="12" w:space="0" w:color="auto"/>
              <w:right w:val="nil"/>
            </w:tcBorders>
            <w:shd w:val="clear" w:color="auto" w:fill="auto"/>
            <w:noWrap/>
            <w:vAlign w:val="center"/>
            <w:hideMark/>
          </w:tcPr>
          <w:p w14:paraId="72BB8BFE" w14:textId="77777777" w:rsidR="00063725" w:rsidRPr="00063725" w:rsidRDefault="00063725" w:rsidP="00063725">
            <w:pPr>
              <w:spacing w:line="240" w:lineRule="auto"/>
              <w:rPr>
                <w:rFonts w:eastAsia="Times New Roman" w:cs="Times New Roman"/>
                <w:b/>
                <w:bCs/>
                <w:sz w:val="18"/>
                <w:szCs w:val="18"/>
              </w:rPr>
            </w:pPr>
            <w:r w:rsidRPr="00063725">
              <w:rPr>
                <w:rFonts w:eastAsia="Times New Roman" w:cs="Times New Roman"/>
                <w:b/>
                <w:bCs/>
                <w:sz w:val="18"/>
                <w:szCs w:val="18"/>
              </w:rPr>
              <w:t>Geographical Area</w:t>
            </w:r>
          </w:p>
        </w:tc>
        <w:tc>
          <w:tcPr>
            <w:tcW w:w="1465" w:type="dxa"/>
            <w:gridSpan w:val="2"/>
            <w:tcBorders>
              <w:top w:val="single" w:sz="4" w:space="0" w:color="auto"/>
              <w:left w:val="nil"/>
              <w:bottom w:val="single" w:sz="12" w:space="0" w:color="auto"/>
              <w:right w:val="nil"/>
            </w:tcBorders>
            <w:shd w:val="clear" w:color="auto" w:fill="auto"/>
            <w:noWrap/>
            <w:vAlign w:val="center"/>
            <w:hideMark/>
          </w:tcPr>
          <w:p w14:paraId="1FF67C99"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2010</w:t>
            </w:r>
          </w:p>
        </w:tc>
        <w:tc>
          <w:tcPr>
            <w:tcW w:w="1220" w:type="dxa"/>
            <w:tcBorders>
              <w:top w:val="single" w:sz="4" w:space="0" w:color="auto"/>
              <w:left w:val="nil"/>
              <w:bottom w:val="single" w:sz="12" w:space="0" w:color="auto"/>
              <w:right w:val="nil"/>
            </w:tcBorders>
            <w:shd w:val="clear" w:color="auto" w:fill="auto"/>
            <w:noWrap/>
            <w:vAlign w:val="center"/>
            <w:hideMark/>
          </w:tcPr>
          <w:p w14:paraId="4E16ADA8"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2015</w:t>
            </w:r>
          </w:p>
        </w:tc>
        <w:tc>
          <w:tcPr>
            <w:tcW w:w="1220" w:type="dxa"/>
            <w:tcBorders>
              <w:top w:val="single" w:sz="4" w:space="0" w:color="auto"/>
              <w:left w:val="nil"/>
              <w:bottom w:val="single" w:sz="12" w:space="0" w:color="auto"/>
              <w:right w:val="nil"/>
            </w:tcBorders>
            <w:shd w:val="clear" w:color="auto" w:fill="auto"/>
            <w:noWrap/>
            <w:vAlign w:val="center"/>
            <w:hideMark/>
          </w:tcPr>
          <w:p w14:paraId="5710E916"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2020</w:t>
            </w:r>
          </w:p>
        </w:tc>
        <w:tc>
          <w:tcPr>
            <w:tcW w:w="1220" w:type="dxa"/>
            <w:tcBorders>
              <w:top w:val="single" w:sz="4" w:space="0" w:color="auto"/>
              <w:left w:val="nil"/>
              <w:bottom w:val="single" w:sz="12" w:space="0" w:color="auto"/>
              <w:right w:val="nil"/>
            </w:tcBorders>
            <w:shd w:val="clear" w:color="auto" w:fill="auto"/>
            <w:noWrap/>
            <w:vAlign w:val="center"/>
            <w:hideMark/>
          </w:tcPr>
          <w:p w14:paraId="3ECACFC7"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2025</w:t>
            </w:r>
          </w:p>
        </w:tc>
        <w:tc>
          <w:tcPr>
            <w:tcW w:w="1220" w:type="dxa"/>
            <w:tcBorders>
              <w:top w:val="single" w:sz="4" w:space="0" w:color="auto"/>
              <w:left w:val="nil"/>
              <w:bottom w:val="single" w:sz="12" w:space="0" w:color="auto"/>
              <w:right w:val="nil"/>
            </w:tcBorders>
            <w:shd w:val="clear" w:color="auto" w:fill="auto"/>
            <w:noWrap/>
            <w:vAlign w:val="center"/>
            <w:hideMark/>
          </w:tcPr>
          <w:p w14:paraId="0591D685"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2030</w:t>
            </w:r>
          </w:p>
        </w:tc>
        <w:tc>
          <w:tcPr>
            <w:tcW w:w="1220" w:type="dxa"/>
            <w:tcBorders>
              <w:top w:val="single" w:sz="4" w:space="0" w:color="auto"/>
              <w:left w:val="nil"/>
              <w:bottom w:val="single" w:sz="12" w:space="0" w:color="auto"/>
              <w:right w:val="nil"/>
            </w:tcBorders>
            <w:shd w:val="clear" w:color="auto" w:fill="auto"/>
            <w:noWrap/>
            <w:vAlign w:val="center"/>
            <w:hideMark/>
          </w:tcPr>
          <w:p w14:paraId="46DF5BE5"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2035</w:t>
            </w:r>
          </w:p>
        </w:tc>
        <w:tc>
          <w:tcPr>
            <w:tcW w:w="1220" w:type="dxa"/>
            <w:tcBorders>
              <w:top w:val="single" w:sz="4" w:space="0" w:color="auto"/>
              <w:left w:val="nil"/>
              <w:bottom w:val="single" w:sz="12" w:space="0" w:color="auto"/>
              <w:right w:val="nil"/>
            </w:tcBorders>
            <w:shd w:val="clear" w:color="auto" w:fill="auto"/>
            <w:noWrap/>
            <w:vAlign w:val="center"/>
            <w:hideMark/>
          </w:tcPr>
          <w:p w14:paraId="01D54726"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2040</w:t>
            </w:r>
          </w:p>
        </w:tc>
        <w:tc>
          <w:tcPr>
            <w:tcW w:w="1160" w:type="dxa"/>
            <w:tcBorders>
              <w:top w:val="single" w:sz="4" w:space="0" w:color="auto"/>
              <w:left w:val="nil"/>
              <w:bottom w:val="single" w:sz="12" w:space="0" w:color="auto"/>
              <w:right w:val="nil"/>
            </w:tcBorders>
            <w:shd w:val="clear" w:color="auto" w:fill="auto"/>
            <w:vAlign w:val="center"/>
            <w:hideMark/>
          </w:tcPr>
          <w:p w14:paraId="6E171FF2"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2010-2040 Change</w:t>
            </w:r>
          </w:p>
        </w:tc>
      </w:tr>
      <w:tr w:rsidR="00063725" w:rsidRPr="00063725" w14:paraId="7B4EA92C" w14:textId="77777777" w:rsidTr="00B81596">
        <w:trPr>
          <w:trHeight w:val="80"/>
        </w:trPr>
        <w:tc>
          <w:tcPr>
            <w:tcW w:w="4400" w:type="dxa"/>
            <w:gridSpan w:val="2"/>
            <w:tcBorders>
              <w:top w:val="nil"/>
              <w:left w:val="nil"/>
              <w:bottom w:val="nil"/>
              <w:right w:val="nil"/>
            </w:tcBorders>
            <w:shd w:val="clear" w:color="auto" w:fill="auto"/>
            <w:noWrap/>
            <w:vAlign w:val="bottom"/>
            <w:hideMark/>
          </w:tcPr>
          <w:p w14:paraId="6A708851" w14:textId="77777777" w:rsidR="00063725" w:rsidRPr="00063725" w:rsidRDefault="00063725" w:rsidP="00063725">
            <w:pPr>
              <w:spacing w:line="240" w:lineRule="auto"/>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7A2A78F8"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4A6FB15D"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39F40C96"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62939B20"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53B30326"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158CB18F"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51846BE0" w14:textId="77777777" w:rsidR="00063725" w:rsidRPr="00063725" w:rsidRDefault="00063725" w:rsidP="00063725">
            <w:pPr>
              <w:spacing w:line="240" w:lineRule="auto"/>
              <w:jc w:val="right"/>
              <w:rPr>
                <w:rFonts w:eastAsia="Times New Roman" w:cs="Times New Roman"/>
                <w:sz w:val="18"/>
                <w:szCs w:val="18"/>
              </w:rPr>
            </w:pPr>
          </w:p>
        </w:tc>
        <w:tc>
          <w:tcPr>
            <w:tcW w:w="1160" w:type="dxa"/>
            <w:tcBorders>
              <w:top w:val="nil"/>
              <w:left w:val="nil"/>
              <w:bottom w:val="nil"/>
              <w:right w:val="nil"/>
            </w:tcBorders>
            <w:shd w:val="clear" w:color="auto" w:fill="auto"/>
            <w:noWrap/>
            <w:vAlign w:val="bottom"/>
            <w:hideMark/>
          </w:tcPr>
          <w:p w14:paraId="602B61AA" w14:textId="77777777" w:rsidR="00063725" w:rsidRPr="00063725" w:rsidRDefault="00063725" w:rsidP="00063725">
            <w:pPr>
              <w:spacing w:line="240" w:lineRule="auto"/>
              <w:jc w:val="right"/>
              <w:rPr>
                <w:rFonts w:eastAsia="Times New Roman" w:cs="Times New Roman"/>
                <w:b/>
                <w:bCs/>
                <w:sz w:val="18"/>
                <w:szCs w:val="18"/>
              </w:rPr>
            </w:pPr>
          </w:p>
        </w:tc>
      </w:tr>
      <w:tr w:rsidR="00063725" w:rsidRPr="00063725" w14:paraId="2779AA34" w14:textId="77777777" w:rsidTr="00B81596">
        <w:trPr>
          <w:trHeight w:val="220"/>
        </w:trPr>
        <w:tc>
          <w:tcPr>
            <w:tcW w:w="4400" w:type="dxa"/>
            <w:gridSpan w:val="2"/>
            <w:tcBorders>
              <w:top w:val="nil"/>
              <w:left w:val="nil"/>
              <w:bottom w:val="nil"/>
              <w:right w:val="nil"/>
            </w:tcBorders>
            <w:shd w:val="clear" w:color="auto" w:fill="auto"/>
            <w:noWrap/>
            <w:vAlign w:val="bottom"/>
            <w:hideMark/>
          </w:tcPr>
          <w:p w14:paraId="13BCE4D7" w14:textId="77777777" w:rsidR="00063725" w:rsidRPr="00063725" w:rsidRDefault="00063725" w:rsidP="00063725">
            <w:pPr>
              <w:spacing w:line="240" w:lineRule="auto"/>
              <w:rPr>
                <w:rFonts w:eastAsia="Times New Roman" w:cs="Times New Roman"/>
                <w:b/>
                <w:bCs/>
                <w:sz w:val="18"/>
                <w:szCs w:val="18"/>
              </w:rPr>
            </w:pPr>
            <w:r w:rsidRPr="00063725">
              <w:rPr>
                <w:rFonts w:eastAsia="Times New Roman" w:cs="Times New Roman"/>
                <w:b/>
                <w:bCs/>
                <w:sz w:val="18"/>
                <w:szCs w:val="18"/>
              </w:rPr>
              <w:t>Bay Area Regional Total</w:t>
            </w:r>
          </w:p>
        </w:tc>
        <w:tc>
          <w:tcPr>
            <w:tcW w:w="1220" w:type="dxa"/>
            <w:tcBorders>
              <w:top w:val="nil"/>
              <w:left w:val="nil"/>
              <w:bottom w:val="nil"/>
              <w:right w:val="nil"/>
            </w:tcBorders>
            <w:shd w:val="clear" w:color="auto" w:fill="auto"/>
            <w:noWrap/>
            <w:vAlign w:val="bottom"/>
            <w:hideMark/>
          </w:tcPr>
          <w:p w14:paraId="50A3B64A"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339518D7"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79E6AF6B"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21E4885F"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57505896"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4063558C"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3DD5BAA5" w14:textId="77777777" w:rsidR="00063725" w:rsidRPr="00063725" w:rsidRDefault="00063725" w:rsidP="00063725">
            <w:pPr>
              <w:spacing w:line="240" w:lineRule="auto"/>
              <w:jc w:val="right"/>
              <w:rPr>
                <w:rFonts w:eastAsia="Times New Roman" w:cs="Times New Roman"/>
                <w:sz w:val="18"/>
                <w:szCs w:val="18"/>
              </w:rPr>
            </w:pPr>
          </w:p>
        </w:tc>
        <w:tc>
          <w:tcPr>
            <w:tcW w:w="1160" w:type="dxa"/>
            <w:tcBorders>
              <w:top w:val="nil"/>
              <w:left w:val="nil"/>
              <w:bottom w:val="nil"/>
              <w:right w:val="nil"/>
            </w:tcBorders>
            <w:shd w:val="clear" w:color="auto" w:fill="auto"/>
            <w:noWrap/>
            <w:vAlign w:val="bottom"/>
            <w:hideMark/>
          </w:tcPr>
          <w:p w14:paraId="4B661D2A" w14:textId="77777777" w:rsidR="00063725" w:rsidRPr="00063725" w:rsidRDefault="00063725" w:rsidP="00063725">
            <w:pPr>
              <w:spacing w:line="240" w:lineRule="auto"/>
              <w:jc w:val="right"/>
              <w:rPr>
                <w:rFonts w:eastAsia="Times New Roman" w:cs="Times New Roman"/>
                <w:b/>
                <w:bCs/>
                <w:sz w:val="18"/>
                <w:szCs w:val="18"/>
              </w:rPr>
            </w:pPr>
          </w:p>
        </w:tc>
      </w:tr>
      <w:tr w:rsidR="00063725" w:rsidRPr="00063725" w14:paraId="63CEB995" w14:textId="77777777" w:rsidTr="00B81596">
        <w:trPr>
          <w:trHeight w:val="240"/>
        </w:trPr>
        <w:tc>
          <w:tcPr>
            <w:tcW w:w="4400" w:type="dxa"/>
            <w:gridSpan w:val="2"/>
            <w:tcBorders>
              <w:top w:val="nil"/>
              <w:left w:val="nil"/>
              <w:bottom w:val="nil"/>
              <w:right w:val="nil"/>
            </w:tcBorders>
            <w:shd w:val="clear" w:color="auto" w:fill="auto"/>
            <w:vAlign w:val="bottom"/>
            <w:hideMark/>
          </w:tcPr>
          <w:p w14:paraId="01834D7C"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Agriculture and Natural Resources Jobs</w:t>
            </w:r>
          </w:p>
        </w:tc>
        <w:tc>
          <w:tcPr>
            <w:tcW w:w="1220" w:type="dxa"/>
            <w:tcBorders>
              <w:top w:val="nil"/>
              <w:left w:val="nil"/>
              <w:bottom w:val="nil"/>
              <w:right w:val="nil"/>
            </w:tcBorders>
            <w:shd w:val="clear" w:color="000000" w:fill="FFFFFF"/>
            <w:noWrap/>
            <w:vAlign w:val="bottom"/>
            <w:hideMark/>
          </w:tcPr>
          <w:p w14:paraId="2540313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24,640</w:t>
            </w:r>
          </w:p>
        </w:tc>
        <w:tc>
          <w:tcPr>
            <w:tcW w:w="1220" w:type="dxa"/>
            <w:tcBorders>
              <w:top w:val="nil"/>
              <w:left w:val="nil"/>
              <w:bottom w:val="nil"/>
              <w:right w:val="nil"/>
            </w:tcBorders>
            <w:shd w:val="clear" w:color="000000" w:fill="FFFFFF"/>
            <w:noWrap/>
            <w:vAlign w:val="bottom"/>
            <w:hideMark/>
          </w:tcPr>
          <w:p w14:paraId="2AABDF8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25,180</w:t>
            </w:r>
          </w:p>
        </w:tc>
        <w:tc>
          <w:tcPr>
            <w:tcW w:w="1220" w:type="dxa"/>
            <w:tcBorders>
              <w:top w:val="nil"/>
              <w:left w:val="nil"/>
              <w:bottom w:val="nil"/>
              <w:right w:val="nil"/>
            </w:tcBorders>
            <w:shd w:val="clear" w:color="000000" w:fill="FFFFFF"/>
            <w:noWrap/>
            <w:vAlign w:val="bottom"/>
            <w:hideMark/>
          </w:tcPr>
          <w:p w14:paraId="1EABCC6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25,690</w:t>
            </w:r>
          </w:p>
        </w:tc>
        <w:tc>
          <w:tcPr>
            <w:tcW w:w="1220" w:type="dxa"/>
            <w:tcBorders>
              <w:top w:val="nil"/>
              <w:left w:val="nil"/>
              <w:bottom w:val="nil"/>
              <w:right w:val="nil"/>
            </w:tcBorders>
            <w:shd w:val="clear" w:color="000000" w:fill="FFFFFF"/>
            <w:noWrap/>
            <w:vAlign w:val="bottom"/>
            <w:hideMark/>
          </w:tcPr>
          <w:p w14:paraId="3FCE232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24,800</w:t>
            </w:r>
          </w:p>
        </w:tc>
        <w:tc>
          <w:tcPr>
            <w:tcW w:w="1220" w:type="dxa"/>
            <w:tcBorders>
              <w:top w:val="nil"/>
              <w:left w:val="nil"/>
              <w:bottom w:val="nil"/>
              <w:right w:val="nil"/>
            </w:tcBorders>
            <w:shd w:val="clear" w:color="000000" w:fill="FFFFFF"/>
            <w:noWrap/>
            <w:vAlign w:val="bottom"/>
            <w:hideMark/>
          </w:tcPr>
          <w:p w14:paraId="6227CED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23,940</w:t>
            </w:r>
          </w:p>
        </w:tc>
        <w:tc>
          <w:tcPr>
            <w:tcW w:w="1220" w:type="dxa"/>
            <w:tcBorders>
              <w:top w:val="nil"/>
              <w:left w:val="nil"/>
              <w:bottom w:val="nil"/>
              <w:right w:val="nil"/>
            </w:tcBorders>
            <w:shd w:val="clear" w:color="000000" w:fill="FFFFFF"/>
            <w:noWrap/>
            <w:vAlign w:val="bottom"/>
            <w:hideMark/>
          </w:tcPr>
          <w:p w14:paraId="2C38239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23,330</w:t>
            </w:r>
          </w:p>
        </w:tc>
        <w:tc>
          <w:tcPr>
            <w:tcW w:w="1220" w:type="dxa"/>
            <w:tcBorders>
              <w:top w:val="nil"/>
              <w:left w:val="nil"/>
              <w:bottom w:val="nil"/>
              <w:right w:val="nil"/>
            </w:tcBorders>
            <w:shd w:val="clear" w:color="000000" w:fill="FFFFFF"/>
            <w:noWrap/>
            <w:vAlign w:val="bottom"/>
            <w:hideMark/>
          </w:tcPr>
          <w:p w14:paraId="00BB3FB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22,750</w:t>
            </w:r>
          </w:p>
        </w:tc>
        <w:tc>
          <w:tcPr>
            <w:tcW w:w="1160" w:type="dxa"/>
            <w:tcBorders>
              <w:top w:val="nil"/>
              <w:left w:val="nil"/>
              <w:bottom w:val="nil"/>
              <w:right w:val="nil"/>
            </w:tcBorders>
            <w:shd w:val="clear" w:color="auto" w:fill="auto"/>
            <w:vAlign w:val="bottom"/>
            <w:hideMark/>
          </w:tcPr>
          <w:p w14:paraId="2A88F93F"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-1,890</w:t>
            </w:r>
          </w:p>
        </w:tc>
      </w:tr>
      <w:tr w:rsidR="00063725" w:rsidRPr="00063725" w14:paraId="05287912" w14:textId="77777777" w:rsidTr="00B81596">
        <w:trPr>
          <w:trHeight w:val="240"/>
        </w:trPr>
        <w:tc>
          <w:tcPr>
            <w:tcW w:w="4400" w:type="dxa"/>
            <w:gridSpan w:val="2"/>
            <w:tcBorders>
              <w:top w:val="nil"/>
              <w:left w:val="nil"/>
              <w:bottom w:val="nil"/>
              <w:right w:val="nil"/>
            </w:tcBorders>
            <w:shd w:val="clear" w:color="auto" w:fill="auto"/>
            <w:vAlign w:val="bottom"/>
            <w:hideMark/>
          </w:tcPr>
          <w:p w14:paraId="0CB26A5A"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Mfg, Wholesale and Transportation Jobs</w:t>
            </w:r>
          </w:p>
        </w:tc>
        <w:tc>
          <w:tcPr>
            <w:tcW w:w="1220" w:type="dxa"/>
            <w:tcBorders>
              <w:top w:val="nil"/>
              <w:left w:val="nil"/>
              <w:bottom w:val="nil"/>
              <w:right w:val="nil"/>
            </w:tcBorders>
            <w:shd w:val="clear" w:color="auto" w:fill="auto"/>
            <w:vAlign w:val="bottom"/>
            <w:hideMark/>
          </w:tcPr>
          <w:p w14:paraId="33A6B8F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863,420</w:t>
            </w:r>
          </w:p>
        </w:tc>
        <w:tc>
          <w:tcPr>
            <w:tcW w:w="1220" w:type="dxa"/>
            <w:tcBorders>
              <w:top w:val="nil"/>
              <w:left w:val="nil"/>
              <w:bottom w:val="nil"/>
              <w:right w:val="nil"/>
            </w:tcBorders>
            <w:shd w:val="clear" w:color="auto" w:fill="auto"/>
            <w:vAlign w:val="bottom"/>
            <w:hideMark/>
          </w:tcPr>
          <w:p w14:paraId="1E13A7E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711,380</w:t>
            </w:r>
          </w:p>
        </w:tc>
        <w:tc>
          <w:tcPr>
            <w:tcW w:w="1220" w:type="dxa"/>
            <w:tcBorders>
              <w:top w:val="nil"/>
              <w:left w:val="nil"/>
              <w:bottom w:val="nil"/>
              <w:right w:val="nil"/>
            </w:tcBorders>
            <w:shd w:val="clear" w:color="auto" w:fill="auto"/>
            <w:vAlign w:val="bottom"/>
            <w:hideMark/>
          </w:tcPr>
          <w:p w14:paraId="731C917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717,180</w:t>
            </w:r>
          </w:p>
        </w:tc>
        <w:tc>
          <w:tcPr>
            <w:tcW w:w="1220" w:type="dxa"/>
            <w:tcBorders>
              <w:top w:val="nil"/>
              <w:left w:val="nil"/>
              <w:bottom w:val="nil"/>
              <w:right w:val="nil"/>
            </w:tcBorders>
            <w:shd w:val="clear" w:color="auto" w:fill="auto"/>
            <w:vAlign w:val="bottom"/>
            <w:hideMark/>
          </w:tcPr>
          <w:p w14:paraId="2A0598E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763,680</w:t>
            </w:r>
          </w:p>
        </w:tc>
        <w:tc>
          <w:tcPr>
            <w:tcW w:w="1220" w:type="dxa"/>
            <w:tcBorders>
              <w:top w:val="nil"/>
              <w:left w:val="nil"/>
              <w:bottom w:val="nil"/>
              <w:right w:val="nil"/>
            </w:tcBorders>
            <w:shd w:val="clear" w:color="auto" w:fill="auto"/>
            <w:vAlign w:val="bottom"/>
            <w:hideMark/>
          </w:tcPr>
          <w:p w14:paraId="33C8074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819,010</w:t>
            </w:r>
          </w:p>
        </w:tc>
        <w:tc>
          <w:tcPr>
            <w:tcW w:w="1220" w:type="dxa"/>
            <w:tcBorders>
              <w:top w:val="nil"/>
              <w:left w:val="nil"/>
              <w:bottom w:val="nil"/>
              <w:right w:val="nil"/>
            </w:tcBorders>
            <w:shd w:val="clear" w:color="auto" w:fill="auto"/>
            <w:vAlign w:val="bottom"/>
            <w:hideMark/>
          </w:tcPr>
          <w:p w14:paraId="1BCBE01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861,170</w:t>
            </w:r>
          </w:p>
        </w:tc>
        <w:tc>
          <w:tcPr>
            <w:tcW w:w="1220" w:type="dxa"/>
            <w:tcBorders>
              <w:top w:val="nil"/>
              <w:left w:val="nil"/>
              <w:bottom w:val="nil"/>
              <w:right w:val="nil"/>
            </w:tcBorders>
            <w:shd w:val="clear" w:color="auto" w:fill="auto"/>
            <w:vAlign w:val="bottom"/>
            <w:hideMark/>
          </w:tcPr>
          <w:p w14:paraId="7760E67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861,170</w:t>
            </w:r>
          </w:p>
        </w:tc>
        <w:tc>
          <w:tcPr>
            <w:tcW w:w="1160" w:type="dxa"/>
            <w:tcBorders>
              <w:top w:val="nil"/>
              <w:left w:val="nil"/>
              <w:bottom w:val="nil"/>
              <w:right w:val="nil"/>
            </w:tcBorders>
            <w:shd w:val="clear" w:color="auto" w:fill="auto"/>
            <w:vAlign w:val="bottom"/>
            <w:hideMark/>
          </w:tcPr>
          <w:p w14:paraId="5B772738"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-2,250</w:t>
            </w:r>
          </w:p>
        </w:tc>
      </w:tr>
      <w:tr w:rsidR="00063725" w:rsidRPr="00063725" w14:paraId="7C2D0245" w14:textId="77777777" w:rsidTr="00B81596">
        <w:trPr>
          <w:trHeight w:val="240"/>
        </w:trPr>
        <w:tc>
          <w:tcPr>
            <w:tcW w:w="4400" w:type="dxa"/>
            <w:gridSpan w:val="2"/>
            <w:tcBorders>
              <w:top w:val="nil"/>
              <w:left w:val="nil"/>
              <w:bottom w:val="nil"/>
              <w:right w:val="nil"/>
            </w:tcBorders>
            <w:shd w:val="clear" w:color="auto" w:fill="auto"/>
            <w:vAlign w:val="bottom"/>
            <w:hideMark/>
          </w:tcPr>
          <w:p w14:paraId="7CB96653"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Retail Jobs</w:t>
            </w:r>
          </w:p>
        </w:tc>
        <w:tc>
          <w:tcPr>
            <w:tcW w:w="1220" w:type="dxa"/>
            <w:tcBorders>
              <w:top w:val="nil"/>
              <w:left w:val="nil"/>
              <w:bottom w:val="nil"/>
              <w:right w:val="nil"/>
            </w:tcBorders>
            <w:shd w:val="clear" w:color="auto" w:fill="auto"/>
            <w:vAlign w:val="bottom"/>
            <w:hideMark/>
          </w:tcPr>
          <w:p w14:paraId="6F97869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402,670</w:t>
            </w:r>
          </w:p>
        </w:tc>
        <w:tc>
          <w:tcPr>
            <w:tcW w:w="1220" w:type="dxa"/>
            <w:tcBorders>
              <w:top w:val="nil"/>
              <w:left w:val="nil"/>
              <w:bottom w:val="nil"/>
              <w:right w:val="nil"/>
            </w:tcBorders>
            <w:shd w:val="clear" w:color="auto" w:fill="auto"/>
            <w:vAlign w:val="bottom"/>
            <w:hideMark/>
          </w:tcPr>
          <w:p w14:paraId="23136C95"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367,180</w:t>
            </w:r>
          </w:p>
        </w:tc>
        <w:tc>
          <w:tcPr>
            <w:tcW w:w="1220" w:type="dxa"/>
            <w:tcBorders>
              <w:top w:val="nil"/>
              <w:left w:val="nil"/>
              <w:bottom w:val="nil"/>
              <w:right w:val="nil"/>
            </w:tcBorders>
            <w:shd w:val="clear" w:color="auto" w:fill="auto"/>
            <w:vAlign w:val="bottom"/>
            <w:hideMark/>
          </w:tcPr>
          <w:p w14:paraId="3B39513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347,400</w:t>
            </w:r>
          </w:p>
        </w:tc>
        <w:tc>
          <w:tcPr>
            <w:tcW w:w="1220" w:type="dxa"/>
            <w:tcBorders>
              <w:top w:val="nil"/>
              <w:left w:val="nil"/>
              <w:bottom w:val="nil"/>
              <w:right w:val="nil"/>
            </w:tcBorders>
            <w:shd w:val="clear" w:color="auto" w:fill="auto"/>
            <w:vAlign w:val="bottom"/>
            <w:hideMark/>
          </w:tcPr>
          <w:p w14:paraId="20EE8B7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370,880</w:t>
            </w:r>
          </w:p>
        </w:tc>
        <w:tc>
          <w:tcPr>
            <w:tcW w:w="1220" w:type="dxa"/>
            <w:tcBorders>
              <w:top w:val="nil"/>
              <w:left w:val="nil"/>
              <w:bottom w:val="nil"/>
              <w:right w:val="nil"/>
            </w:tcBorders>
            <w:shd w:val="clear" w:color="auto" w:fill="auto"/>
            <w:vAlign w:val="bottom"/>
            <w:hideMark/>
          </w:tcPr>
          <w:p w14:paraId="7A6858A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399,950</w:t>
            </w:r>
          </w:p>
        </w:tc>
        <w:tc>
          <w:tcPr>
            <w:tcW w:w="1220" w:type="dxa"/>
            <w:tcBorders>
              <w:top w:val="nil"/>
              <w:left w:val="nil"/>
              <w:bottom w:val="nil"/>
              <w:right w:val="nil"/>
            </w:tcBorders>
            <w:shd w:val="clear" w:color="auto" w:fill="auto"/>
            <w:vAlign w:val="bottom"/>
            <w:hideMark/>
          </w:tcPr>
          <w:p w14:paraId="101EAA8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453,870</w:t>
            </w:r>
          </w:p>
        </w:tc>
        <w:tc>
          <w:tcPr>
            <w:tcW w:w="1220" w:type="dxa"/>
            <w:tcBorders>
              <w:top w:val="nil"/>
              <w:left w:val="nil"/>
              <w:bottom w:val="nil"/>
              <w:right w:val="nil"/>
            </w:tcBorders>
            <w:shd w:val="clear" w:color="auto" w:fill="auto"/>
            <w:vAlign w:val="bottom"/>
            <w:hideMark/>
          </w:tcPr>
          <w:p w14:paraId="0380FA8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453,870</w:t>
            </w:r>
          </w:p>
        </w:tc>
        <w:tc>
          <w:tcPr>
            <w:tcW w:w="1160" w:type="dxa"/>
            <w:tcBorders>
              <w:top w:val="nil"/>
              <w:left w:val="nil"/>
              <w:bottom w:val="nil"/>
              <w:right w:val="nil"/>
            </w:tcBorders>
            <w:shd w:val="clear" w:color="auto" w:fill="auto"/>
            <w:vAlign w:val="bottom"/>
            <w:hideMark/>
          </w:tcPr>
          <w:p w14:paraId="0618B038"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51,200</w:t>
            </w:r>
          </w:p>
        </w:tc>
      </w:tr>
      <w:tr w:rsidR="00063725" w:rsidRPr="00063725" w14:paraId="77601B83" w14:textId="77777777" w:rsidTr="00B81596">
        <w:trPr>
          <w:trHeight w:val="240"/>
        </w:trPr>
        <w:tc>
          <w:tcPr>
            <w:tcW w:w="4400" w:type="dxa"/>
            <w:gridSpan w:val="2"/>
            <w:tcBorders>
              <w:top w:val="nil"/>
              <w:left w:val="nil"/>
              <w:bottom w:val="nil"/>
              <w:right w:val="nil"/>
            </w:tcBorders>
            <w:shd w:val="clear" w:color="auto" w:fill="auto"/>
            <w:vAlign w:val="bottom"/>
            <w:hideMark/>
          </w:tcPr>
          <w:p w14:paraId="65BD1E87"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Health, Educ. and Recreation Service Jobs</w:t>
            </w:r>
          </w:p>
        </w:tc>
        <w:tc>
          <w:tcPr>
            <w:tcW w:w="1220" w:type="dxa"/>
            <w:tcBorders>
              <w:top w:val="nil"/>
              <w:left w:val="nil"/>
              <w:bottom w:val="nil"/>
              <w:right w:val="nil"/>
            </w:tcBorders>
            <w:shd w:val="clear" w:color="auto" w:fill="auto"/>
            <w:vAlign w:val="bottom"/>
            <w:hideMark/>
          </w:tcPr>
          <w:p w14:paraId="23491ED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1,056,030</w:t>
            </w:r>
          </w:p>
        </w:tc>
        <w:tc>
          <w:tcPr>
            <w:tcW w:w="1220" w:type="dxa"/>
            <w:tcBorders>
              <w:top w:val="nil"/>
              <w:left w:val="nil"/>
              <w:bottom w:val="nil"/>
              <w:right w:val="nil"/>
            </w:tcBorders>
            <w:shd w:val="clear" w:color="auto" w:fill="auto"/>
            <w:vAlign w:val="bottom"/>
            <w:hideMark/>
          </w:tcPr>
          <w:p w14:paraId="473143B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1,053,510</w:t>
            </w:r>
          </w:p>
        </w:tc>
        <w:tc>
          <w:tcPr>
            <w:tcW w:w="1220" w:type="dxa"/>
            <w:tcBorders>
              <w:top w:val="nil"/>
              <w:left w:val="nil"/>
              <w:bottom w:val="nil"/>
              <w:right w:val="nil"/>
            </w:tcBorders>
            <w:shd w:val="clear" w:color="auto" w:fill="auto"/>
            <w:vAlign w:val="bottom"/>
            <w:hideMark/>
          </w:tcPr>
          <w:p w14:paraId="47FEEDD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1,120,700</w:t>
            </w:r>
          </w:p>
        </w:tc>
        <w:tc>
          <w:tcPr>
            <w:tcW w:w="1220" w:type="dxa"/>
            <w:tcBorders>
              <w:top w:val="nil"/>
              <w:left w:val="nil"/>
              <w:bottom w:val="nil"/>
              <w:right w:val="nil"/>
            </w:tcBorders>
            <w:shd w:val="clear" w:color="auto" w:fill="auto"/>
            <w:vAlign w:val="bottom"/>
            <w:hideMark/>
          </w:tcPr>
          <w:p w14:paraId="19F7135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1,216,120</w:t>
            </w:r>
          </w:p>
        </w:tc>
        <w:tc>
          <w:tcPr>
            <w:tcW w:w="1220" w:type="dxa"/>
            <w:tcBorders>
              <w:top w:val="nil"/>
              <w:left w:val="nil"/>
              <w:bottom w:val="nil"/>
              <w:right w:val="nil"/>
            </w:tcBorders>
            <w:shd w:val="clear" w:color="auto" w:fill="auto"/>
            <w:vAlign w:val="bottom"/>
            <w:hideMark/>
          </w:tcPr>
          <w:p w14:paraId="36ADE05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1,322,650</w:t>
            </w:r>
          </w:p>
        </w:tc>
        <w:tc>
          <w:tcPr>
            <w:tcW w:w="1220" w:type="dxa"/>
            <w:tcBorders>
              <w:top w:val="nil"/>
              <w:left w:val="nil"/>
              <w:bottom w:val="nil"/>
              <w:right w:val="nil"/>
            </w:tcBorders>
            <w:shd w:val="clear" w:color="auto" w:fill="auto"/>
            <w:vAlign w:val="bottom"/>
            <w:hideMark/>
          </w:tcPr>
          <w:p w14:paraId="4783A35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1,403,080</w:t>
            </w:r>
          </w:p>
        </w:tc>
        <w:tc>
          <w:tcPr>
            <w:tcW w:w="1220" w:type="dxa"/>
            <w:tcBorders>
              <w:top w:val="nil"/>
              <w:left w:val="nil"/>
              <w:bottom w:val="nil"/>
              <w:right w:val="nil"/>
            </w:tcBorders>
            <w:shd w:val="clear" w:color="auto" w:fill="auto"/>
            <w:vAlign w:val="bottom"/>
            <w:hideMark/>
          </w:tcPr>
          <w:p w14:paraId="201D7275"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1,403,080</w:t>
            </w:r>
          </w:p>
        </w:tc>
        <w:tc>
          <w:tcPr>
            <w:tcW w:w="1160" w:type="dxa"/>
            <w:tcBorders>
              <w:top w:val="nil"/>
              <w:left w:val="nil"/>
              <w:bottom w:val="nil"/>
              <w:right w:val="nil"/>
            </w:tcBorders>
            <w:shd w:val="clear" w:color="auto" w:fill="auto"/>
            <w:vAlign w:val="bottom"/>
            <w:hideMark/>
          </w:tcPr>
          <w:p w14:paraId="24BCBB09"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347,050</w:t>
            </w:r>
          </w:p>
        </w:tc>
      </w:tr>
      <w:tr w:rsidR="00063725" w:rsidRPr="00063725" w14:paraId="0F250F61" w14:textId="77777777" w:rsidTr="00B81596">
        <w:trPr>
          <w:trHeight w:val="240"/>
        </w:trPr>
        <w:tc>
          <w:tcPr>
            <w:tcW w:w="4400" w:type="dxa"/>
            <w:gridSpan w:val="2"/>
            <w:tcBorders>
              <w:top w:val="nil"/>
              <w:left w:val="nil"/>
              <w:bottom w:val="nil"/>
              <w:right w:val="nil"/>
            </w:tcBorders>
            <w:shd w:val="clear" w:color="auto" w:fill="auto"/>
            <w:vAlign w:val="bottom"/>
            <w:hideMark/>
          </w:tcPr>
          <w:p w14:paraId="3D0C693A"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Financial and Professional Services Jobs</w:t>
            </w:r>
          </w:p>
        </w:tc>
        <w:tc>
          <w:tcPr>
            <w:tcW w:w="1220" w:type="dxa"/>
            <w:tcBorders>
              <w:top w:val="nil"/>
              <w:left w:val="nil"/>
              <w:bottom w:val="nil"/>
              <w:right w:val="nil"/>
            </w:tcBorders>
            <w:shd w:val="clear" w:color="auto" w:fill="auto"/>
            <w:vAlign w:val="bottom"/>
            <w:hideMark/>
          </w:tcPr>
          <w:p w14:paraId="202D9AA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851,610</w:t>
            </w:r>
          </w:p>
        </w:tc>
        <w:tc>
          <w:tcPr>
            <w:tcW w:w="1220" w:type="dxa"/>
            <w:tcBorders>
              <w:top w:val="nil"/>
              <w:left w:val="nil"/>
              <w:bottom w:val="nil"/>
              <w:right w:val="nil"/>
            </w:tcBorders>
            <w:shd w:val="clear" w:color="auto" w:fill="auto"/>
            <w:vAlign w:val="bottom"/>
            <w:hideMark/>
          </w:tcPr>
          <w:p w14:paraId="1091F40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780,260</w:t>
            </w:r>
          </w:p>
        </w:tc>
        <w:tc>
          <w:tcPr>
            <w:tcW w:w="1220" w:type="dxa"/>
            <w:tcBorders>
              <w:top w:val="nil"/>
              <w:left w:val="nil"/>
              <w:bottom w:val="nil"/>
              <w:right w:val="nil"/>
            </w:tcBorders>
            <w:shd w:val="clear" w:color="auto" w:fill="auto"/>
            <w:vAlign w:val="bottom"/>
            <w:hideMark/>
          </w:tcPr>
          <w:p w14:paraId="4A4C36D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766,860</w:t>
            </w:r>
          </w:p>
        </w:tc>
        <w:tc>
          <w:tcPr>
            <w:tcW w:w="1220" w:type="dxa"/>
            <w:tcBorders>
              <w:top w:val="nil"/>
              <w:left w:val="nil"/>
              <w:bottom w:val="nil"/>
              <w:right w:val="nil"/>
            </w:tcBorders>
            <w:shd w:val="clear" w:color="auto" w:fill="auto"/>
            <w:vAlign w:val="bottom"/>
            <w:hideMark/>
          </w:tcPr>
          <w:p w14:paraId="68E1B99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824,190</w:t>
            </w:r>
          </w:p>
        </w:tc>
        <w:tc>
          <w:tcPr>
            <w:tcW w:w="1220" w:type="dxa"/>
            <w:tcBorders>
              <w:top w:val="nil"/>
              <w:left w:val="nil"/>
              <w:bottom w:val="nil"/>
              <w:right w:val="nil"/>
            </w:tcBorders>
            <w:shd w:val="clear" w:color="auto" w:fill="auto"/>
            <w:vAlign w:val="bottom"/>
            <w:hideMark/>
          </w:tcPr>
          <w:p w14:paraId="3698BE2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893,550</w:t>
            </w:r>
          </w:p>
        </w:tc>
        <w:tc>
          <w:tcPr>
            <w:tcW w:w="1220" w:type="dxa"/>
            <w:tcBorders>
              <w:top w:val="nil"/>
              <w:left w:val="nil"/>
              <w:bottom w:val="nil"/>
              <w:right w:val="nil"/>
            </w:tcBorders>
            <w:shd w:val="clear" w:color="auto" w:fill="auto"/>
            <w:vAlign w:val="bottom"/>
            <w:hideMark/>
          </w:tcPr>
          <w:p w14:paraId="1CC2B24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990,840</w:t>
            </w:r>
          </w:p>
        </w:tc>
        <w:tc>
          <w:tcPr>
            <w:tcW w:w="1220" w:type="dxa"/>
            <w:tcBorders>
              <w:top w:val="nil"/>
              <w:left w:val="nil"/>
              <w:bottom w:val="nil"/>
              <w:right w:val="nil"/>
            </w:tcBorders>
            <w:shd w:val="clear" w:color="auto" w:fill="auto"/>
            <w:vAlign w:val="bottom"/>
            <w:hideMark/>
          </w:tcPr>
          <w:p w14:paraId="743E5A2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990,840</w:t>
            </w:r>
          </w:p>
        </w:tc>
        <w:tc>
          <w:tcPr>
            <w:tcW w:w="1160" w:type="dxa"/>
            <w:tcBorders>
              <w:top w:val="nil"/>
              <w:left w:val="nil"/>
              <w:bottom w:val="nil"/>
              <w:right w:val="nil"/>
            </w:tcBorders>
            <w:shd w:val="clear" w:color="auto" w:fill="auto"/>
            <w:vAlign w:val="bottom"/>
            <w:hideMark/>
          </w:tcPr>
          <w:p w14:paraId="1714AC5C"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139,230</w:t>
            </w:r>
          </w:p>
        </w:tc>
      </w:tr>
      <w:tr w:rsidR="00063725" w:rsidRPr="00063725" w14:paraId="51185138" w14:textId="77777777" w:rsidTr="00B81596">
        <w:trPr>
          <w:trHeight w:val="240"/>
        </w:trPr>
        <w:tc>
          <w:tcPr>
            <w:tcW w:w="4400" w:type="dxa"/>
            <w:gridSpan w:val="2"/>
            <w:tcBorders>
              <w:top w:val="nil"/>
              <w:left w:val="nil"/>
              <w:bottom w:val="nil"/>
              <w:right w:val="nil"/>
            </w:tcBorders>
            <w:shd w:val="clear" w:color="auto" w:fill="auto"/>
            <w:vAlign w:val="bottom"/>
            <w:hideMark/>
          </w:tcPr>
          <w:p w14:paraId="1BCBBA6E"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Other Jobs</w:t>
            </w:r>
          </w:p>
        </w:tc>
        <w:tc>
          <w:tcPr>
            <w:tcW w:w="1220" w:type="dxa"/>
            <w:tcBorders>
              <w:top w:val="nil"/>
              <w:left w:val="nil"/>
              <w:bottom w:val="nil"/>
              <w:right w:val="nil"/>
            </w:tcBorders>
            <w:shd w:val="clear" w:color="auto" w:fill="auto"/>
            <w:vAlign w:val="bottom"/>
            <w:hideMark/>
          </w:tcPr>
          <w:p w14:paraId="71BBDEA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555,260</w:t>
            </w:r>
          </w:p>
        </w:tc>
        <w:tc>
          <w:tcPr>
            <w:tcW w:w="1220" w:type="dxa"/>
            <w:tcBorders>
              <w:top w:val="nil"/>
              <w:left w:val="nil"/>
              <w:bottom w:val="nil"/>
              <w:right w:val="nil"/>
            </w:tcBorders>
            <w:shd w:val="clear" w:color="auto" w:fill="auto"/>
            <w:vAlign w:val="bottom"/>
            <w:hideMark/>
          </w:tcPr>
          <w:p w14:paraId="4F59C4E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513,240</w:t>
            </w:r>
          </w:p>
        </w:tc>
        <w:tc>
          <w:tcPr>
            <w:tcW w:w="1220" w:type="dxa"/>
            <w:tcBorders>
              <w:top w:val="nil"/>
              <w:left w:val="nil"/>
              <w:bottom w:val="nil"/>
              <w:right w:val="nil"/>
            </w:tcBorders>
            <w:shd w:val="clear" w:color="auto" w:fill="auto"/>
            <w:vAlign w:val="bottom"/>
            <w:hideMark/>
          </w:tcPr>
          <w:p w14:paraId="41E46F2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499,180</w:t>
            </w:r>
          </w:p>
        </w:tc>
        <w:tc>
          <w:tcPr>
            <w:tcW w:w="1220" w:type="dxa"/>
            <w:tcBorders>
              <w:top w:val="nil"/>
              <w:left w:val="nil"/>
              <w:bottom w:val="nil"/>
              <w:right w:val="nil"/>
            </w:tcBorders>
            <w:shd w:val="clear" w:color="auto" w:fill="auto"/>
            <w:vAlign w:val="bottom"/>
            <w:hideMark/>
          </w:tcPr>
          <w:p w14:paraId="7389B1D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534,850</w:t>
            </w:r>
          </w:p>
        </w:tc>
        <w:tc>
          <w:tcPr>
            <w:tcW w:w="1220" w:type="dxa"/>
            <w:tcBorders>
              <w:top w:val="nil"/>
              <w:left w:val="nil"/>
              <w:bottom w:val="nil"/>
              <w:right w:val="nil"/>
            </w:tcBorders>
            <w:shd w:val="clear" w:color="auto" w:fill="auto"/>
            <w:vAlign w:val="bottom"/>
            <w:hideMark/>
          </w:tcPr>
          <w:p w14:paraId="0479650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580,460</w:t>
            </w:r>
          </w:p>
        </w:tc>
        <w:tc>
          <w:tcPr>
            <w:tcW w:w="1220" w:type="dxa"/>
            <w:tcBorders>
              <w:top w:val="nil"/>
              <w:left w:val="nil"/>
              <w:bottom w:val="nil"/>
              <w:right w:val="nil"/>
            </w:tcBorders>
            <w:shd w:val="clear" w:color="auto" w:fill="auto"/>
            <w:vAlign w:val="bottom"/>
            <w:hideMark/>
          </w:tcPr>
          <w:p w14:paraId="4026374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645,670</w:t>
            </w:r>
          </w:p>
        </w:tc>
        <w:tc>
          <w:tcPr>
            <w:tcW w:w="1220" w:type="dxa"/>
            <w:tcBorders>
              <w:top w:val="nil"/>
              <w:left w:val="nil"/>
              <w:bottom w:val="nil"/>
              <w:right w:val="nil"/>
            </w:tcBorders>
            <w:shd w:val="clear" w:color="auto" w:fill="auto"/>
            <w:vAlign w:val="bottom"/>
            <w:hideMark/>
          </w:tcPr>
          <w:p w14:paraId="1523884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645,670</w:t>
            </w:r>
          </w:p>
        </w:tc>
        <w:tc>
          <w:tcPr>
            <w:tcW w:w="1160" w:type="dxa"/>
            <w:tcBorders>
              <w:top w:val="nil"/>
              <w:left w:val="nil"/>
              <w:bottom w:val="nil"/>
              <w:right w:val="nil"/>
            </w:tcBorders>
            <w:shd w:val="clear" w:color="auto" w:fill="auto"/>
            <w:vAlign w:val="bottom"/>
            <w:hideMark/>
          </w:tcPr>
          <w:p w14:paraId="0F30757F"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90,410</w:t>
            </w:r>
          </w:p>
        </w:tc>
      </w:tr>
      <w:tr w:rsidR="00063725" w:rsidRPr="00063725" w14:paraId="757DCAEB"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2CF0A125"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Total Jobs</w:t>
            </w:r>
          </w:p>
        </w:tc>
        <w:tc>
          <w:tcPr>
            <w:tcW w:w="1220" w:type="dxa"/>
            <w:tcBorders>
              <w:top w:val="nil"/>
              <w:left w:val="nil"/>
              <w:bottom w:val="nil"/>
              <w:right w:val="nil"/>
            </w:tcBorders>
            <w:shd w:val="clear" w:color="auto" w:fill="auto"/>
            <w:noWrap/>
            <w:vAlign w:val="bottom"/>
            <w:hideMark/>
          </w:tcPr>
          <w:p w14:paraId="2662CD1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3,753,460</w:t>
            </w:r>
          </w:p>
        </w:tc>
        <w:tc>
          <w:tcPr>
            <w:tcW w:w="1220" w:type="dxa"/>
            <w:tcBorders>
              <w:top w:val="nil"/>
              <w:left w:val="nil"/>
              <w:bottom w:val="nil"/>
              <w:right w:val="nil"/>
            </w:tcBorders>
            <w:shd w:val="clear" w:color="auto" w:fill="auto"/>
            <w:noWrap/>
            <w:vAlign w:val="bottom"/>
            <w:hideMark/>
          </w:tcPr>
          <w:p w14:paraId="37623A6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3,449,640</w:t>
            </w:r>
          </w:p>
        </w:tc>
        <w:tc>
          <w:tcPr>
            <w:tcW w:w="1220" w:type="dxa"/>
            <w:tcBorders>
              <w:top w:val="nil"/>
              <w:left w:val="nil"/>
              <w:bottom w:val="nil"/>
              <w:right w:val="nil"/>
            </w:tcBorders>
            <w:shd w:val="clear" w:color="auto" w:fill="auto"/>
            <w:noWrap/>
            <w:vAlign w:val="bottom"/>
            <w:hideMark/>
          </w:tcPr>
          <w:p w14:paraId="4E68505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3,693,920</w:t>
            </w:r>
          </w:p>
        </w:tc>
        <w:tc>
          <w:tcPr>
            <w:tcW w:w="1220" w:type="dxa"/>
            <w:tcBorders>
              <w:top w:val="nil"/>
              <w:left w:val="nil"/>
              <w:bottom w:val="nil"/>
              <w:right w:val="nil"/>
            </w:tcBorders>
            <w:shd w:val="clear" w:color="auto" w:fill="auto"/>
            <w:noWrap/>
            <w:vAlign w:val="bottom"/>
            <w:hideMark/>
          </w:tcPr>
          <w:p w14:paraId="12DF3DA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3,979,200</w:t>
            </w:r>
          </w:p>
        </w:tc>
        <w:tc>
          <w:tcPr>
            <w:tcW w:w="1220" w:type="dxa"/>
            <w:tcBorders>
              <w:top w:val="nil"/>
              <w:left w:val="nil"/>
              <w:bottom w:val="nil"/>
              <w:right w:val="nil"/>
            </w:tcBorders>
            <w:shd w:val="clear" w:color="auto" w:fill="auto"/>
            <w:noWrap/>
            <w:vAlign w:val="bottom"/>
            <w:hideMark/>
          </w:tcPr>
          <w:p w14:paraId="194BEE0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4,280,700</w:t>
            </w:r>
          </w:p>
        </w:tc>
        <w:tc>
          <w:tcPr>
            <w:tcW w:w="1220" w:type="dxa"/>
            <w:tcBorders>
              <w:top w:val="nil"/>
              <w:left w:val="nil"/>
              <w:bottom w:val="nil"/>
              <w:right w:val="nil"/>
            </w:tcBorders>
            <w:shd w:val="clear" w:color="auto" w:fill="auto"/>
            <w:noWrap/>
            <w:vAlign w:val="bottom"/>
            <w:hideMark/>
          </w:tcPr>
          <w:p w14:paraId="10F85B2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4,595,170</w:t>
            </w:r>
          </w:p>
        </w:tc>
        <w:tc>
          <w:tcPr>
            <w:tcW w:w="1220" w:type="dxa"/>
            <w:tcBorders>
              <w:top w:val="nil"/>
              <w:left w:val="nil"/>
              <w:bottom w:val="nil"/>
              <w:right w:val="nil"/>
            </w:tcBorders>
            <w:shd w:val="clear" w:color="auto" w:fill="auto"/>
            <w:noWrap/>
            <w:vAlign w:val="bottom"/>
            <w:hideMark/>
          </w:tcPr>
          <w:p w14:paraId="22CD359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4,595,170</w:t>
            </w:r>
          </w:p>
        </w:tc>
        <w:tc>
          <w:tcPr>
            <w:tcW w:w="1160" w:type="dxa"/>
            <w:tcBorders>
              <w:top w:val="nil"/>
              <w:left w:val="nil"/>
              <w:bottom w:val="nil"/>
              <w:right w:val="nil"/>
            </w:tcBorders>
            <w:shd w:val="clear" w:color="auto" w:fill="auto"/>
            <w:vAlign w:val="bottom"/>
            <w:hideMark/>
          </w:tcPr>
          <w:p w14:paraId="358CCC13"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841,710</w:t>
            </w:r>
          </w:p>
        </w:tc>
      </w:tr>
      <w:tr w:rsidR="00063725" w:rsidRPr="00063725" w14:paraId="1A94E834"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75DE874A"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Total Employed Residents</w:t>
            </w:r>
          </w:p>
        </w:tc>
        <w:tc>
          <w:tcPr>
            <w:tcW w:w="1220" w:type="dxa"/>
            <w:tcBorders>
              <w:top w:val="nil"/>
              <w:left w:val="nil"/>
              <w:bottom w:val="nil"/>
              <w:right w:val="nil"/>
            </w:tcBorders>
            <w:shd w:val="clear" w:color="auto" w:fill="auto"/>
            <w:noWrap/>
            <w:vAlign w:val="bottom"/>
            <w:hideMark/>
          </w:tcPr>
          <w:p w14:paraId="74F90DB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3,452,117</w:t>
            </w:r>
          </w:p>
        </w:tc>
        <w:tc>
          <w:tcPr>
            <w:tcW w:w="1220" w:type="dxa"/>
            <w:tcBorders>
              <w:top w:val="nil"/>
              <w:left w:val="nil"/>
              <w:bottom w:val="nil"/>
              <w:right w:val="nil"/>
            </w:tcBorders>
            <w:shd w:val="clear" w:color="auto" w:fill="auto"/>
            <w:noWrap/>
            <w:vAlign w:val="bottom"/>
            <w:hideMark/>
          </w:tcPr>
          <w:p w14:paraId="118F9AEB"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3,225,100</w:t>
            </w:r>
          </w:p>
        </w:tc>
        <w:tc>
          <w:tcPr>
            <w:tcW w:w="1220" w:type="dxa"/>
            <w:tcBorders>
              <w:top w:val="nil"/>
              <w:left w:val="nil"/>
              <w:bottom w:val="nil"/>
              <w:right w:val="nil"/>
            </w:tcBorders>
            <w:shd w:val="clear" w:color="auto" w:fill="auto"/>
            <w:noWrap/>
            <w:vAlign w:val="bottom"/>
            <w:hideMark/>
          </w:tcPr>
          <w:p w14:paraId="4D36EBD5"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3,410,300</w:t>
            </w:r>
          </w:p>
        </w:tc>
        <w:tc>
          <w:tcPr>
            <w:tcW w:w="1220" w:type="dxa"/>
            <w:tcBorders>
              <w:top w:val="nil"/>
              <w:left w:val="nil"/>
              <w:bottom w:val="nil"/>
              <w:right w:val="nil"/>
            </w:tcBorders>
            <w:shd w:val="clear" w:color="auto" w:fill="auto"/>
            <w:noWrap/>
            <w:vAlign w:val="bottom"/>
            <w:hideMark/>
          </w:tcPr>
          <w:p w14:paraId="4F0228A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3,633,700</w:t>
            </w:r>
          </w:p>
        </w:tc>
        <w:tc>
          <w:tcPr>
            <w:tcW w:w="1220" w:type="dxa"/>
            <w:tcBorders>
              <w:top w:val="nil"/>
              <w:left w:val="nil"/>
              <w:bottom w:val="nil"/>
              <w:right w:val="nil"/>
            </w:tcBorders>
            <w:shd w:val="clear" w:color="auto" w:fill="auto"/>
            <w:noWrap/>
            <w:vAlign w:val="bottom"/>
            <w:hideMark/>
          </w:tcPr>
          <w:p w14:paraId="20DDE26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3,962,800</w:t>
            </w:r>
          </w:p>
        </w:tc>
        <w:tc>
          <w:tcPr>
            <w:tcW w:w="1220" w:type="dxa"/>
            <w:tcBorders>
              <w:top w:val="nil"/>
              <w:left w:val="nil"/>
              <w:bottom w:val="nil"/>
              <w:right w:val="nil"/>
            </w:tcBorders>
            <w:shd w:val="clear" w:color="auto" w:fill="auto"/>
            <w:noWrap/>
            <w:vAlign w:val="bottom"/>
            <w:hideMark/>
          </w:tcPr>
          <w:p w14:paraId="7B42BC6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4,264,600</w:t>
            </w:r>
          </w:p>
        </w:tc>
        <w:tc>
          <w:tcPr>
            <w:tcW w:w="1220" w:type="dxa"/>
            <w:tcBorders>
              <w:top w:val="nil"/>
              <w:left w:val="nil"/>
              <w:bottom w:val="nil"/>
              <w:right w:val="nil"/>
            </w:tcBorders>
            <w:shd w:val="clear" w:color="auto" w:fill="auto"/>
            <w:noWrap/>
            <w:vAlign w:val="bottom"/>
            <w:hideMark/>
          </w:tcPr>
          <w:p w14:paraId="4A422CA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4,264,600</w:t>
            </w:r>
          </w:p>
        </w:tc>
        <w:tc>
          <w:tcPr>
            <w:tcW w:w="1160" w:type="dxa"/>
            <w:tcBorders>
              <w:top w:val="nil"/>
              <w:left w:val="nil"/>
              <w:bottom w:val="nil"/>
              <w:right w:val="nil"/>
            </w:tcBorders>
            <w:shd w:val="clear" w:color="auto" w:fill="auto"/>
            <w:vAlign w:val="bottom"/>
            <w:hideMark/>
          </w:tcPr>
          <w:p w14:paraId="67B80B43"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812,483</w:t>
            </w:r>
          </w:p>
        </w:tc>
      </w:tr>
      <w:tr w:rsidR="00063725" w:rsidRPr="00063725" w14:paraId="2FE5F3EE" w14:textId="77777777" w:rsidTr="00B81596">
        <w:trPr>
          <w:trHeight w:val="80"/>
        </w:trPr>
        <w:tc>
          <w:tcPr>
            <w:tcW w:w="4400" w:type="dxa"/>
            <w:gridSpan w:val="2"/>
            <w:tcBorders>
              <w:top w:val="nil"/>
              <w:left w:val="nil"/>
              <w:bottom w:val="nil"/>
              <w:right w:val="nil"/>
            </w:tcBorders>
            <w:shd w:val="clear" w:color="auto" w:fill="auto"/>
            <w:noWrap/>
            <w:vAlign w:val="bottom"/>
            <w:hideMark/>
          </w:tcPr>
          <w:p w14:paraId="5D9CC4B7" w14:textId="77777777" w:rsidR="00063725" w:rsidRPr="00063725" w:rsidRDefault="00063725" w:rsidP="00063725">
            <w:pPr>
              <w:spacing w:line="240" w:lineRule="auto"/>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623398AA"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70749915"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4421A6FA"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5A0F9178"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224CA1D4"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70E917CE"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39433937" w14:textId="77777777" w:rsidR="00063725" w:rsidRPr="00063725" w:rsidRDefault="00063725" w:rsidP="00063725">
            <w:pPr>
              <w:spacing w:line="240" w:lineRule="auto"/>
              <w:jc w:val="right"/>
              <w:rPr>
                <w:rFonts w:eastAsia="Times New Roman" w:cs="Times New Roman"/>
                <w:sz w:val="18"/>
                <w:szCs w:val="18"/>
              </w:rPr>
            </w:pPr>
          </w:p>
        </w:tc>
        <w:tc>
          <w:tcPr>
            <w:tcW w:w="1160" w:type="dxa"/>
            <w:tcBorders>
              <w:top w:val="nil"/>
              <w:left w:val="nil"/>
              <w:bottom w:val="nil"/>
              <w:right w:val="nil"/>
            </w:tcBorders>
            <w:shd w:val="clear" w:color="auto" w:fill="auto"/>
            <w:noWrap/>
            <w:vAlign w:val="bottom"/>
            <w:hideMark/>
          </w:tcPr>
          <w:p w14:paraId="62F6C4BA" w14:textId="77777777" w:rsidR="00063725" w:rsidRPr="00063725" w:rsidRDefault="00063725" w:rsidP="00063725">
            <w:pPr>
              <w:spacing w:line="240" w:lineRule="auto"/>
              <w:jc w:val="right"/>
              <w:rPr>
                <w:rFonts w:eastAsia="Times New Roman" w:cs="Times New Roman"/>
                <w:b/>
                <w:bCs/>
                <w:sz w:val="18"/>
                <w:szCs w:val="18"/>
              </w:rPr>
            </w:pPr>
          </w:p>
        </w:tc>
      </w:tr>
      <w:tr w:rsidR="00063725" w:rsidRPr="00063725" w14:paraId="1D8A0DBD"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23CBBB91" w14:textId="77777777" w:rsidR="00063725" w:rsidRPr="00063725" w:rsidRDefault="00063725" w:rsidP="00063725">
            <w:pPr>
              <w:spacing w:line="240" w:lineRule="auto"/>
              <w:rPr>
                <w:rFonts w:eastAsia="Times New Roman" w:cs="Times New Roman"/>
                <w:b/>
                <w:bCs/>
                <w:sz w:val="18"/>
                <w:szCs w:val="18"/>
              </w:rPr>
            </w:pPr>
            <w:r w:rsidRPr="00063725">
              <w:rPr>
                <w:rFonts w:eastAsia="Times New Roman" w:cs="Times New Roman"/>
                <w:b/>
                <w:bCs/>
                <w:sz w:val="18"/>
                <w:szCs w:val="18"/>
              </w:rPr>
              <w:t>San Mateo County County</w:t>
            </w:r>
          </w:p>
        </w:tc>
        <w:tc>
          <w:tcPr>
            <w:tcW w:w="1220" w:type="dxa"/>
            <w:tcBorders>
              <w:top w:val="nil"/>
              <w:left w:val="nil"/>
              <w:bottom w:val="nil"/>
              <w:right w:val="nil"/>
            </w:tcBorders>
            <w:shd w:val="clear" w:color="auto" w:fill="auto"/>
            <w:noWrap/>
            <w:vAlign w:val="bottom"/>
            <w:hideMark/>
          </w:tcPr>
          <w:p w14:paraId="59E775CD"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1F9F284B"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37D99186"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30B09813"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1C6D4F1"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43E3D254"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1608C3E0" w14:textId="77777777" w:rsidR="00063725" w:rsidRPr="00063725" w:rsidRDefault="00063725" w:rsidP="00063725">
            <w:pPr>
              <w:spacing w:line="240" w:lineRule="auto"/>
              <w:jc w:val="right"/>
              <w:rPr>
                <w:rFonts w:eastAsia="Times New Roman" w:cs="Times New Roman"/>
                <w:sz w:val="18"/>
                <w:szCs w:val="18"/>
              </w:rPr>
            </w:pPr>
          </w:p>
        </w:tc>
        <w:tc>
          <w:tcPr>
            <w:tcW w:w="1160" w:type="dxa"/>
            <w:tcBorders>
              <w:top w:val="nil"/>
              <w:left w:val="nil"/>
              <w:bottom w:val="nil"/>
              <w:right w:val="nil"/>
            </w:tcBorders>
            <w:shd w:val="clear" w:color="auto" w:fill="auto"/>
            <w:noWrap/>
            <w:vAlign w:val="bottom"/>
            <w:hideMark/>
          </w:tcPr>
          <w:p w14:paraId="694F2D4F" w14:textId="77777777" w:rsidR="00063725" w:rsidRPr="00063725" w:rsidRDefault="00063725" w:rsidP="00063725">
            <w:pPr>
              <w:spacing w:line="240" w:lineRule="auto"/>
              <w:jc w:val="right"/>
              <w:rPr>
                <w:rFonts w:eastAsia="Times New Roman" w:cs="Times New Roman"/>
                <w:b/>
                <w:bCs/>
                <w:sz w:val="18"/>
                <w:szCs w:val="18"/>
              </w:rPr>
            </w:pPr>
          </w:p>
        </w:tc>
      </w:tr>
      <w:tr w:rsidR="00063725" w:rsidRPr="00063725" w14:paraId="67C6FAFC" w14:textId="77777777" w:rsidTr="00B81596">
        <w:trPr>
          <w:trHeight w:val="240"/>
        </w:trPr>
        <w:tc>
          <w:tcPr>
            <w:tcW w:w="4400" w:type="dxa"/>
            <w:gridSpan w:val="2"/>
            <w:tcBorders>
              <w:top w:val="nil"/>
              <w:left w:val="nil"/>
              <w:bottom w:val="nil"/>
              <w:right w:val="nil"/>
            </w:tcBorders>
            <w:shd w:val="clear" w:color="auto" w:fill="auto"/>
            <w:vAlign w:val="bottom"/>
            <w:hideMark/>
          </w:tcPr>
          <w:p w14:paraId="543DBD90"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Agriculture and Natural Resources Jobs</w:t>
            </w:r>
          </w:p>
        </w:tc>
        <w:tc>
          <w:tcPr>
            <w:tcW w:w="1220" w:type="dxa"/>
            <w:tcBorders>
              <w:top w:val="nil"/>
              <w:left w:val="nil"/>
              <w:bottom w:val="nil"/>
              <w:right w:val="nil"/>
            </w:tcBorders>
            <w:shd w:val="clear" w:color="auto" w:fill="auto"/>
            <w:vAlign w:val="bottom"/>
            <w:hideMark/>
          </w:tcPr>
          <w:p w14:paraId="5F9E161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2,220</w:t>
            </w:r>
          </w:p>
        </w:tc>
        <w:tc>
          <w:tcPr>
            <w:tcW w:w="1220" w:type="dxa"/>
            <w:tcBorders>
              <w:top w:val="nil"/>
              <w:left w:val="nil"/>
              <w:bottom w:val="nil"/>
              <w:right w:val="nil"/>
            </w:tcBorders>
            <w:shd w:val="clear" w:color="auto" w:fill="auto"/>
            <w:vAlign w:val="bottom"/>
            <w:hideMark/>
          </w:tcPr>
          <w:p w14:paraId="4EC2C6A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2,270</w:t>
            </w:r>
          </w:p>
        </w:tc>
        <w:tc>
          <w:tcPr>
            <w:tcW w:w="1220" w:type="dxa"/>
            <w:tcBorders>
              <w:top w:val="nil"/>
              <w:left w:val="nil"/>
              <w:bottom w:val="nil"/>
              <w:right w:val="nil"/>
            </w:tcBorders>
            <w:shd w:val="clear" w:color="auto" w:fill="auto"/>
            <w:vAlign w:val="bottom"/>
            <w:hideMark/>
          </w:tcPr>
          <w:p w14:paraId="214BBB0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2,330</w:t>
            </w:r>
          </w:p>
        </w:tc>
        <w:tc>
          <w:tcPr>
            <w:tcW w:w="1220" w:type="dxa"/>
            <w:tcBorders>
              <w:top w:val="nil"/>
              <w:left w:val="nil"/>
              <w:bottom w:val="nil"/>
              <w:right w:val="nil"/>
            </w:tcBorders>
            <w:shd w:val="clear" w:color="auto" w:fill="auto"/>
            <w:vAlign w:val="bottom"/>
            <w:hideMark/>
          </w:tcPr>
          <w:p w14:paraId="7152C485"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2,170</w:t>
            </w:r>
          </w:p>
        </w:tc>
        <w:tc>
          <w:tcPr>
            <w:tcW w:w="1220" w:type="dxa"/>
            <w:tcBorders>
              <w:top w:val="nil"/>
              <w:left w:val="nil"/>
              <w:bottom w:val="nil"/>
              <w:right w:val="nil"/>
            </w:tcBorders>
            <w:shd w:val="clear" w:color="auto" w:fill="auto"/>
            <w:vAlign w:val="bottom"/>
            <w:hideMark/>
          </w:tcPr>
          <w:p w14:paraId="0F4A1F6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2,050</w:t>
            </w:r>
          </w:p>
        </w:tc>
        <w:tc>
          <w:tcPr>
            <w:tcW w:w="1220" w:type="dxa"/>
            <w:tcBorders>
              <w:top w:val="nil"/>
              <w:left w:val="nil"/>
              <w:bottom w:val="nil"/>
              <w:right w:val="nil"/>
            </w:tcBorders>
            <w:shd w:val="clear" w:color="auto" w:fill="auto"/>
            <w:vAlign w:val="bottom"/>
            <w:hideMark/>
          </w:tcPr>
          <w:p w14:paraId="29A25F7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1,920</w:t>
            </w:r>
          </w:p>
        </w:tc>
        <w:tc>
          <w:tcPr>
            <w:tcW w:w="1220" w:type="dxa"/>
            <w:tcBorders>
              <w:top w:val="nil"/>
              <w:left w:val="nil"/>
              <w:bottom w:val="nil"/>
              <w:right w:val="nil"/>
            </w:tcBorders>
            <w:shd w:val="clear" w:color="auto" w:fill="auto"/>
            <w:vAlign w:val="bottom"/>
            <w:hideMark/>
          </w:tcPr>
          <w:p w14:paraId="553658C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1,810</w:t>
            </w:r>
          </w:p>
        </w:tc>
        <w:tc>
          <w:tcPr>
            <w:tcW w:w="1160" w:type="dxa"/>
            <w:tcBorders>
              <w:top w:val="nil"/>
              <w:left w:val="nil"/>
              <w:bottom w:val="nil"/>
              <w:right w:val="nil"/>
            </w:tcBorders>
            <w:shd w:val="clear" w:color="auto" w:fill="auto"/>
            <w:vAlign w:val="bottom"/>
            <w:hideMark/>
          </w:tcPr>
          <w:p w14:paraId="20F81193"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-410</w:t>
            </w:r>
          </w:p>
        </w:tc>
      </w:tr>
      <w:tr w:rsidR="00063725" w:rsidRPr="00063725" w14:paraId="52B458ED" w14:textId="77777777" w:rsidTr="00B81596">
        <w:trPr>
          <w:trHeight w:val="240"/>
        </w:trPr>
        <w:tc>
          <w:tcPr>
            <w:tcW w:w="4400" w:type="dxa"/>
            <w:gridSpan w:val="2"/>
            <w:tcBorders>
              <w:top w:val="nil"/>
              <w:left w:val="nil"/>
              <w:bottom w:val="nil"/>
              <w:right w:val="nil"/>
            </w:tcBorders>
            <w:shd w:val="clear" w:color="auto" w:fill="auto"/>
            <w:vAlign w:val="bottom"/>
            <w:hideMark/>
          </w:tcPr>
          <w:p w14:paraId="5797736E"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Mfg, Wholesale and Transportation Jobs</w:t>
            </w:r>
          </w:p>
        </w:tc>
        <w:tc>
          <w:tcPr>
            <w:tcW w:w="1220" w:type="dxa"/>
            <w:tcBorders>
              <w:top w:val="nil"/>
              <w:left w:val="nil"/>
              <w:bottom w:val="nil"/>
              <w:right w:val="nil"/>
            </w:tcBorders>
            <w:shd w:val="clear" w:color="auto" w:fill="auto"/>
            <w:vAlign w:val="bottom"/>
            <w:hideMark/>
          </w:tcPr>
          <w:p w14:paraId="683433A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67,480</w:t>
            </w:r>
          </w:p>
        </w:tc>
        <w:tc>
          <w:tcPr>
            <w:tcW w:w="1220" w:type="dxa"/>
            <w:tcBorders>
              <w:top w:val="nil"/>
              <w:left w:val="nil"/>
              <w:bottom w:val="nil"/>
              <w:right w:val="nil"/>
            </w:tcBorders>
            <w:shd w:val="clear" w:color="auto" w:fill="auto"/>
            <w:vAlign w:val="bottom"/>
            <w:hideMark/>
          </w:tcPr>
          <w:p w14:paraId="35AE6EB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72,420</w:t>
            </w:r>
          </w:p>
        </w:tc>
        <w:tc>
          <w:tcPr>
            <w:tcW w:w="1220" w:type="dxa"/>
            <w:tcBorders>
              <w:top w:val="nil"/>
              <w:left w:val="nil"/>
              <w:bottom w:val="nil"/>
              <w:right w:val="nil"/>
            </w:tcBorders>
            <w:shd w:val="clear" w:color="auto" w:fill="auto"/>
            <w:vAlign w:val="bottom"/>
            <w:hideMark/>
          </w:tcPr>
          <w:p w14:paraId="7FD9AB7B"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77,750</w:t>
            </w:r>
          </w:p>
        </w:tc>
        <w:tc>
          <w:tcPr>
            <w:tcW w:w="1220" w:type="dxa"/>
            <w:tcBorders>
              <w:top w:val="nil"/>
              <w:left w:val="nil"/>
              <w:bottom w:val="nil"/>
              <w:right w:val="nil"/>
            </w:tcBorders>
            <w:shd w:val="clear" w:color="auto" w:fill="auto"/>
            <w:vAlign w:val="bottom"/>
            <w:hideMark/>
          </w:tcPr>
          <w:p w14:paraId="5C94817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74,520</w:t>
            </w:r>
          </w:p>
        </w:tc>
        <w:tc>
          <w:tcPr>
            <w:tcW w:w="1220" w:type="dxa"/>
            <w:tcBorders>
              <w:top w:val="nil"/>
              <w:left w:val="nil"/>
              <w:bottom w:val="nil"/>
              <w:right w:val="nil"/>
            </w:tcBorders>
            <w:shd w:val="clear" w:color="auto" w:fill="auto"/>
            <w:vAlign w:val="bottom"/>
            <w:hideMark/>
          </w:tcPr>
          <w:p w14:paraId="4836E4A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71,470</w:t>
            </w:r>
          </w:p>
        </w:tc>
        <w:tc>
          <w:tcPr>
            <w:tcW w:w="1220" w:type="dxa"/>
            <w:tcBorders>
              <w:top w:val="nil"/>
              <w:left w:val="nil"/>
              <w:bottom w:val="nil"/>
              <w:right w:val="nil"/>
            </w:tcBorders>
            <w:shd w:val="clear" w:color="auto" w:fill="auto"/>
            <w:vAlign w:val="bottom"/>
            <w:hideMark/>
          </w:tcPr>
          <w:p w14:paraId="7CEFC11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69,260</w:t>
            </w:r>
          </w:p>
        </w:tc>
        <w:tc>
          <w:tcPr>
            <w:tcW w:w="1220" w:type="dxa"/>
            <w:tcBorders>
              <w:top w:val="nil"/>
              <w:left w:val="nil"/>
              <w:bottom w:val="nil"/>
              <w:right w:val="nil"/>
            </w:tcBorders>
            <w:shd w:val="clear" w:color="auto" w:fill="auto"/>
            <w:vAlign w:val="bottom"/>
            <w:hideMark/>
          </w:tcPr>
          <w:p w14:paraId="14D0C145"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67,140</w:t>
            </w:r>
          </w:p>
        </w:tc>
        <w:tc>
          <w:tcPr>
            <w:tcW w:w="1160" w:type="dxa"/>
            <w:tcBorders>
              <w:top w:val="nil"/>
              <w:left w:val="nil"/>
              <w:bottom w:val="nil"/>
              <w:right w:val="nil"/>
            </w:tcBorders>
            <w:shd w:val="clear" w:color="auto" w:fill="auto"/>
            <w:vAlign w:val="bottom"/>
            <w:hideMark/>
          </w:tcPr>
          <w:p w14:paraId="2793230C"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-340</w:t>
            </w:r>
          </w:p>
        </w:tc>
      </w:tr>
      <w:tr w:rsidR="00063725" w:rsidRPr="00063725" w14:paraId="7C34864B" w14:textId="77777777" w:rsidTr="00B81596">
        <w:trPr>
          <w:trHeight w:val="240"/>
        </w:trPr>
        <w:tc>
          <w:tcPr>
            <w:tcW w:w="4400" w:type="dxa"/>
            <w:gridSpan w:val="2"/>
            <w:tcBorders>
              <w:top w:val="nil"/>
              <w:left w:val="nil"/>
              <w:bottom w:val="nil"/>
              <w:right w:val="nil"/>
            </w:tcBorders>
            <w:shd w:val="clear" w:color="auto" w:fill="auto"/>
            <w:vAlign w:val="bottom"/>
            <w:hideMark/>
          </w:tcPr>
          <w:p w14:paraId="6BC46692"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Retail Jobs</w:t>
            </w:r>
          </w:p>
        </w:tc>
        <w:tc>
          <w:tcPr>
            <w:tcW w:w="1220" w:type="dxa"/>
            <w:tcBorders>
              <w:top w:val="nil"/>
              <w:left w:val="nil"/>
              <w:bottom w:val="nil"/>
              <w:right w:val="nil"/>
            </w:tcBorders>
            <w:shd w:val="clear" w:color="auto" w:fill="auto"/>
            <w:vAlign w:val="bottom"/>
            <w:hideMark/>
          </w:tcPr>
          <w:p w14:paraId="689FCD2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35,350</w:t>
            </w:r>
          </w:p>
        </w:tc>
        <w:tc>
          <w:tcPr>
            <w:tcW w:w="1220" w:type="dxa"/>
            <w:tcBorders>
              <w:top w:val="nil"/>
              <w:left w:val="nil"/>
              <w:bottom w:val="nil"/>
              <w:right w:val="nil"/>
            </w:tcBorders>
            <w:shd w:val="clear" w:color="auto" w:fill="auto"/>
            <w:vAlign w:val="bottom"/>
            <w:hideMark/>
          </w:tcPr>
          <w:p w14:paraId="558E0A0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36,680</w:t>
            </w:r>
          </w:p>
        </w:tc>
        <w:tc>
          <w:tcPr>
            <w:tcW w:w="1220" w:type="dxa"/>
            <w:tcBorders>
              <w:top w:val="nil"/>
              <w:left w:val="nil"/>
              <w:bottom w:val="nil"/>
              <w:right w:val="nil"/>
            </w:tcBorders>
            <w:shd w:val="clear" w:color="auto" w:fill="auto"/>
            <w:vAlign w:val="bottom"/>
            <w:hideMark/>
          </w:tcPr>
          <w:p w14:paraId="4523F64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38,060</w:t>
            </w:r>
          </w:p>
        </w:tc>
        <w:tc>
          <w:tcPr>
            <w:tcW w:w="1220" w:type="dxa"/>
            <w:tcBorders>
              <w:top w:val="nil"/>
              <w:left w:val="nil"/>
              <w:bottom w:val="nil"/>
              <w:right w:val="nil"/>
            </w:tcBorders>
            <w:shd w:val="clear" w:color="auto" w:fill="auto"/>
            <w:vAlign w:val="bottom"/>
            <w:hideMark/>
          </w:tcPr>
          <w:p w14:paraId="0FACCB8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38,210</w:t>
            </w:r>
          </w:p>
        </w:tc>
        <w:tc>
          <w:tcPr>
            <w:tcW w:w="1220" w:type="dxa"/>
            <w:tcBorders>
              <w:top w:val="nil"/>
              <w:left w:val="nil"/>
              <w:bottom w:val="nil"/>
              <w:right w:val="nil"/>
            </w:tcBorders>
            <w:shd w:val="clear" w:color="auto" w:fill="auto"/>
            <w:vAlign w:val="bottom"/>
            <w:hideMark/>
          </w:tcPr>
          <w:p w14:paraId="7309C96B"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38,340</w:t>
            </w:r>
          </w:p>
        </w:tc>
        <w:tc>
          <w:tcPr>
            <w:tcW w:w="1220" w:type="dxa"/>
            <w:tcBorders>
              <w:top w:val="nil"/>
              <w:left w:val="nil"/>
              <w:bottom w:val="nil"/>
              <w:right w:val="nil"/>
            </w:tcBorders>
            <w:shd w:val="clear" w:color="auto" w:fill="auto"/>
            <w:vAlign w:val="bottom"/>
            <w:hideMark/>
          </w:tcPr>
          <w:p w14:paraId="59810EF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38,760</w:t>
            </w:r>
          </w:p>
        </w:tc>
        <w:tc>
          <w:tcPr>
            <w:tcW w:w="1220" w:type="dxa"/>
            <w:tcBorders>
              <w:top w:val="nil"/>
              <w:left w:val="nil"/>
              <w:bottom w:val="nil"/>
              <w:right w:val="nil"/>
            </w:tcBorders>
            <w:shd w:val="clear" w:color="auto" w:fill="auto"/>
            <w:vAlign w:val="bottom"/>
            <w:hideMark/>
          </w:tcPr>
          <w:p w14:paraId="47283F1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39,180</w:t>
            </w:r>
          </w:p>
        </w:tc>
        <w:tc>
          <w:tcPr>
            <w:tcW w:w="1160" w:type="dxa"/>
            <w:tcBorders>
              <w:top w:val="nil"/>
              <w:left w:val="nil"/>
              <w:bottom w:val="nil"/>
              <w:right w:val="nil"/>
            </w:tcBorders>
            <w:shd w:val="clear" w:color="auto" w:fill="auto"/>
            <w:vAlign w:val="bottom"/>
            <w:hideMark/>
          </w:tcPr>
          <w:p w14:paraId="6E097759"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3,830</w:t>
            </w:r>
          </w:p>
        </w:tc>
      </w:tr>
      <w:tr w:rsidR="00063725" w:rsidRPr="00063725" w14:paraId="50D29261" w14:textId="77777777" w:rsidTr="00B81596">
        <w:trPr>
          <w:trHeight w:val="240"/>
        </w:trPr>
        <w:tc>
          <w:tcPr>
            <w:tcW w:w="4400" w:type="dxa"/>
            <w:gridSpan w:val="2"/>
            <w:tcBorders>
              <w:top w:val="nil"/>
              <w:left w:val="nil"/>
              <w:bottom w:val="nil"/>
              <w:right w:val="nil"/>
            </w:tcBorders>
            <w:shd w:val="clear" w:color="auto" w:fill="auto"/>
            <w:vAlign w:val="bottom"/>
            <w:hideMark/>
          </w:tcPr>
          <w:p w14:paraId="0610D9EB"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Financial and Professional Services Jobs</w:t>
            </w:r>
          </w:p>
        </w:tc>
        <w:tc>
          <w:tcPr>
            <w:tcW w:w="1220" w:type="dxa"/>
            <w:tcBorders>
              <w:top w:val="nil"/>
              <w:left w:val="nil"/>
              <w:bottom w:val="nil"/>
              <w:right w:val="nil"/>
            </w:tcBorders>
            <w:shd w:val="clear" w:color="auto" w:fill="auto"/>
            <w:vAlign w:val="bottom"/>
            <w:hideMark/>
          </w:tcPr>
          <w:p w14:paraId="4F84CAC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86,150</w:t>
            </w:r>
          </w:p>
        </w:tc>
        <w:tc>
          <w:tcPr>
            <w:tcW w:w="1220" w:type="dxa"/>
            <w:tcBorders>
              <w:top w:val="nil"/>
              <w:left w:val="nil"/>
              <w:bottom w:val="nil"/>
              <w:right w:val="nil"/>
            </w:tcBorders>
            <w:shd w:val="clear" w:color="auto" w:fill="auto"/>
            <w:vAlign w:val="bottom"/>
            <w:hideMark/>
          </w:tcPr>
          <w:p w14:paraId="346466A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93,920</w:t>
            </w:r>
          </w:p>
        </w:tc>
        <w:tc>
          <w:tcPr>
            <w:tcW w:w="1220" w:type="dxa"/>
            <w:tcBorders>
              <w:top w:val="nil"/>
              <w:left w:val="nil"/>
              <w:bottom w:val="nil"/>
              <w:right w:val="nil"/>
            </w:tcBorders>
            <w:shd w:val="clear" w:color="auto" w:fill="auto"/>
            <w:vAlign w:val="bottom"/>
            <w:hideMark/>
          </w:tcPr>
          <w:p w14:paraId="0AC1C74B"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102,400</w:t>
            </w:r>
          </w:p>
        </w:tc>
        <w:tc>
          <w:tcPr>
            <w:tcW w:w="1220" w:type="dxa"/>
            <w:tcBorders>
              <w:top w:val="nil"/>
              <w:left w:val="nil"/>
              <w:bottom w:val="nil"/>
              <w:right w:val="nil"/>
            </w:tcBorders>
            <w:shd w:val="clear" w:color="auto" w:fill="auto"/>
            <w:vAlign w:val="bottom"/>
            <w:hideMark/>
          </w:tcPr>
          <w:p w14:paraId="4707407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106,780</w:t>
            </w:r>
          </w:p>
        </w:tc>
        <w:tc>
          <w:tcPr>
            <w:tcW w:w="1220" w:type="dxa"/>
            <w:tcBorders>
              <w:top w:val="nil"/>
              <w:left w:val="nil"/>
              <w:bottom w:val="nil"/>
              <w:right w:val="nil"/>
            </w:tcBorders>
            <w:shd w:val="clear" w:color="auto" w:fill="auto"/>
            <w:vAlign w:val="bottom"/>
            <w:hideMark/>
          </w:tcPr>
          <w:p w14:paraId="7C4011B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111,300</w:t>
            </w:r>
          </w:p>
        </w:tc>
        <w:tc>
          <w:tcPr>
            <w:tcW w:w="1220" w:type="dxa"/>
            <w:tcBorders>
              <w:top w:val="nil"/>
              <w:left w:val="nil"/>
              <w:bottom w:val="nil"/>
              <w:right w:val="nil"/>
            </w:tcBorders>
            <w:shd w:val="clear" w:color="auto" w:fill="auto"/>
            <w:vAlign w:val="bottom"/>
            <w:hideMark/>
          </w:tcPr>
          <w:p w14:paraId="40F5153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116,930</w:t>
            </w:r>
          </w:p>
        </w:tc>
        <w:tc>
          <w:tcPr>
            <w:tcW w:w="1220" w:type="dxa"/>
            <w:tcBorders>
              <w:top w:val="nil"/>
              <w:left w:val="nil"/>
              <w:bottom w:val="nil"/>
              <w:right w:val="nil"/>
            </w:tcBorders>
            <w:shd w:val="clear" w:color="auto" w:fill="auto"/>
            <w:vAlign w:val="bottom"/>
            <w:hideMark/>
          </w:tcPr>
          <w:p w14:paraId="153CAAF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122,770</w:t>
            </w:r>
          </w:p>
        </w:tc>
        <w:tc>
          <w:tcPr>
            <w:tcW w:w="1160" w:type="dxa"/>
            <w:tcBorders>
              <w:top w:val="nil"/>
              <w:left w:val="nil"/>
              <w:bottom w:val="nil"/>
              <w:right w:val="nil"/>
            </w:tcBorders>
            <w:shd w:val="clear" w:color="auto" w:fill="auto"/>
            <w:vAlign w:val="bottom"/>
            <w:hideMark/>
          </w:tcPr>
          <w:p w14:paraId="53787FFB"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36,620</w:t>
            </w:r>
          </w:p>
        </w:tc>
      </w:tr>
      <w:tr w:rsidR="00063725" w:rsidRPr="00063725" w14:paraId="66DF8673" w14:textId="77777777" w:rsidTr="00B81596">
        <w:trPr>
          <w:trHeight w:val="240"/>
        </w:trPr>
        <w:tc>
          <w:tcPr>
            <w:tcW w:w="4400" w:type="dxa"/>
            <w:gridSpan w:val="2"/>
            <w:tcBorders>
              <w:top w:val="nil"/>
              <w:left w:val="nil"/>
              <w:bottom w:val="nil"/>
              <w:right w:val="nil"/>
            </w:tcBorders>
            <w:shd w:val="clear" w:color="auto" w:fill="auto"/>
            <w:vAlign w:val="bottom"/>
            <w:hideMark/>
          </w:tcPr>
          <w:p w14:paraId="3946770B"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Health, Educ. and Recreation Service Jobs</w:t>
            </w:r>
          </w:p>
        </w:tc>
        <w:tc>
          <w:tcPr>
            <w:tcW w:w="1220" w:type="dxa"/>
            <w:tcBorders>
              <w:top w:val="nil"/>
              <w:left w:val="nil"/>
              <w:bottom w:val="nil"/>
              <w:right w:val="nil"/>
            </w:tcBorders>
            <w:shd w:val="clear" w:color="auto" w:fill="auto"/>
            <w:vAlign w:val="bottom"/>
            <w:hideMark/>
          </w:tcPr>
          <w:p w14:paraId="5F51B8B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86,980</w:t>
            </w:r>
          </w:p>
        </w:tc>
        <w:tc>
          <w:tcPr>
            <w:tcW w:w="1220" w:type="dxa"/>
            <w:tcBorders>
              <w:top w:val="nil"/>
              <w:left w:val="nil"/>
              <w:bottom w:val="nil"/>
              <w:right w:val="nil"/>
            </w:tcBorders>
            <w:shd w:val="clear" w:color="auto" w:fill="auto"/>
            <w:vAlign w:val="bottom"/>
            <w:hideMark/>
          </w:tcPr>
          <w:p w14:paraId="5D28F90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95,860</w:t>
            </w:r>
          </w:p>
        </w:tc>
        <w:tc>
          <w:tcPr>
            <w:tcW w:w="1220" w:type="dxa"/>
            <w:tcBorders>
              <w:top w:val="nil"/>
              <w:left w:val="nil"/>
              <w:bottom w:val="nil"/>
              <w:right w:val="nil"/>
            </w:tcBorders>
            <w:shd w:val="clear" w:color="auto" w:fill="auto"/>
            <w:vAlign w:val="bottom"/>
            <w:hideMark/>
          </w:tcPr>
          <w:p w14:paraId="07E6A7F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105,670</w:t>
            </w:r>
          </w:p>
        </w:tc>
        <w:tc>
          <w:tcPr>
            <w:tcW w:w="1220" w:type="dxa"/>
            <w:tcBorders>
              <w:top w:val="nil"/>
              <w:left w:val="nil"/>
              <w:bottom w:val="nil"/>
              <w:right w:val="nil"/>
            </w:tcBorders>
            <w:shd w:val="clear" w:color="auto" w:fill="auto"/>
            <w:vAlign w:val="bottom"/>
            <w:hideMark/>
          </w:tcPr>
          <w:p w14:paraId="36C64C1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110,160</w:t>
            </w:r>
          </w:p>
        </w:tc>
        <w:tc>
          <w:tcPr>
            <w:tcW w:w="1220" w:type="dxa"/>
            <w:tcBorders>
              <w:top w:val="nil"/>
              <w:left w:val="nil"/>
              <w:bottom w:val="nil"/>
              <w:right w:val="nil"/>
            </w:tcBorders>
            <w:shd w:val="clear" w:color="auto" w:fill="auto"/>
            <w:vAlign w:val="bottom"/>
            <w:hideMark/>
          </w:tcPr>
          <w:p w14:paraId="7062631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114,870</w:t>
            </w:r>
          </w:p>
        </w:tc>
        <w:tc>
          <w:tcPr>
            <w:tcW w:w="1220" w:type="dxa"/>
            <w:tcBorders>
              <w:top w:val="nil"/>
              <w:left w:val="nil"/>
              <w:bottom w:val="nil"/>
              <w:right w:val="nil"/>
            </w:tcBorders>
            <w:shd w:val="clear" w:color="auto" w:fill="auto"/>
            <w:vAlign w:val="bottom"/>
            <w:hideMark/>
          </w:tcPr>
          <w:p w14:paraId="097FC3B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120,830</w:t>
            </w:r>
          </w:p>
        </w:tc>
        <w:tc>
          <w:tcPr>
            <w:tcW w:w="1220" w:type="dxa"/>
            <w:tcBorders>
              <w:top w:val="nil"/>
              <w:left w:val="nil"/>
              <w:bottom w:val="nil"/>
              <w:right w:val="nil"/>
            </w:tcBorders>
            <w:shd w:val="clear" w:color="auto" w:fill="auto"/>
            <w:vAlign w:val="bottom"/>
            <w:hideMark/>
          </w:tcPr>
          <w:p w14:paraId="058522F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127,060</w:t>
            </w:r>
          </w:p>
        </w:tc>
        <w:tc>
          <w:tcPr>
            <w:tcW w:w="1160" w:type="dxa"/>
            <w:tcBorders>
              <w:top w:val="nil"/>
              <w:left w:val="nil"/>
              <w:bottom w:val="nil"/>
              <w:right w:val="nil"/>
            </w:tcBorders>
            <w:shd w:val="clear" w:color="auto" w:fill="auto"/>
            <w:vAlign w:val="bottom"/>
            <w:hideMark/>
          </w:tcPr>
          <w:p w14:paraId="5F9B60DA"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40,080</w:t>
            </w:r>
          </w:p>
        </w:tc>
      </w:tr>
      <w:tr w:rsidR="00063725" w:rsidRPr="00063725" w14:paraId="52FB3723" w14:textId="77777777" w:rsidTr="00B81596">
        <w:trPr>
          <w:trHeight w:val="240"/>
        </w:trPr>
        <w:tc>
          <w:tcPr>
            <w:tcW w:w="4400" w:type="dxa"/>
            <w:gridSpan w:val="2"/>
            <w:tcBorders>
              <w:top w:val="nil"/>
              <w:left w:val="nil"/>
              <w:bottom w:val="nil"/>
              <w:right w:val="nil"/>
            </w:tcBorders>
            <w:shd w:val="clear" w:color="auto" w:fill="auto"/>
            <w:vAlign w:val="bottom"/>
            <w:hideMark/>
          </w:tcPr>
          <w:p w14:paraId="2835E244"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Other Jobs</w:t>
            </w:r>
          </w:p>
        </w:tc>
        <w:tc>
          <w:tcPr>
            <w:tcW w:w="1220" w:type="dxa"/>
            <w:tcBorders>
              <w:top w:val="nil"/>
              <w:left w:val="nil"/>
              <w:bottom w:val="nil"/>
              <w:right w:val="nil"/>
            </w:tcBorders>
            <w:shd w:val="clear" w:color="auto" w:fill="auto"/>
            <w:vAlign w:val="bottom"/>
            <w:hideMark/>
          </w:tcPr>
          <w:p w14:paraId="3636012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67,010</w:t>
            </w:r>
          </w:p>
        </w:tc>
        <w:tc>
          <w:tcPr>
            <w:tcW w:w="1220" w:type="dxa"/>
            <w:tcBorders>
              <w:top w:val="nil"/>
              <w:left w:val="nil"/>
              <w:bottom w:val="nil"/>
              <w:right w:val="nil"/>
            </w:tcBorders>
            <w:shd w:val="clear" w:color="auto" w:fill="auto"/>
            <w:vAlign w:val="bottom"/>
            <w:hideMark/>
          </w:tcPr>
          <w:p w14:paraId="50D7F73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73,790</w:t>
            </w:r>
          </w:p>
        </w:tc>
        <w:tc>
          <w:tcPr>
            <w:tcW w:w="1220" w:type="dxa"/>
            <w:tcBorders>
              <w:top w:val="nil"/>
              <w:left w:val="nil"/>
              <w:bottom w:val="nil"/>
              <w:right w:val="nil"/>
            </w:tcBorders>
            <w:shd w:val="clear" w:color="auto" w:fill="auto"/>
            <w:vAlign w:val="bottom"/>
            <w:hideMark/>
          </w:tcPr>
          <w:p w14:paraId="0833A09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81,340</w:t>
            </w:r>
          </w:p>
        </w:tc>
        <w:tc>
          <w:tcPr>
            <w:tcW w:w="1220" w:type="dxa"/>
            <w:tcBorders>
              <w:top w:val="nil"/>
              <w:left w:val="nil"/>
              <w:bottom w:val="nil"/>
              <w:right w:val="nil"/>
            </w:tcBorders>
            <w:shd w:val="clear" w:color="auto" w:fill="auto"/>
            <w:vAlign w:val="bottom"/>
            <w:hideMark/>
          </w:tcPr>
          <w:p w14:paraId="3FA5AA9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82,400</w:t>
            </w:r>
          </w:p>
        </w:tc>
        <w:tc>
          <w:tcPr>
            <w:tcW w:w="1220" w:type="dxa"/>
            <w:tcBorders>
              <w:top w:val="nil"/>
              <w:left w:val="nil"/>
              <w:bottom w:val="nil"/>
              <w:right w:val="nil"/>
            </w:tcBorders>
            <w:shd w:val="clear" w:color="auto" w:fill="auto"/>
            <w:vAlign w:val="bottom"/>
            <w:hideMark/>
          </w:tcPr>
          <w:p w14:paraId="518EFB0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83,470</w:t>
            </w:r>
          </w:p>
        </w:tc>
        <w:tc>
          <w:tcPr>
            <w:tcW w:w="1220" w:type="dxa"/>
            <w:tcBorders>
              <w:top w:val="nil"/>
              <w:left w:val="nil"/>
              <w:bottom w:val="nil"/>
              <w:right w:val="nil"/>
            </w:tcBorders>
            <w:shd w:val="clear" w:color="auto" w:fill="auto"/>
            <w:vAlign w:val="bottom"/>
            <w:hideMark/>
          </w:tcPr>
          <w:p w14:paraId="754081D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85,280</w:t>
            </w:r>
          </w:p>
        </w:tc>
        <w:tc>
          <w:tcPr>
            <w:tcW w:w="1220" w:type="dxa"/>
            <w:tcBorders>
              <w:top w:val="nil"/>
              <w:left w:val="nil"/>
              <w:bottom w:val="nil"/>
              <w:right w:val="nil"/>
            </w:tcBorders>
            <w:shd w:val="clear" w:color="auto" w:fill="auto"/>
            <w:vAlign w:val="bottom"/>
            <w:hideMark/>
          </w:tcPr>
          <w:p w14:paraId="46C240E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87,110</w:t>
            </w:r>
          </w:p>
        </w:tc>
        <w:tc>
          <w:tcPr>
            <w:tcW w:w="1160" w:type="dxa"/>
            <w:tcBorders>
              <w:top w:val="nil"/>
              <w:left w:val="nil"/>
              <w:bottom w:val="nil"/>
              <w:right w:val="nil"/>
            </w:tcBorders>
            <w:shd w:val="clear" w:color="auto" w:fill="auto"/>
            <w:vAlign w:val="bottom"/>
            <w:hideMark/>
          </w:tcPr>
          <w:p w14:paraId="25413E2E"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20,100</w:t>
            </w:r>
          </w:p>
        </w:tc>
      </w:tr>
      <w:tr w:rsidR="00063725" w:rsidRPr="00063725" w14:paraId="042DA40E"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0A7F1E0C"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Total Jobs</w:t>
            </w:r>
          </w:p>
        </w:tc>
        <w:tc>
          <w:tcPr>
            <w:tcW w:w="1220" w:type="dxa"/>
            <w:tcBorders>
              <w:top w:val="nil"/>
              <w:left w:val="nil"/>
              <w:bottom w:val="nil"/>
              <w:right w:val="nil"/>
            </w:tcBorders>
            <w:shd w:val="clear" w:color="auto" w:fill="auto"/>
            <w:noWrap/>
            <w:vAlign w:val="bottom"/>
            <w:hideMark/>
          </w:tcPr>
          <w:p w14:paraId="49B06E2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345,190</w:t>
            </w:r>
          </w:p>
        </w:tc>
        <w:tc>
          <w:tcPr>
            <w:tcW w:w="1220" w:type="dxa"/>
            <w:tcBorders>
              <w:top w:val="nil"/>
              <w:left w:val="nil"/>
              <w:bottom w:val="nil"/>
              <w:right w:val="nil"/>
            </w:tcBorders>
            <w:shd w:val="clear" w:color="auto" w:fill="auto"/>
            <w:noWrap/>
            <w:vAlign w:val="bottom"/>
            <w:hideMark/>
          </w:tcPr>
          <w:p w14:paraId="107EA61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374,940</w:t>
            </w:r>
          </w:p>
        </w:tc>
        <w:tc>
          <w:tcPr>
            <w:tcW w:w="1220" w:type="dxa"/>
            <w:tcBorders>
              <w:top w:val="nil"/>
              <w:left w:val="nil"/>
              <w:bottom w:val="nil"/>
              <w:right w:val="nil"/>
            </w:tcBorders>
            <w:shd w:val="clear" w:color="auto" w:fill="auto"/>
            <w:noWrap/>
            <w:vAlign w:val="bottom"/>
            <w:hideMark/>
          </w:tcPr>
          <w:p w14:paraId="65B569C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407,550</w:t>
            </w:r>
          </w:p>
        </w:tc>
        <w:tc>
          <w:tcPr>
            <w:tcW w:w="1220" w:type="dxa"/>
            <w:tcBorders>
              <w:top w:val="nil"/>
              <w:left w:val="nil"/>
              <w:bottom w:val="nil"/>
              <w:right w:val="nil"/>
            </w:tcBorders>
            <w:shd w:val="clear" w:color="auto" w:fill="auto"/>
            <w:noWrap/>
            <w:vAlign w:val="bottom"/>
            <w:hideMark/>
          </w:tcPr>
          <w:p w14:paraId="7BA72F4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414,240</w:t>
            </w:r>
          </w:p>
        </w:tc>
        <w:tc>
          <w:tcPr>
            <w:tcW w:w="1220" w:type="dxa"/>
            <w:tcBorders>
              <w:top w:val="nil"/>
              <w:left w:val="nil"/>
              <w:bottom w:val="nil"/>
              <w:right w:val="nil"/>
            </w:tcBorders>
            <w:shd w:val="clear" w:color="auto" w:fill="auto"/>
            <w:noWrap/>
            <w:vAlign w:val="bottom"/>
            <w:hideMark/>
          </w:tcPr>
          <w:p w14:paraId="57CDEE5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421,500</w:t>
            </w:r>
          </w:p>
        </w:tc>
        <w:tc>
          <w:tcPr>
            <w:tcW w:w="1220" w:type="dxa"/>
            <w:tcBorders>
              <w:top w:val="nil"/>
              <w:left w:val="nil"/>
              <w:bottom w:val="nil"/>
              <w:right w:val="nil"/>
            </w:tcBorders>
            <w:shd w:val="clear" w:color="auto" w:fill="auto"/>
            <w:noWrap/>
            <w:vAlign w:val="bottom"/>
            <w:hideMark/>
          </w:tcPr>
          <w:p w14:paraId="123E66E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432,980</w:t>
            </w:r>
          </w:p>
        </w:tc>
        <w:tc>
          <w:tcPr>
            <w:tcW w:w="1220" w:type="dxa"/>
            <w:tcBorders>
              <w:top w:val="nil"/>
              <w:left w:val="nil"/>
              <w:bottom w:val="nil"/>
              <w:right w:val="nil"/>
            </w:tcBorders>
            <w:shd w:val="clear" w:color="auto" w:fill="auto"/>
            <w:noWrap/>
            <w:vAlign w:val="bottom"/>
            <w:hideMark/>
          </w:tcPr>
          <w:p w14:paraId="7EFDEB0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445,070</w:t>
            </w:r>
          </w:p>
        </w:tc>
        <w:tc>
          <w:tcPr>
            <w:tcW w:w="1160" w:type="dxa"/>
            <w:tcBorders>
              <w:top w:val="nil"/>
              <w:left w:val="nil"/>
              <w:bottom w:val="nil"/>
              <w:right w:val="nil"/>
            </w:tcBorders>
            <w:shd w:val="clear" w:color="auto" w:fill="auto"/>
            <w:vAlign w:val="bottom"/>
            <w:hideMark/>
          </w:tcPr>
          <w:p w14:paraId="6E2E6034"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99,880</w:t>
            </w:r>
          </w:p>
        </w:tc>
      </w:tr>
      <w:tr w:rsidR="00063725" w:rsidRPr="00063725" w14:paraId="2D8260A4"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65FB559F"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Total Employed Residents</w:t>
            </w:r>
          </w:p>
        </w:tc>
        <w:tc>
          <w:tcPr>
            <w:tcW w:w="1220" w:type="dxa"/>
            <w:tcBorders>
              <w:top w:val="nil"/>
              <w:left w:val="nil"/>
              <w:bottom w:val="nil"/>
              <w:right w:val="nil"/>
            </w:tcBorders>
            <w:shd w:val="clear" w:color="000000" w:fill="FFFFFF"/>
            <w:noWrap/>
            <w:vAlign w:val="bottom"/>
            <w:hideMark/>
          </w:tcPr>
          <w:p w14:paraId="761098D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342,060</w:t>
            </w:r>
          </w:p>
        </w:tc>
        <w:tc>
          <w:tcPr>
            <w:tcW w:w="1220" w:type="dxa"/>
            <w:tcBorders>
              <w:top w:val="nil"/>
              <w:left w:val="nil"/>
              <w:bottom w:val="nil"/>
              <w:right w:val="nil"/>
            </w:tcBorders>
            <w:shd w:val="clear" w:color="000000" w:fill="FFFFFF"/>
            <w:noWrap/>
            <w:vAlign w:val="bottom"/>
            <w:hideMark/>
          </w:tcPr>
          <w:p w14:paraId="75C549E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368,790</w:t>
            </w:r>
          </w:p>
        </w:tc>
        <w:tc>
          <w:tcPr>
            <w:tcW w:w="1220" w:type="dxa"/>
            <w:tcBorders>
              <w:top w:val="nil"/>
              <w:left w:val="nil"/>
              <w:bottom w:val="nil"/>
              <w:right w:val="nil"/>
            </w:tcBorders>
            <w:shd w:val="clear" w:color="000000" w:fill="FFFFFF"/>
            <w:noWrap/>
            <w:vAlign w:val="bottom"/>
            <w:hideMark/>
          </w:tcPr>
          <w:p w14:paraId="2CB0E0E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398,220</w:t>
            </w:r>
          </w:p>
        </w:tc>
        <w:tc>
          <w:tcPr>
            <w:tcW w:w="1220" w:type="dxa"/>
            <w:tcBorders>
              <w:top w:val="nil"/>
              <w:left w:val="nil"/>
              <w:bottom w:val="nil"/>
              <w:right w:val="nil"/>
            </w:tcBorders>
            <w:shd w:val="clear" w:color="000000" w:fill="FFFFFF"/>
            <w:noWrap/>
            <w:vAlign w:val="bottom"/>
            <w:hideMark/>
          </w:tcPr>
          <w:p w14:paraId="18B0205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406,310</w:t>
            </w:r>
          </w:p>
        </w:tc>
        <w:tc>
          <w:tcPr>
            <w:tcW w:w="1220" w:type="dxa"/>
            <w:tcBorders>
              <w:top w:val="nil"/>
              <w:left w:val="nil"/>
              <w:bottom w:val="nil"/>
              <w:right w:val="nil"/>
            </w:tcBorders>
            <w:shd w:val="clear" w:color="000000" w:fill="FFFFFF"/>
            <w:noWrap/>
            <w:vAlign w:val="bottom"/>
            <w:hideMark/>
          </w:tcPr>
          <w:p w14:paraId="37D53BB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413,740</w:t>
            </w:r>
          </w:p>
        </w:tc>
        <w:tc>
          <w:tcPr>
            <w:tcW w:w="1220" w:type="dxa"/>
            <w:tcBorders>
              <w:top w:val="nil"/>
              <w:left w:val="nil"/>
              <w:bottom w:val="nil"/>
              <w:right w:val="nil"/>
            </w:tcBorders>
            <w:shd w:val="clear" w:color="000000" w:fill="FFFFFF"/>
            <w:noWrap/>
            <w:vAlign w:val="bottom"/>
            <w:hideMark/>
          </w:tcPr>
          <w:p w14:paraId="0A6199DB"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425,830</w:t>
            </w:r>
          </w:p>
        </w:tc>
        <w:tc>
          <w:tcPr>
            <w:tcW w:w="1220" w:type="dxa"/>
            <w:tcBorders>
              <w:top w:val="nil"/>
              <w:left w:val="nil"/>
              <w:bottom w:val="nil"/>
              <w:right w:val="nil"/>
            </w:tcBorders>
            <w:shd w:val="clear" w:color="000000" w:fill="FFFFFF"/>
            <w:noWrap/>
            <w:vAlign w:val="bottom"/>
            <w:hideMark/>
          </w:tcPr>
          <w:p w14:paraId="5D58120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438,770</w:t>
            </w:r>
          </w:p>
        </w:tc>
        <w:tc>
          <w:tcPr>
            <w:tcW w:w="1160" w:type="dxa"/>
            <w:tcBorders>
              <w:top w:val="nil"/>
              <w:left w:val="nil"/>
              <w:bottom w:val="nil"/>
              <w:right w:val="nil"/>
            </w:tcBorders>
            <w:shd w:val="clear" w:color="auto" w:fill="auto"/>
            <w:vAlign w:val="bottom"/>
            <w:hideMark/>
          </w:tcPr>
          <w:p w14:paraId="16B80AC8"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96,710</w:t>
            </w:r>
          </w:p>
        </w:tc>
      </w:tr>
      <w:tr w:rsidR="00063725" w:rsidRPr="00063725" w14:paraId="2A40E731"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7DC24014"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Ratio of Jobs to Employed Residents</w:t>
            </w:r>
          </w:p>
        </w:tc>
        <w:tc>
          <w:tcPr>
            <w:tcW w:w="1220" w:type="dxa"/>
            <w:tcBorders>
              <w:top w:val="nil"/>
              <w:left w:val="nil"/>
              <w:bottom w:val="nil"/>
              <w:right w:val="nil"/>
            </w:tcBorders>
            <w:shd w:val="clear" w:color="auto" w:fill="auto"/>
            <w:noWrap/>
            <w:vAlign w:val="bottom"/>
            <w:hideMark/>
          </w:tcPr>
          <w:p w14:paraId="20212A9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1.01</w:t>
            </w:r>
          </w:p>
        </w:tc>
        <w:tc>
          <w:tcPr>
            <w:tcW w:w="1220" w:type="dxa"/>
            <w:tcBorders>
              <w:top w:val="nil"/>
              <w:left w:val="nil"/>
              <w:bottom w:val="nil"/>
              <w:right w:val="nil"/>
            </w:tcBorders>
            <w:shd w:val="clear" w:color="auto" w:fill="auto"/>
            <w:noWrap/>
            <w:vAlign w:val="bottom"/>
            <w:hideMark/>
          </w:tcPr>
          <w:p w14:paraId="336AB45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1.02</w:t>
            </w:r>
          </w:p>
        </w:tc>
        <w:tc>
          <w:tcPr>
            <w:tcW w:w="1220" w:type="dxa"/>
            <w:tcBorders>
              <w:top w:val="nil"/>
              <w:left w:val="nil"/>
              <w:bottom w:val="nil"/>
              <w:right w:val="nil"/>
            </w:tcBorders>
            <w:shd w:val="clear" w:color="auto" w:fill="auto"/>
            <w:noWrap/>
            <w:vAlign w:val="bottom"/>
            <w:hideMark/>
          </w:tcPr>
          <w:p w14:paraId="1F95929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1.02</w:t>
            </w:r>
          </w:p>
        </w:tc>
        <w:tc>
          <w:tcPr>
            <w:tcW w:w="1220" w:type="dxa"/>
            <w:tcBorders>
              <w:top w:val="nil"/>
              <w:left w:val="nil"/>
              <w:bottom w:val="nil"/>
              <w:right w:val="nil"/>
            </w:tcBorders>
            <w:shd w:val="clear" w:color="auto" w:fill="auto"/>
            <w:noWrap/>
            <w:vAlign w:val="bottom"/>
            <w:hideMark/>
          </w:tcPr>
          <w:p w14:paraId="4825D05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1.02</w:t>
            </w:r>
          </w:p>
        </w:tc>
        <w:tc>
          <w:tcPr>
            <w:tcW w:w="1220" w:type="dxa"/>
            <w:tcBorders>
              <w:top w:val="nil"/>
              <w:left w:val="nil"/>
              <w:bottom w:val="nil"/>
              <w:right w:val="nil"/>
            </w:tcBorders>
            <w:shd w:val="clear" w:color="auto" w:fill="auto"/>
            <w:noWrap/>
            <w:vAlign w:val="bottom"/>
            <w:hideMark/>
          </w:tcPr>
          <w:p w14:paraId="6DB7AFB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1.02</w:t>
            </w:r>
          </w:p>
        </w:tc>
        <w:tc>
          <w:tcPr>
            <w:tcW w:w="1220" w:type="dxa"/>
            <w:tcBorders>
              <w:top w:val="nil"/>
              <w:left w:val="nil"/>
              <w:bottom w:val="nil"/>
              <w:right w:val="nil"/>
            </w:tcBorders>
            <w:shd w:val="clear" w:color="auto" w:fill="auto"/>
            <w:noWrap/>
            <w:vAlign w:val="bottom"/>
            <w:hideMark/>
          </w:tcPr>
          <w:p w14:paraId="3ADCEC3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1.02</w:t>
            </w:r>
          </w:p>
        </w:tc>
        <w:tc>
          <w:tcPr>
            <w:tcW w:w="1220" w:type="dxa"/>
            <w:tcBorders>
              <w:top w:val="nil"/>
              <w:left w:val="nil"/>
              <w:bottom w:val="nil"/>
              <w:right w:val="nil"/>
            </w:tcBorders>
            <w:shd w:val="clear" w:color="auto" w:fill="auto"/>
            <w:noWrap/>
            <w:vAlign w:val="bottom"/>
            <w:hideMark/>
          </w:tcPr>
          <w:p w14:paraId="485E4FF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1.01</w:t>
            </w:r>
          </w:p>
        </w:tc>
        <w:tc>
          <w:tcPr>
            <w:tcW w:w="1160" w:type="dxa"/>
            <w:tcBorders>
              <w:top w:val="nil"/>
              <w:left w:val="nil"/>
              <w:bottom w:val="nil"/>
              <w:right w:val="nil"/>
            </w:tcBorders>
            <w:shd w:val="clear" w:color="auto" w:fill="auto"/>
            <w:noWrap/>
            <w:vAlign w:val="bottom"/>
            <w:hideMark/>
          </w:tcPr>
          <w:p w14:paraId="652DD493"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0.00</w:t>
            </w:r>
          </w:p>
        </w:tc>
      </w:tr>
      <w:tr w:rsidR="00063725" w:rsidRPr="00063725" w14:paraId="34E2356D" w14:textId="77777777" w:rsidTr="00B81596">
        <w:trPr>
          <w:trHeight w:val="60"/>
        </w:trPr>
        <w:tc>
          <w:tcPr>
            <w:tcW w:w="4400" w:type="dxa"/>
            <w:gridSpan w:val="2"/>
            <w:tcBorders>
              <w:top w:val="nil"/>
              <w:left w:val="nil"/>
              <w:bottom w:val="nil"/>
              <w:right w:val="nil"/>
            </w:tcBorders>
            <w:shd w:val="clear" w:color="auto" w:fill="auto"/>
            <w:noWrap/>
            <w:vAlign w:val="bottom"/>
            <w:hideMark/>
          </w:tcPr>
          <w:p w14:paraId="16F209D6" w14:textId="77777777" w:rsidR="00063725" w:rsidRPr="00063725" w:rsidRDefault="00063725" w:rsidP="00063725">
            <w:pPr>
              <w:spacing w:line="240" w:lineRule="auto"/>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5E7011B6"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C644B16"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7EA147E8"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C5082F9"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7BD4F52"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498AD7F"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70449728" w14:textId="77777777" w:rsidR="00063725" w:rsidRPr="00063725" w:rsidRDefault="00063725" w:rsidP="00063725">
            <w:pPr>
              <w:spacing w:line="240" w:lineRule="auto"/>
              <w:jc w:val="right"/>
              <w:rPr>
                <w:rFonts w:eastAsia="Times New Roman" w:cs="Times New Roman"/>
                <w:sz w:val="18"/>
                <w:szCs w:val="18"/>
              </w:rPr>
            </w:pPr>
          </w:p>
        </w:tc>
        <w:tc>
          <w:tcPr>
            <w:tcW w:w="1160" w:type="dxa"/>
            <w:tcBorders>
              <w:top w:val="nil"/>
              <w:left w:val="nil"/>
              <w:bottom w:val="nil"/>
              <w:right w:val="nil"/>
            </w:tcBorders>
            <w:shd w:val="clear" w:color="auto" w:fill="auto"/>
            <w:noWrap/>
            <w:vAlign w:val="bottom"/>
            <w:hideMark/>
          </w:tcPr>
          <w:p w14:paraId="1267D850" w14:textId="77777777" w:rsidR="00063725" w:rsidRPr="00063725" w:rsidRDefault="00063725" w:rsidP="00063725">
            <w:pPr>
              <w:spacing w:line="240" w:lineRule="auto"/>
              <w:jc w:val="right"/>
              <w:rPr>
                <w:rFonts w:eastAsia="Times New Roman" w:cs="Times New Roman"/>
                <w:b/>
                <w:bCs/>
                <w:sz w:val="18"/>
                <w:szCs w:val="18"/>
              </w:rPr>
            </w:pPr>
          </w:p>
        </w:tc>
      </w:tr>
      <w:tr w:rsidR="00063725" w:rsidRPr="00063725" w14:paraId="4850B67F"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6528718F" w14:textId="77777777" w:rsidR="00063725" w:rsidRPr="00063725" w:rsidRDefault="00063725" w:rsidP="00063725">
            <w:pPr>
              <w:spacing w:line="240" w:lineRule="auto"/>
              <w:rPr>
                <w:rFonts w:eastAsia="Times New Roman" w:cs="Times New Roman"/>
                <w:b/>
                <w:bCs/>
                <w:sz w:val="18"/>
                <w:szCs w:val="18"/>
              </w:rPr>
            </w:pPr>
            <w:r w:rsidRPr="00063725">
              <w:rPr>
                <w:rFonts w:eastAsia="Times New Roman" w:cs="Times New Roman"/>
                <w:b/>
                <w:bCs/>
                <w:sz w:val="18"/>
                <w:szCs w:val="18"/>
              </w:rPr>
              <w:t>Hillsborough Planning Area (Town Limits)</w:t>
            </w:r>
          </w:p>
        </w:tc>
        <w:tc>
          <w:tcPr>
            <w:tcW w:w="1220" w:type="dxa"/>
            <w:tcBorders>
              <w:top w:val="nil"/>
              <w:left w:val="nil"/>
              <w:bottom w:val="nil"/>
              <w:right w:val="nil"/>
            </w:tcBorders>
            <w:shd w:val="clear" w:color="auto" w:fill="auto"/>
            <w:noWrap/>
            <w:vAlign w:val="bottom"/>
            <w:hideMark/>
          </w:tcPr>
          <w:p w14:paraId="5B99686B"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2747B92C"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597A0D5"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2501C8AC"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507C384A"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48884580"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2EDF1871" w14:textId="77777777" w:rsidR="00063725" w:rsidRPr="00063725" w:rsidRDefault="00063725" w:rsidP="00063725">
            <w:pPr>
              <w:spacing w:line="240" w:lineRule="auto"/>
              <w:jc w:val="right"/>
              <w:rPr>
                <w:rFonts w:eastAsia="Times New Roman" w:cs="Times New Roman"/>
                <w:sz w:val="18"/>
                <w:szCs w:val="18"/>
              </w:rPr>
            </w:pPr>
          </w:p>
        </w:tc>
        <w:tc>
          <w:tcPr>
            <w:tcW w:w="1160" w:type="dxa"/>
            <w:tcBorders>
              <w:top w:val="nil"/>
              <w:left w:val="nil"/>
              <w:bottom w:val="nil"/>
              <w:right w:val="nil"/>
            </w:tcBorders>
            <w:shd w:val="clear" w:color="auto" w:fill="auto"/>
            <w:noWrap/>
            <w:vAlign w:val="bottom"/>
            <w:hideMark/>
          </w:tcPr>
          <w:p w14:paraId="3FB971D4" w14:textId="77777777" w:rsidR="00063725" w:rsidRPr="00063725" w:rsidRDefault="00063725" w:rsidP="00063725">
            <w:pPr>
              <w:spacing w:line="240" w:lineRule="auto"/>
              <w:jc w:val="right"/>
              <w:rPr>
                <w:rFonts w:eastAsia="Times New Roman" w:cs="Times New Roman"/>
                <w:b/>
                <w:bCs/>
                <w:sz w:val="18"/>
                <w:szCs w:val="18"/>
              </w:rPr>
            </w:pPr>
          </w:p>
        </w:tc>
      </w:tr>
      <w:tr w:rsidR="00063725" w:rsidRPr="00063725" w14:paraId="6E5E0788" w14:textId="77777777" w:rsidTr="00B81596">
        <w:trPr>
          <w:trHeight w:val="240"/>
        </w:trPr>
        <w:tc>
          <w:tcPr>
            <w:tcW w:w="4400" w:type="dxa"/>
            <w:gridSpan w:val="2"/>
            <w:tcBorders>
              <w:top w:val="nil"/>
              <w:left w:val="nil"/>
              <w:bottom w:val="nil"/>
              <w:right w:val="nil"/>
            </w:tcBorders>
            <w:shd w:val="clear" w:color="auto" w:fill="auto"/>
            <w:vAlign w:val="bottom"/>
            <w:hideMark/>
          </w:tcPr>
          <w:p w14:paraId="5B75EFDD"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Agriculture and Natural Resources Jobs</w:t>
            </w:r>
          </w:p>
        </w:tc>
        <w:tc>
          <w:tcPr>
            <w:tcW w:w="1220" w:type="dxa"/>
            <w:tcBorders>
              <w:top w:val="nil"/>
              <w:left w:val="nil"/>
              <w:bottom w:val="nil"/>
              <w:right w:val="nil"/>
            </w:tcBorders>
            <w:shd w:val="clear" w:color="000000" w:fill="FFFFFF"/>
            <w:noWrap/>
            <w:vAlign w:val="bottom"/>
            <w:hideMark/>
          </w:tcPr>
          <w:p w14:paraId="567FE74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w:t>
            </w:r>
          </w:p>
        </w:tc>
        <w:tc>
          <w:tcPr>
            <w:tcW w:w="1220" w:type="dxa"/>
            <w:tcBorders>
              <w:top w:val="nil"/>
              <w:left w:val="nil"/>
              <w:bottom w:val="nil"/>
              <w:right w:val="nil"/>
            </w:tcBorders>
            <w:shd w:val="clear" w:color="000000" w:fill="FFFFFF"/>
            <w:noWrap/>
            <w:vAlign w:val="bottom"/>
            <w:hideMark/>
          </w:tcPr>
          <w:p w14:paraId="03D92BA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w:t>
            </w:r>
          </w:p>
        </w:tc>
        <w:tc>
          <w:tcPr>
            <w:tcW w:w="1220" w:type="dxa"/>
            <w:tcBorders>
              <w:top w:val="nil"/>
              <w:left w:val="nil"/>
              <w:bottom w:val="nil"/>
              <w:right w:val="nil"/>
            </w:tcBorders>
            <w:shd w:val="clear" w:color="000000" w:fill="FFFFFF"/>
            <w:noWrap/>
            <w:vAlign w:val="bottom"/>
            <w:hideMark/>
          </w:tcPr>
          <w:p w14:paraId="3D6D2FE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w:t>
            </w:r>
          </w:p>
        </w:tc>
        <w:tc>
          <w:tcPr>
            <w:tcW w:w="1220" w:type="dxa"/>
            <w:tcBorders>
              <w:top w:val="nil"/>
              <w:left w:val="nil"/>
              <w:bottom w:val="nil"/>
              <w:right w:val="nil"/>
            </w:tcBorders>
            <w:shd w:val="clear" w:color="000000" w:fill="FFFFFF"/>
            <w:noWrap/>
            <w:vAlign w:val="bottom"/>
            <w:hideMark/>
          </w:tcPr>
          <w:p w14:paraId="20D2FF7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w:t>
            </w:r>
          </w:p>
        </w:tc>
        <w:tc>
          <w:tcPr>
            <w:tcW w:w="1220" w:type="dxa"/>
            <w:tcBorders>
              <w:top w:val="nil"/>
              <w:left w:val="nil"/>
              <w:bottom w:val="nil"/>
              <w:right w:val="nil"/>
            </w:tcBorders>
            <w:shd w:val="clear" w:color="000000" w:fill="FFFFFF"/>
            <w:noWrap/>
            <w:vAlign w:val="bottom"/>
            <w:hideMark/>
          </w:tcPr>
          <w:p w14:paraId="599F569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w:t>
            </w:r>
          </w:p>
        </w:tc>
        <w:tc>
          <w:tcPr>
            <w:tcW w:w="1220" w:type="dxa"/>
            <w:tcBorders>
              <w:top w:val="nil"/>
              <w:left w:val="nil"/>
              <w:bottom w:val="nil"/>
              <w:right w:val="nil"/>
            </w:tcBorders>
            <w:shd w:val="clear" w:color="000000" w:fill="FFFFFF"/>
            <w:noWrap/>
            <w:vAlign w:val="bottom"/>
            <w:hideMark/>
          </w:tcPr>
          <w:p w14:paraId="50C8C67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w:t>
            </w:r>
          </w:p>
        </w:tc>
        <w:tc>
          <w:tcPr>
            <w:tcW w:w="1220" w:type="dxa"/>
            <w:tcBorders>
              <w:top w:val="nil"/>
              <w:left w:val="nil"/>
              <w:bottom w:val="nil"/>
              <w:right w:val="nil"/>
            </w:tcBorders>
            <w:shd w:val="clear" w:color="000000" w:fill="FFFFFF"/>
            <w:noWrap/>
            <w:vAlign w:val="bottom"/>
            <w:hideMark/>
          </w:tcPr>
          <w:p w14:paraId="4172187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10</w:t>
            </w:r>
          </w:p>
        </w:tc>
        <w:tc>
          <w:tcPr>
            <w:tcW w:w="1160" w:type="dxa"/>
            <w:tcBorders>
              <w:top w:val="nil"/>
              <w:left w:val="nil"/>
              <w:bottom w:val="nil"/>
              <w:right w:val="nil"/>
            </w:tcBorders>
            <w:shd w:val="clear" w:color="auto" w:fill="auto"/>
            <w:vAlign w:val="bottom"/>
            <w:hideMark/>
          </w:tcPr>
          <w:p w14:paraId="5120B21E"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0</w:t>
            </w:r>
          </w:p>
        </w:tc>
      </w:tr>
      <w:tr w:rsidR="00063725" w:rsidRPr="00063725" w14:paraId="50D76467" w14:textId="77777777" w:rsidTr="00B81596">
        <w:trPr>
          <w:trHeight w:val="240"/>
        </w:trPr>
        <w:tc>
          <w:tcPr>
            <w:tcW w:w="4400" w:type="dxa"/>
            <w:gridSpan w:val="2"/>
            <w:tcBorders>
              <w:top w:val="nil"/>
              <w:left w:val="nil"/>
              <w:bottom w:val="nil"/>
              <w:right w:val="nil"/>
            </w:tcBorders>
            <w:shd w:val="clear" w:color="auto" w:fill="auto"/>
            <w:vAlign w:val="bottom"/>
            <w:hideMark/>
          </w:tcPr>
          <w:p w14:paraId="2853D60F"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Mfg, Wholesale and Transportation Jobs</w:t>
            </w:r>
          </w:p>
        </w:tc>
        <w:tc>
          <w:tcPr>
            <w:tcW w:w="1220" w:type="dxa"/>
            <w:tcBorders>
              <w:top w:val="nil"/>
              <w:left w:val="nil"/>
              <w:bottom w:val="nil"/>
              <w:right w:val="nil"/>
            </w:tcBorders>
            <w:shd w:val="clear" w:color="000000" w:fill="FFFFFF"/>
            <w:noWrap/>
            <w:vAlign w:val="bottom"/>
            <w:hideMark/>
          </w:tcPr>
          <w:p w14:paraId="3347B56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70</w:t>
            </w:r>
          </w:p>
        </w:tc>
        <w:tc>
          <w:tcPr>
            <w:tcW w:w="1220" w:type="dxa"/>
            <w:tcBorders>
              <w:top w:val="nil"/>
              <w:left w:val="nil"/>
              <w:bottom w:val="nil"/>
              <w:right w:val="nil"/>
            </w:tcBorders>
            <w:shd w:val="clear" w:color="000000" w:fill="FFFFFF"/>
            <w:noWrap/>
            <w:vAlign w:val="bottom"/>
            <w:hideMark/>
          </w:tcPr>
          <w:p w14:paraId="6107BE0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70</w:t>
            </w:r>
          </w:p>
        </w:tc>
        <w:tc>
          <w:tcPr>
            <w:tcW w:w="1220" w:type="dxa"/>
            <w:tcBorders>
              <w:top w:val="nil"/>
              <w:left w:val="nil"/>
              <w:bottom w:val="nil"/>
              <w:right w:val="nil"/>
            </w:tcBorders>
            <w:shd w:val="clear" w:color="000000" w:fill="FFFFFF"/>
            <w:noWrap/>
            <w:vAlign w:val="bottom"/>
            <w:hideMark/>
          </w:tcPr>
          <w:p w14:paraId="0111416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70</w:t>
            </w:r>
          </w:p>
        </w:tc>
        <w:tc>
          <w:tcPr>
            <w:tcW w:w="1220" w:type="dxa"/>
            <w:tcBorders>
              <w:top w:val="nil"/>
              <w:left w:val="nil"/>
              <w:bottom w:val="nil"/>
              <w:right w:val="nil"/>
            </w:tcBorders>
            <w:shd w:val="clear" w:color="000000" w:fill="FFFFFF"/>
            <w:noWrap/>
            <w:vAlign w:val="bottom"/>
            <w:hideMark/>
          </w:tcPr>
          <w:p w14:paraId="0E06A46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70</w:t>
            </w:r>
          </w:p>
        </w:tc>
        <w:tc>
          <w:tcPr>
            <w:tcW w:w="1220" w:type="dxa"/>
            <w:tcBorders>
              <w:top w:val="nil"/>
              <w:left w:val="nil"/>
              <w:bottom w:val="nil"/>
              <w:right w:val="nil"/>
            </w:tcBorders>
            <w:shd w:val="clear" w:color="000000" w:fill="FFFFFF"/>
            <w:noWrap/>
            <w:vAlign w:val="bottom"/>
            <w:hideMark/>
          </w:tcPr>
          <w:p w14:paraId="2FDD955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60</w:t>
            </w:r>
          </w:p>
        </w:tc>
        <w:tc>
          <w:tcPr>
            <w:tcW w:w="1220" w:type="dxa"/>
            <w:tcBorders>
              <w:top w:val="nil"/>
              <w:left w:val="nil"/>
              <w:bottom w:val="nil"/>
              <w:right w:val="nil"/>
            </w:tcBorders>
            <w:shd w:val="clear" w:color="000000" w:fill="FFFFFF"/>
            <w:noWrap/>
            <w:vAlign w:val="bottom"/>
            <w:hideMark/>
          </w:tcPr>
          <w:p w14:paraId="62B6864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60</w:t>
            </w:r>
          </w:p>
        </w:tc>
        <w:tc>
          <w:tcPr>
            <w:tcW w:w="1220" w:type="dxa"/>
            <w:tcBorders>
              <w:top w:val="nil"/>
              <w:left w:val="nil"/>
              <w:bottom w:val="nil"/>
              <w:right w:val="nil"/>
            </w:tcBorders>
            <w:shd w:val="clear" w:color="000000" w:fill="FFFFFF"/>
            <w:noWrap/>
            <w:vAlign w:val="bottom"/>
            <w:hideMark/>
          </w:tcPr>
          <w:p w14:paraId="0F4B24C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50</w:t>
            </w:r>
          </w:p>
        </w:tc>
        <w:tc>
          <w:tcPr>
            <w:tcW w:w="1160" w:type="dxa"/>
            <w:tcBorders>
              <w:top w:val="nil"/>
              <w:left w:val="nil"/>
              <w:bottom w:val="nil"/>
              <w:right w:val="nil"/>
            </w:tcBorders>
            <w:shd w:val="clear" w:color="auto" w:fill="auto"/>
            <w:vAlign w:val="bottom"/>
            <w:hideMark/>
          </w:tcPr>
          <w:p w14:paraId="50CFD97D"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w:t>
            </w:r>
          </w:p>
        </w:tc>
      </w:tr>
      <w:tr w:rsidR="00063725" w:rsidRPr="00063725" w14:paraId="2E48ED46" w14:textId="77777777" w:rsidTr="00B81596">
        <w:trPr>
          <w:trHeight w:val="240"/>
        </w:trPr>
        <w:tc>
          <w:tcPr>
            <w:tcW w:w="4400" w:type="dxa"/>
            <w:gridSpan w:val="2"/>
            <w:tcBorders>
              <w:top w:val="nil"/>
              <w:left w:val="nil"/>
              <w:bottom w:val="nil"/>
              <w:right w:val="nil"/>
            </w:tcBorders>
            <w:shd w:val="clear" w:color="auto" w:fill="auto"/>
            <w:vAlign w:val="bottom"/>
            <w:hideMark/>
          </w:tcPr>
          <w:p w14:paraId="7233B502"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Retail Jobs</w:t>
            </w:r>
          </w:p>
        </w:tc>
        <w:tc>
          <w:tcPr>
            <w:tcW w:w="1220" w:type="dxa"/>
            <w:tcBorders>
              <w:top w:val="nil"/>
              <w:left w:val="nil"/>
              <w:bottom w:val="nil"/>
              <w:right w:val="nil"/>
            </w:tcBorders>
            <w:shd w:val="clear" w:color="000000" w:fill="FFFFFF"/>
            <w:noWrap/>
            <w:vAlign w:val="bottom"/>
            <w:hideMark/>
          </w:tcPr>
          <w:p w14:paraId="44B3F5A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30</w:t>
            </w:r>
          </w:p>
        </w:tc>
        <w:tc>
          <w:tcPr>
            <w:tcW w:w="1220" w:type="dxa"/>
            <w:tcBorders>
              <w:top w:val="nil"/>
              <w:left w:val="nil"/>
              <w:bottom w:val="nil"/>
              <w:right w:val="nil"/>
            </w:tcBorders>
            <w:shd w:val="clear" w:color="000000" w:fill="FFFFFF"/>
            <w:noWrap/>
            <w:vAlign w:val="bottom"/>
            <w:hideMark/>
          </w:tcPr>
          <w:p w14:paraId="46E3DF1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w:t>
            </w:r>
          </w:p>
        </w:tc>
        <w:tc>
          <w:tcPr>
            <w:tcW w:w="1220" w:type="dxa"/>
            <w:tcBorders>
              <w:top w:val="nil"/>
              <w:left w:val="nil"/>
              <w:bottom w:val="nil"/>
              <w:right w:val="nil"/>
            </w:tcBorders>
            <w:shd w:val="clear" w:color="000000" w:fill="FFFFFF"/>
            <w:noWrap/>
            <w:vAlign w:val="bottom"/>
            <w:hideMark/>
          </w:tcPr>
          <w:p w14:paraId="2EF30E0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w:t>
            </w:r>
          </w:p>
        </w:tc>
        <w:tc>
          <w:tcPr>
            <w:tcW w:w="1220" w:type="dxa"/>
            <w:tcBorders>
              <w:top w:val="nil"/>
              <w:left w:val="nil"/>
              <w:bottom w:val="nil"/>
              <w:right w:val="nil"/>
            </w:tcBorders>
            <w:shd w:val="clear" w:color="000000" w:fill="FFFFFF"/>
            <w:noWrap/>
            <w:vAlign w:val="bottom"/>
            <w:hideMark/>
          </w:tcPr>
          <w:p w14:paraId="3D6E597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w:t>
            </w:r>
          </w:p>
        </w:tc>
        <w:tc>
          <w:tcPr>
            <w:tcW w:w="1220" w:type="dxa"/>
            <w:tcBorders>
              <w:top w:val="nil"/>
              <w:left w:val="nil"/>
              <w:bottom w:val="nil"/>
              <w:right w:val="nil"/>
            </w:tcBorders>
            <w:shd w:val="clear" w:color="000000" w:fill="FFFFFF"/>
            <w:noWrap/>
            <w:vAlign w:val="bottom"/>
            <w:hideMark/>
          </w:tcPr>
          <w:p w14:paraId="4D6A2CA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w:t>
            </w:r>
          </w:p>
        </w:tc>
        <w:tc>
          <w:tcPr>
            <w:tcW w:w="1220" w:type="dxa"/>
            <w:tcBorders>
              <w:top w:val="nil"/>
              <w:left w:val="nil"/>
              <w:bottom w:val="nil"/>
              <w:right w:val="nil"/>
            </w:tcBorders>
            <w:shd w:val="clear" w:color="000000" w:fill="FFFFFF"/>
            <w:noWrap/>
            <w:vAlign w:val="bottom"/>
            <w:hideMark/>
          </w:tcPr>
          <w:p w14:paraId="7D3FCC05"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50</w:t>
            </w:r>
          </w:p>
        </w:tc>
        <w:tc>
          <w:tcPr>
            <w:tcW w:w="1220" w:type="dxa"/>
            <w:tcBorders>
              <w:top w:val="nil"/>
              <w:left w:val="nil"/>
              <w:bottom w:val="nil"/>
              <w:right w:val="nil"/>
            </w:tcBorders>
            <w:shd w:val="clear" w:color="000000" w:fill="FFFFFF"/>
            <w:noWrap/>
            <w:vAlign w:val="bottom"/>
            <w:hideMark/>
          </w:tcPr>
          <w:p w14:paraId="1382D55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50</w:t>
            </w:r>
          </w:p>
        </w:tc>
        <w:tc>
          <w:tcPr>
            <w:tcW w:w="1160" w:type="dxa"/>
            <w:tcBorders>
              <w:top w:val="nil"/>
              <w:left w:val="nil"/>
              <w:bottom w:val="nil"/>
              <w:right w:val="nil"/>
            </w:tcBorders>
            <w:shd w:val="clear" w:color="auto" w:fill="auto"/>
            <w:vAlign w:val="bottom"/>
            <w:hideMark/>
          </w:tcPr>
          <w:p w14:paraId="1D3FA927"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20</w:t>
            </w:r>
          </w:p>
        </w:tc>
      </w:tr>
      <w:tr w:rsidR="00063725" w:rsidRPr="00063725" w14:paraId="4AFDCC0A" w14:textId="77777777" w:rsidTr="00B81596">
        <w:trPr>
          <w:trHeight w:val="240"/>
        </w:trPr>
        <w:tc>
          <w:tcPr>
            <w:tcW w:w="4400" w:type="dxa"/>
            <w:gridSpan w:val="2"/>
            <w:tcBorders>
              <w:top w:val="nil"/>
              <w:left w:val="nil"/>
              <w:bottom w:val="nil"/>
              <w:right w:val="nil"/>
            </w:tcBorders>
            <w:shd w:val="clear" w:color="auto" w:fill="auto"/>
            <w:vAlign w:val="bottom"/>
            <w:hideMark/>
          </w:tcPr>
          <w:p w14:paraId="3EC3616F"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Financial and Professional Service Jobs</w:t>
            </w:r>
          </w:p>
        </w:tc>
        <w:tc>
          <w:tcPr>
            <w:tcW w:w="1220" w:type="dxa"/>
            <w:tcBorders>
              <w:top w:val="nil"/>
              <w:left w:val="nil"/>
              <w:bottom w:val="nil"/>
              <w:right w:val="nil"/>
            </w:tcBorders>
            <w:shd w:val="clear" w:color="000000" w:fill="FFFFFF"/>
            <w:noWrap/>
            <w:vAlign w:val="bottom"/>
            <w:hideMark/>
          </w:tcPr>
          <w:p w14:paraId="687DB25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760</w:t>
            </w:r>
          </w:p>
        </w:tc>
        <w:tc>
          <w:tcPr>
            <w:tcW w:w="1220" w:type="dxa"/>
            <w:tcBorders>
              <w:top w:val="nil"/>
              <w:left w:val="nil"/>
              <w:bottom w:val="nil"/>
              <w:right w:val="nil"/>
            </w:tcBorders>
            <w:shd w:val="clear" w:color="000000" w:fill="FFFFFF"/>
            <w:noWrap/>
            <w:vAlign w:val="bottom"/>
            <w:hideMark/>
          </w:tcPr>
          <w:p w14:paraId="392FBDB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770</w:t>
            </w:r>
          </w:p>
        </w:tc>
        <w:tc>
          <w:tcPr>
            <w:tcW w:w="1220" w:type="dxa"/>
            <w:tcBorders>
              <w:top w:val="nil"/>
              <w:left w:val="nil"/>
              <w:bottom w:val="nil"/>
              <w:right w:val="nil"/>
            </w:tcBorders>
            <w:shd w:val="clear" w:color="000000" w:fill="FFFFFF"/>
            <w:noWrap/>
            <w:vAlign w:val="bottom"/>
            <w:hideMark/>
          </w:tcPr>
          <w:p w14:paraId="778D4CCC"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800</w:t>
            </w:r>
          </w:p>
        </w:tc>
        <w:tc>
          <w:tcPr>
            <w:tcW w:w="1220" w:type="dxa"/>
            <w:tcBorders>
              <w:top w:val="nil"/>
              <w:left w:val="nil"/>
              <w:bottom w:val="nil"/>
              <w:right w:val="nil"/>
            </w:tcBorders>
            <w:shd w:val="clear" w:color="000000" w:fill="FFFFFF"/>
            <w:noWrap/>
            <w:vAlign w:val="bottom"/>
            <w:hideMark/>
          </w:tcPr>
          <w:p w14:paraId="02C826F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810</w:t>
            </w:r>
          </w:p>
        </w:tc>
        <w:tc>
          <w:tcPr>
            <w:tcW w:w="1220" w:type="dxa"/>
            <w:tcBorders>
              <w:top w:val="nil"/>
              <w:left w:val="nil"/>
              <w:bottom w:val="nil"/>
              <w:right w:val="nil"/>
            </w:tcBorders>
            <w:shd w:val="clear" w:color="000000" w:fill="FFFFFF"/>
            <w:noWrap/>
            <w:vAlign w:val="bottom"/>
            <w:hideMark/>
          </w:tcPr>
          <w:p w14:paraId="538BD17B"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830</w:t>
            </w:r>
          </w:p>
        </w:tc>
        <w:tc>
          <w:tcPr>
            <w:tcW w:w="1220" w:type="dxa"/>
            <w:tcBorders>
              <w:top w:val="nil"/>
              <w:left w:val="nil"/>
              <w:bottom w:val="nil"/>
              <w:right w:val="nil"/>
            </w:tcBorders>
            <w:shd w:val="clear" w:color="000000" w:fill="FFFFFF"/>
            <w:noWrap/>
            <w:vAlign w:val="bottom"/>
            <w:hideMark/>
          </w:tcPr>
          <w:p w14:paraId="35F0504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850</w:t>
            </w:r>
          </w:p>
        </w:tc>
        <w:tc>
          <w:tcPr>
            <w:tcW w:w="1220" w:type="dxa"/>
            <w:tcBorders>
              <w:top w:val="nil"/>
              <w:left w:val="nil"/>
              <w:bottom w:val="nil"/>
              <w:right w:val="nil"/>
            </w:tcBorders>
            <w:shd w:val="clear" w:color="000000" w:fill="FFFFFF"/>
            <w:noWrap/>
            <w:vAlign w:val="bottom"/>
            <w:hideMark/>
          </w:tcPr>
          <w:p w14:paraId="5F44702F"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860</w:t>
            </w:r>
          </w:p>
        </w:tc>
        <w:tc>
          <w:tcPr>
            <w:tcW w:w="1160" w:type="dxa"/>
            <w:tcBorders>
              <w:top w:val="nil"/>
              <w:left w:val="nil"/>
              <w:bottom w:val="nil"/>
              <w:right w:val="nil"/>
            </w:tcBorders>
            <w:shd w:val="clear" w:color="auto" w:fill="auto"/>
            <w:vAlign w:val="bottom"/>
            <w:hideMark/>
          </w:tcPr>
          <w:p w14:paraId="5F90A459"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100</w:t>
            </w:r>
          </w:p>
        </w:tc>
      </w:tr>
      <w:tr w:rsidR="00063725" w:rsidRPr="00063725" w14:paraId="021E0688" w14:textId="77777777" w:rsidTr="00B81596">
        <w:trPr>
          <w:trHeight w:val="240"/>
        </w:trPr>
        <w:tc>
          <w:tcPr>
            <w:tcW w:w="4400" w:type="dxa"/>
            <w:gridSpan w:val="2"/>
            <w:tcBorders>
              <w:top w:val="nil"/>
              <w:left w:val="nil"/>
              <w:bottom w:val="nil"/>
              <w:right w:val="nil"/>
            </w:tcBorders>
            <w:shd w:val="clear" w:color="auto" w:fill="auto"/>
            <w:vAlign w:val="bottom"/>
            <w:hideMark/>
          </w:tcPr>
          <w:p w14:paraId="05897015"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Health, Educ. and Recreation Service Jobs</w:t>
            </w:r>
          </w:p>
        </w:tc>
        <w:tc>
          <w:tcPr>
            <w:tcW w:w="1220" w:type="dxa"/>
            <w:tcBorders>
              <w:top w:val="nil"/>
              <w:left w:val="nil"/>
              <w:bottom w:val="nil"/>
              <w:right w:val="nil"/>
            </w:tcBorders>
            <w:shd w:val="clear" w:color="000000" w:fill="FFFFFF"/>
            <w:noWrap/>
            <w:vAlign w:val="bottom"/>
            <w:hideMark/>
          </w:tcPr>
          <w:p w14:paraId="049D7DF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570</w:t>
            </w:r>
          </w:p>
        </w:tc>
        <w:tc>
          <w:tcPr>
            <w:tcW w:w="1220" w:type="dxa"/>
            <w:tcBorders>
              <w:top w:val="nil"/>
              <w:left w:val="nil"/>
              <w:bottom w:val="nil"/>
              <w:right w:val="nil"/>
            </w:tcBorders>
            <w:shd w:val="clear" w:color="000000" w:fill="FFFFFF"/>
            <w:noWrap/>
            <w:vAlign w:val="bottom"/>
            <w:hideMark/>
          </w:tcPr>
          <w:p w14:paraId="28F555C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630</w:t>
            </w:r>
          </w:p>
        </w:tc>
        <w:tc>
          <w:tcPr>
            <w:tcW w:w="1220" w:type="dxa"/>
            <w:tcBorders>
              <w:top w:val="nil"/>
              <w:left w:val="nil"/>
              <w:bottom w:val="nil"/>
              <w:right w:val="nil"/>
            </w:tcBorders>
            <w:shd w:val="clear" w:color="000000" w:fill="FFFFFF"/>
            <w:noWrap/>
            <w:vAlign w:val="bottom"/>
            <w:hideMark/>
          </w:tcPr>
          <w:p w14:paraId="66E7805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680</w:t>
            </w:r>
          </w:p>
        </w:tc>
        <w:tc>
          <w:tcPr>
            <w:tcW w:w="1220" w:type="dxa"/>
            <w:tcBorders>
              <w:top w:val="nil"/>
              <w:left w:val="nil"/>
              <w:bottom w:val="nil"/>
              <w:right w:val="nil"/>
            </w:tcBorders>
            <w:shd w:val="clear" w:color="000000" w:fill="FFFFFF"/>
            <w:noWrap/>
            <w:vAlign w:val="bottom"/>
            <w:hideMark/>
          </w:tcPr>
          <w:p w14:paraId="5A3452EA"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710</w:t>
            </w:r>
          </w:p>
        </w:tc>
        <w:tc>
          <w:tcPr>
            <w:tcW w:w="1220" w:type="dxa"/>
            <w:tcBorders>
              <w:top w:val="nil"/>
              <w:left w:val="nil"/>
              <w:bottom w:val="nil"/>
              <w:right w:val="nil"/>
            </w:tcBorders>
            <w:shd w:val="clear" w:color="000000" w:fill="FFFFFF"/>
            <w:noWrap/>
            <w:vAlign w:val="bottom"/>
            <w:hideMark/>
          </w:tcPr>
          <w:p w14:paraId="245DC0C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740</w:t>
            </w:r>
          </w:p>
        </w:tc>
        <w:tc>
          <w:tcPr>
            <w:tcW w:w="1220" w:type="dxa"/>
            <w:tcBorders>
              <w:top w:val="nil"/>
              <w:left w:val="nil"/>
              <w:bottom w:val="nil"/>
              <w:right w:val="nil"/>
            </w:tcBorders>
            <w:shd w:val="clear" w:color="000000" w:fill="FFFFFF"/>
            <w:noWrap/>
            <w:vAlign w:val="bottom"/>
            <w:hideMark/>
          </w:tcPr>
          <w:p w14:paraId="3BB8C5F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780</w:t>
            </w:r>
          </w:p>
        </w:tc>
        <w:tc>
          <w:tcPr>
            <w:tcW w:w="1220" w:type="dxa"/>
            <w:tcBorders>
              <w:top w:val="nil"/>
              <w:left w:val="nil"/>
              <w:bottom w:val="nil"/>
              <w:right w:val="nil"/>
            </w:tcBorders>
            <w:shd w:val="clear" w:color="000000" w:fill="FFFFFF"/>
            <w:noWrap/>
            <w:vAlign w:val="bottom"/>
            <w:hideMark/>
          </w:tcPr>
          <w:p w14:paraId="3A8E84DE"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820</w:t>
            </w:r>
          </w:p>
        </w:tc>
        <w:tc>
          <w:tcPr>
            <w:tcW w:w="1160" w:type="dxa"/>
            <w:tcBorders>
              <w:top w:val="nil"/>
              <w:left w:val="nil"/>
              <w:bottom w:val="nil"/>
              <w:right w:val="nil"/>
            </w:tcBorders>
            <w:shd w:val="clear" w:color="auto" w:fill="auto"/>
            <w:vAlign w:val="bottom"/>
            <w:hideMark/>
          </w:tcPr>
          <w:p w14:paraId="088C1C15"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250</w:t>
            </w:r>
          </w:p>
        </w:tc>
      </w:tr>
      <w:tr w:rsidR="00063725" w:rsidRPr="00063725" w14:paraId="7B6FFE6B" w14:textId="77777777" w:rsidTr="00B81596">
        <w:trPr>
          <w:trHeight w:val="240"/>
        </w:trPr>
        <w:tc>
          <w:tcPr>
            <w:tcW w:w="4400" w:type="dxa"/>
            <w:gridSpan w:val="2"/>
            <w:tcBorders>
              <w:top w:val="nil"/>
              <w:left w:val="nil"/>
              <w:bottom w:val="nil"/>
              <w:right w:val="nil"/>
            </w:tcBorders>
            <w:shd w:val="clear" w:color="auto" w:fill="auto"/>
            <w:vAlign w:val="bottom"/>
            <w:hideMark/>
          </w:tcPr>
          <w:p w14:paraId="54ED4C06"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Other Jobs</w:t>
            </w:r>
          </w:p>
        </w:tc>
        <w:tc>
          <w:tcPr>
            <w:tcW w:w="1220" w:type="dxa"/>
            <w:tcBorders>
              <w:top w:val="nil"/>
              <w:left w:val="nil"/>
              <w:bottom w:val="nil"/>
              <w:right w:val="nil"/>
            </w:tcBorders>
            <w:shd w:val="clear" w:color="000000" w:fill="FFFFFF"/>
            <w:noWrap/>
            <w:vAlign w:val="bottom"/>
            <w:hideMark/>
          </w:tcPr>
          <w:p w14:paraId="2E8A5A0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410</w:t>
            </w:r>
          </w:p>
        </w:tc>
        <w:tc>
          <w:tcPr>
            <w:tcW w:w="1220" w:type="dxa"/>
            <w:tcBorders>
              <w:top w:val="nil"/>
              <w:left w:val="nil"/>
              <w:bottom w:val="nil"/>
              <w:right w:val="nil"/>
            </w:tcBorders>
            <w:shd w:val="clear" w:color="000000" w:fill="FFFFFF"/>
            <w:noWrap/>
            <w:vAlign w:val="bottom"/>
            <w:hideMark/>
          </w:tcPr>
          <w:p w14:paraId="0CAB77F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430</w:t>
            </w:r>
          </w:p>
        </w:tc>
        <w:tc>
          <w:tcPr>
            <w:tcW w:w="1220" w:type="dxa"/>
            <w:tcBorders>
              <w:top w:val="nil"/>
              <w:left w:val="nil"/>
              <w:bottom w:val="nil"/>
              <w:right w:val="nil"/>
            </w:tcBorders>
            <w:shd w:val="clear" w:color="000000" w:fill="FFFFFF"/>
            <w:noWrap/>
            <w:vAlign w:val="bottom"/>
            <w:hideMark/>
          </w:tcPr>
          <w:p w14:paraId="2926CB0D"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440</w:t>
            </w:r>
          </w:p>
        </w:tc>
        <w:tc>
          <w:tcPr>
            <w:tcW w:w="1220" w:type="dxa"/>
            <w:tcBorders>
              <w:top w:val="nil"/>
              <w:left w:val="nil"/>
              <w:bottom w:val="nil"/>
              <w:right w:val="nil"/>
            </w:tcBorders>
            <w:shd w:val="clear" w:color="000000" w:fill="FFFFFF"/>
            <w:noWrap/>
            <w:vAlign w:val="bottom"/>
            <w:hideMark/>
          </w:tcPr>
          <w:p w14:paraId="504876A8"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440</w:t>
            </w:r>
          </w:p>
        </w:tc>
        <w:tc>
          <w:tcPr>
            <w:tcW w:w="1220" w:type="dxa"/>
            <w:tcBorders>
              <w:top w:val="nil"/>
              <w:left w:val="nil"/>
              <w:bottom w:val="nil"/>
              <w:right w:val="nil"/>
            </w:tcBorders>
            <w:shd w:val="clear" w:color="000000" w:fill="FFFFFF"/>
            <w:noWrap/>
            <w:vAlign w:val="bottom"/>
            <w:hideMark/>
          </w:tcPr>
          <w:p w14:paraId="06FCE91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450</w:t>
            </w:r>
          </w:p>
        </w:tc>
        <w:tc>
          <w:tcPr>
            <w:tcW w:w="1220" w:type="dxa"/>
            <w:tcBorders>
              <w:top w:val="nil"/>
              <w:left w:val="nil"/>
              <w:bottom w:val="nil"/>
              <w:right w:val="nil"/>
            </w:tcBorders>
            <w:shd w:val="clear" w:color="000000" w:fill="FFFFFF"/>
            <w:noWrap/>
            <w:vAlign w:val="bottom"/>
            <w:hideMark/>
          </w:tcPr>
          <w:p w14:paraId="2F86097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450</w:t>
            </w:r>
          </w:p>
        </w:tc>
        <w:tc>
          <w:tcPr>
            <w:tcW w:w="1220" w:type="dxa"/>
            <w:tcBorders>
              <w:top w:val="nil"/>
              <w:left w:val="nil"/>
              <w:bottom w:val="nil"/>
              <w:right w:val="nil"/>
            </w:tcBorders>
            <w:shd w:val="clear" w:color="000000" w:fill="FFFFFF"/>
            <w:noWrap/>
            <w:vAlign w:val="bottom"/>
            <w:hideMark/>
          </w:tcPr>
          <w:p w14:paraId="44250CD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460</w:t>
            </w:r>
          </w:p>
        </w:tc>
        <w:tc>
          <w:tcPr>
            <w:tcW w:w="1160" w:type="dxa"/>
            <w:tcBorders>
              <w:top w:val="nil"/>
              <w:left w:val="nil"/>
              <w:bottom w:val="nil"/>
              <w:right w:val="nil"/>
            </w:tcBorders>
            <w:shd w:val="clear" w:color="auto" w:fill="auto"/>
            <w:vAlign w:val="bottom"/>
            <w:hideMark/>
          </w:tcPr>
          <w:p w14:paraId="5C6A774F"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50</w:t>
            </w:r>
          </w:p>
        </w:tc>
      </w:tr>
      <w:tr w:rsidR="00063725" w:rsidRPr="00063725" w14:paraId="01544D96"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12803E38"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Total Jobs</w:t>
            </w:r>
          </w:p>
        </w:tc>
        <w:tc>
          <w:tcPr>
            <w:tcW w:w="1220" w:type="dxa"/>
            <w:tcBorders>
              <w:top w:val="nil"/>
              <w:left w:val="nil"/>
              <w:bottom w:val="nil"/>
              <w:right w:val="nil"/>
            </w:tcBorders>
            <w:shd w:val="clear" w:color="000000" w:fill="FFFFFF"/>
            <w:noWrap/>
            <w:vAlign w:val="bottom"/>
            <w:hideMark/>
          </w:tcPr>
          <w:p w14:paraId="5CDF9AD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1,850</w:t>
            </w:r>
          </w:p>
        </w:tc>
        <w:tc>
          <w:tcPr>
            <w:tcW w:w="1220" w:type="dxa"/>
            <w:tcBorders>
              <w:top w:val="nil"/>
              <w:left w:val="nil"/>
              <w:bottom w:val="nil"/>
              <w:right w:val="nil"/>
            </w:tcBorders>
            <w:shd w:val="clear" w:color="000000" w:fill="FFFFFF"/>
            <w:noWrap/>
            <w:vAlign w:val="bottom"/>
            <w:hideMark/>
          </w:tcPr>
          <w:p w14:paraId="0943582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1,950</w:t>
            </w:r>
          </w:p>
        </w:tc>
        <w:tc>
          <w:tcPr>
            <w:tcW w:w="1220" w:type="dxa"/>
            <w:tcBorders>
              <w:top w:val="nil"/>
              <w:left w:val="nil"/>
              <w:bottom w:val="nil"/>
              <w:right w:val="nil"/>
            </w:tcBorders>
            <w:shd w:val="clear" w:color="000000" w:fill="FFFFFF"/>
            <w:noWrap/>
            <w:vAlign w:val="bottom"/>
            <w:hideMark/>
          </w:tcPr>
          <w:p w14:paraId="7798F52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2,040</w:t>
            </w:r>
          </w:p>
        </w:tc>
        <w:tc>
          <w:tcPr>
            <w:tcW w:w="1220" w:type="dxa"/>
            <w:tcBorders>
              <w:top w:val="nil"/>
              <w:left w:val="nil"/>
              <w:bottom w:val="nil"/>
              <w:right w:val="nil"/>
            </w:tcBorders>
            <w:shd w:val="clear" w:color="000000" w:fill="FFFFFF"/>
            <w:noWrap/>
            <w:vAlign w:val="bottom"/>
            <w:hideMark/>
          </w:tcPr>
          <w:p w14:paraId="4200D89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2,080</w:t>
            </w:r>
          </w:p>
        </w:tc>
        <w:tc>
          <w:tcPr>
            <w:tcW w:w="1220" w:type="dxa"/>
            <w:tcBorders>
              <w:top w:val="nil"/>
              <w:left w:val="nil"/>
              <w:bottom w:val="nil"/>
              <w:right w:val="nil"/>
            </w:tcBorders>
            <w:shd w:val="clear" w:color="000000" w:fill="FFFFFF"/>
            <w:noWrap/>
            <w:vAlign w:val="bottom"/>
            <w:hideMark/>
          </w:tcPr>
          <w:p w14:paraId="3581FE6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2,130</w:t>
            </w:r>
          </w:p>
        </w:tc>
        <w:tc>
          <w:tcPr>
            <w:tcW w:w="1220" w:type="dxa"/>
            <w:tcBorders>
              <w:top w:val="nil"/>
              <w:left w:val="nil"/>
              <w:bottom w:val="nil"/>
              <w:right w:val="nil"/>
            </w:tcBorders>
            <w:shd w:val="clear" w:color="000000" w:fill="FFFFFF"/>
            <w:noWrap/>
            <w:vAlign w:val="bottom"/>
            <w:hideMark/>
          </w:tcPr>
          <w:p w14:paraId="5708D42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2,200</w:t>
            </w:r>
          </w:p>
        </w:tc>
        <w:tc>
          <w:tcPr>
            <w:tcW w:w="1220" w:type="dxa"/>
            <w:tcBorders>
              <w:top w:val="nil"/>
              <w:left w:val="nil"/>
              <w:bottom w:val="nil"/>
              <w:right w:val="nil"/>
            </w:tcBorders>
            <w:shd w:val="clear" w:color="000000" w:fill="FFFFFF"/>
            <w:noWrap/>
            <w:vAlign w:val="bottom"/>
            <w:hideMark/>
          </w:tcPr>
          <w:p w14:paraId="08C00B9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2,250</w:t>
            </w:r>
          </w:p>
        </w:tc>
        <w:tc>
          <w:tcPr>
            <w:tcW w:w="1160" w:type="dxa"/>
            <w:tcBorders>
              <w:top w:val="nil"/>
              <w:left w:val="nil"/>
              <w:bottom w:val="nil"/>
              <w:right w:val="nil"/>
            </w:tcBorders>
            <w:shd w:val="clear" w:color="auto" w:fill="auto"/>
            <w:vAlign w:val="bottom"/>
            <w:hideMark/>
          </w:tcPr>
          <w:p w14:paraId="4A88E8B5"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400</w:t>
            </w:r>
          </w:p>
        </w:tc>
      </w:tr>
      <w:tr w:rsidR="00063725" w:rsidRPr="00063725" w14:paraId="0CB5AD1D"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1A312133"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Employed Residents</w:t>
            </w:r>
          </w:p>
        </w:tc>
        <w:tc>
          <w:tcPr>
            <w:tcW w:w="1220" w:type="dxa"/>
            <w:tcBorders>
              <w:top w:val="nil"/>
              <w:left w:val="nil"/>
              <w:bottom w:val="nil"/>
              <w:right w:val="nil"/>
            </w:tcBorders>
            <w:shd w:val="clear" w:color="000000" w:fill="FFFFFF"/>
            <w:noWrap/>
            <w:vAlign w:val="bottom"/>
            <w:hideMark/>
          </w:tcPr>
          <w:p w14:paraId="69D373B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4,020</w:t>
            </w:r>
          </w:p>
        </w:tc>
        <w:tc>
          <w:tcPr>
            <w:tcW w:w="1220" w:type="dxa"/>
            <w:tcBorders>
              <w:top w:val="nil"/>
              <w:left w:val="nil"/>
              <w:bottom w:val="nil"/>
              <w:right w:val="nil"/>
            </w:tcBorders>
            <w:shd w:val="clear" w:color="000000" w:fill="FFFFFF"/>
            <w:noWrap/>
            <w:vAlign w:val="bottom"/>
            <w:hideMark/>
          </w:tcPr>
          <w:p w14:paraId="700B6F8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4,240</w:t>
            </w:r>
          </w:p>
        </w:tc>
        <w:tc>
          <w:tcPr>
            <w:tcW w:w="1220" w:type="dxa"/>
            <w:tcBorders>
              <w:top w:val="nil"/>
              <w:left w:val="nil"/>
              <w:bottom w:val="nil"/>
              <w:right w:val="nil"/>
            </w:tcBorders>
            <w:shd w:val="clear" w:color="000000" w:fill="FFFFFF"/>
            <w:noWrap/>
            <w:vAlign w:val="bottom"/>
            <w:hideMark/>
          </w:tcPr>
          <w:p w14:paraId="01C1DAF2"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4,480</w:t>
            </w:r>
          </w:p>
        </w:tc>
        <w:tc>
          <w:tcPr>
            <w:tcW w:w="1220" w:type="dxa"/>
            <w:tcBorders>
              <w:top w:val="nil"/>
              <w:left w:val="nil"/>
              <w:bottom w:val="nil"/>
              <w:right w:val="nil"/>
            </w:tcBorders>
            <w:shd w:val="clear" w:color="000000" w:fill="FFFFFF"/>
            <w:noWrap/>
            <w:vAlign w:val="bottom"/>
            <w:hideMark/>
          </w:tcPr>
          <w:p w14:paraId="04F92E3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4,470</w:t>
            </w:r>
          </w:p>
        </w:tc>
        <w:tc>
          <w:tcPr>
            <w:tcW w:w="1220" w:type="dxa"/>
            <w:tcBorders>
              <w:top w:val="nil"/>
              <w:left w:val="nil"/>
              <w:bottom w:val="nil"/>
              <w:right w:val="nil"/>
            </w:tcBorders>
            <w:shd w:val="clear" w:color="000000" w:fill="FFFFFF"/>
            <w:noWrap/>
            <w:vAlign w:val="bottom"/>
            <w:hideMark/>
          </w:tcPr>
          <w:p w14:paraId="666DAAB9"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4,470</w:t>
            </w:r>
          </w:p>
        </w:tc>
        <w:tc>
          <w:tcPr>
            <w:tcW w:w="1220" w:type="dxa"/>
            <w:tcBorders>
              <w:top w:val="nil"/>
              <w:left w:val="nil"/>
              <w:bottom w:val="nil"/>
              <w:right w:val="nil"/>
            </w:tcBorders>
            <w:shd w:val="clear" w:color="000000" w:fill="FFFFFF"/>
            <w:noWrap/>
            <w:vAlign w:val="bottom"/>
            <w:hideMark/>
          </w:tcPr>
          <w:p w14:paraId="183B7063"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4,530</w:t>
            </w:r>
          </w:p>
        </w:tc>
        <w:tc>
          <w:tcPr>
            <w:tcW w:w="1220" w:type="dxa"/>
            <w:tcBorders>
              <w:top w:val="nil"/>
              <w:left w:val="nil"/>
              <w:bottom w:val="nil"/>
              <w:right w:val="nil"/>
            </w:tcBorders>
            <w:shd w:val="clear" w:color="000000" w:fill="FFFFFF"/>
            <w:noWrap/>
            <w:vAlign w:val="bottom"/>
            <w:hideMark/>
          </w:tcPr>
          <w:p w14:paraId="3B5353D1"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4,590</w:t>
            </w:r>
          </w:p>
        </w:tc>
        <w:tc>
          <w:tcPr>
            <w:tcW w:w="1160" w:type="dxa"/>
            <w:tcBorders>
              <w:top w:val="nil"/>
              <w:left w:val="nil"/>
              <w:bottom w:val="nil"/>
              <w:right w:val="nil"/>
            </w:tcBorders>
            <w:shd w:val="clear" w:color="auto" w:fill="auto"/>
            <w:vAlign w:val="bottom"/>
            <w:hideMark/>
          </w:tcPr>
          <w:p w14:paraId="06C34834"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570</w:t>
            </w:r>
          </w:p>
        </w:tc>
      </w:tr>
      <w:tr w:rsidR="00063725" w:rsidRPr="00063725" w14:paraId="45395C39" w14:textId="77777777" w:rsidTr="00B81596">
        <w:trPr>
          <w:trHeight w:val="240"/>
        </w:trPr>
        <w:tc>
          <w:tcPr>
            <w:tcW w:w="4400" w:type="dxa"/>
            <w:gridSpan w:val="2"/>
            <w:tcBorders>
              <w:top w:val="nil"/>
              <w:left w:val="nil"/>
              <w:bottom w:val="nil"/>
              <w:right w:val="nil"/>
            </w:tcBorders>
            <w:shd w:val="clear" w:color="auto" w:fill="auto"/>
            <w:noWrap/>
            <w:vAlign w:val="bottom"/>
            <w:hideMark/>
          </w:tcPr>
          <w:p w14:paraId="30BEEA2F"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 xml:space="preserve">Ratio of Local Jobs to Employed Residents </w:t>
            </w:r>
          </w:p>
        </w:tc>
        <w:tc>
          <w:tcPr>
            <w:tcW w:w="1220" w:type="dxa"/>
            <w:tcBorders>
              <w:top w:val="nil"/>
              <w:left w:val="nil"/>
              <w:bottom w:val="nil"/>
              <w:right w:val="nil"/>
            </w:tcBorders>
            <w:shd w:val="clear" w:color="auto" w:fill="auto"/>
            <w:noWrap/>
            <w:vAlign w:val="bottom"/>
            <w:hideMark/>
          </w:tcPr>
          <w:p w14:paraId="272ACCD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0.46</w:t>
            </w:r>
          </w:p>
        </w:tc>
        <w:tc>
          <w:tcPr>
            <w:tcW w:w="1220" w:type="dxa"/>
            <w:tcBorders>
              <w:top w:val="nil"/>
              <w:left w:val="nil"/>
              <w:bottom w:val="nil"/>
              <w:right w:val="nil"/>
            </w:tcBorders>
            <w:shd w:val="clear" w:color="auto" w:fill="auto"/>
            <w:noWrap/>
            <w:vAlign w:val="bottom"/>
            <w:hideMark/>
          </w:tcPr>
          <w:p w14:paraId="30011DB0"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0.46</w:t>
            </w:r>
          </w:p>
        </w:tc>
        <w:tc>
          <w:tcPr>
            <w:tcW w:w="1220" w:type="dxa"/>
            <w:tcBorders>
              <w:top w:val="nil"/>
              <w:left w:val="nil"/>
              <w:bottom w:val="nil"/>
              <w:right w:val="nil"/>
            </w:tcBorders>
            <w:shd w:val="clear" w:color="auto" w:fill="auto"/>
            <w:noWrap/>
            <w:vAlign w:val="bottom"/>
            <w:hideMark/>
          </w:tcPr>
          <w:p w14:paraId="35DCAAA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0.46</w:t>
            </w:r>
          </w:p>
        </w:tc>
        <w:tc>
          <w:tcPr>
            <w:tcW w:w="1220" w:type="dxa"/>
            <w:tcBorders>
              <w:top w:val="nil"/>
              <w:left w:val="nil"/>
              <w:bottom w:val="nil"/>
              <w:right w:val="nil"/>
            </w:tcBorders>
            <w:shd w:val="clear" w:color="auto" w:fill="auto"/>
            <w:noWrap/>
            <w:vAlign w:val="bottom"/>
            <w:hideMark/>
          </w:tcPr>
          <w:p w14:paraId="6D8B879B"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0.47</w:t>
            </w:r>
          </w:p>
        </w:tc>
        <w:tc>
          <w:tcPr>
            <w:tcW w:w="1220" w:type="dxa"/>
            <w:tcBorders>
              <w:top w:val="nil"/>
              <w:left w:val="nil"/>
              <w:bottom w:val="nil"/>
              <w:right w:val="nil"/>
            </w:tcBorders>
            <w:shd w:val="clear" w:color="auto" w:fill="auto"/>
            <w:noWrap/>
            <w:vAlign w:val="bottom"/>
            <w:hideMark/>
          </w:tcPr>
          <w:p w14:paraId="1CDE3554"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0.48</w:t>
            </w:r>
          </w:p>
        </w:tc>
        <w:tc>
          <w:tcPr>
            <w:tcW w:w="1220" w:type="dxa"/>
            <w:tcBorders>
              <w:top w:val="nil"/>
              <w:left w:val="nil"/>
              <w:bottom w:val="nil"/>
              <w:right w:val="nil"/>
            </w:tcBorders>
            <w:shd w:val="clear" w:color="auto" w:fill="auto"/>
            <w:noWrap/>
            <w:vAlign w:val="bottom"/>
            <w:hideMark/>
          </w:tcPr>
          <w:p w14:paraId="13B0A046"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0.49</w:t>
            </w:r>
          </w:p>
        </w:tc>
        <w:tc>
          <w:tcPr>
            <w:tcW w:w="1220" w:type="dxa"/>
            <w:tcBorders>
              <w:top w:val="nil"/>
              <w:left w:val="nil"/>
              <w:bottom w:val="nil"/>
              <w:right w:val="nil"/>
            </w:tcBorders>
            <w:shd w:val="clear" w:color="auto" w:fill="auto"/>
            <w:noWrap/>
            <w:vAlign w:val="bottom"/>
            <w:hideMark/>
          </w:tcPr>
          <w:p w14:paraId="7A015F37" w14:textId="77777777" w:rsidR="00063725" w:rsidRPr="00063725" w:rsidRDefault="00063725" w:rsidP="00063725">
            <w:pPr>
              <w:spacing w:line="240" w:lineRule="auto"/>
              <w:jc w:val="right"/>
              <w:rPr>
                <w:rFonts w:eastAsia="Times New Roman" w:cs="Times New Roman"/>
                <w:sz w:val="18"/>
                <w:szCs w:val="18"/>
              </w:rPr>
            </w:pPr>
            <w:r w:rsidRPr="00063725">
              <w:rPr>
                <w:rFonts w:eastAsia="Times New Roman" w:cs="Times New Roman"/>
                <w:sz w:val="18"/>
                <w:szCs w:val="18"/>
              </w:rPr>
              <w:t>0.49</w:t>
            </w:r>
          </w:p>
        </w:tc>
        <w:tc>
          <w:tcPr>
            <w:tcW w:w="1160" w:type="dxa"/>
            <w:tcBorders>
              <w:top w:val="nil"/>
              <w:left w:val="nil"/>
              <w:bottom w:val="nil"/>
              <w:right w:val="nil"/>
            </w:tcBorders>
            <w:shd w:val="clear" w:color="auto" w:fill="auto"/>
            <w:noWrap/>
            <w:vAlign w:val="bottom"/>
            <w:hideMark/>
          </w:tcPr>
          <w:p w14:paraId="21AEAD41" w14:textId="77777777" w:rsidR="00063725" w:rsidRPr="00063725" w:rsidRDefault="00063725" w:rsidP="00063725">
            <w:pPr>
              <w:spacing w:line="240" w:lineRule="auto"/>
              <w:jc w:val="right"/>
              <w:rPr>
                <w:rFonts w:eastAsia="Times New Roman" w:cs="Times New Roman"/>
                <w:b/>
                <w:bCs/>
                <w:sz w:val="18"/>
                <w:szCs w:val="18"/>
              </w:rPr>
            </w:pPr>
            <w:r w:rsidRPr="00063725">
              <w:rPr>
                <w:rFonts w:eastAsia="Times New Roman" w:cs="Times New Roman"/>
                <w:b/>
                <w:bCs/>
                <w:sz w:val="18"/>
                <w:szCs w:val="18"/>
              </w:rPr>
              <w:t>0.70</w:t>
            </w:r>
          </w:p>
        </w:tc>
      </w:tr>
      <w:tr w:rsidR="00063725" w:rsidRPr="00063725" w14:paraId="26864E1A" w14:textId="77777777" w:rsidTr="00B81596">
        <w:trPr>
          <w:trHeight w:val="140"/>
        </w:trPr>
        <w:tc>
          <w:tcPr>
            <w:tcW w:w="4400" w:type="dxa"/>
            <w:gridSpan w:val="2"/>
            <w:tcBorders>
              <w:top w:val="nil"/>
              <w:left w:val="nil"/>
              <w:bottom w:val="nil"/>
              <w:right w:val="nil"/>
            </w:tcBorders>
            <w:shd w:val="clear" w:color="auto" w:fill="auto"/>
            <w:noWrap/>
            <w:vAlign w:val="bottom"/>
            <w:hideMark/>
          </w:tcPr>
          <w:p w14:paraId="4493C6BB" w14:textId="77777777" w:rsidR="00063725" w:rsidRPr="00063725" w:rsidRDefault="00063725" w:rsidP="00063725">
            <w:pPr>
              <w:spacing w:line="240" w:lineRule="auto"/>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743BCD78"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3546771F"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6B54A3EB"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29216F66"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2BB6DCE"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6B7031D4" w14:textId="77777777" w:rsidR="00063725" w:rsidRPr="00063725" w:rsidRDefault="00063725" w:rsidP="00063725">
            <w:pPr>
              <w:spacing w:line="240" w:lineRule="auto"/>
              <w:jc w:val="right"/>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4A34827C" w14:textId="77777777" w:rsidR="00063725" w:rsidRPr="00063725" w:rsidRDefault="00063725" w:rsidP="00063725">
            <w:pPr>
              <w:spacing w:line="240" w:lineRule="auto"/>
              <w:jc w:val="right"/>
              <w:rPr>
                <w:rFonts w:eastAsia="Times New Roman" w:cs="Times New Roman"/>
                <w:sz w:val="18"/>
                <w:szCs w:val="18"/>
              </w:rPr>
            </w:pPr>
          </w:p>
        </w:tc>
        <w:tc>
          <w:tcPr>
            <w:tcW w:w="1160" w:type="dxa"/>
            <w:tcBorders>
              <w:top w:val="nil"/>
              <w:left w:val="nil"/>
              <w:bottom w:val="nil"/>
              <w:right w:val="nil"/>
            </w:tcBorders>
            <w:shd w:val="clear" w:color="auto" w:fill="auto"/>
            <w:noWrap/>
            <w:vAlign w:val="bottom"/>
            <w:hideMark/>
          </w:tcPr>
          <w:p w14:paraId="5B7EB22D" w14:textId="77777777" w:rsidR="00063725" w:rsidRPr="00063725" w:rsidRDefault="00063725" w:rsidP="00063725">
            <w:pPr>
              <w:spacing w:line="240" w:lineRule="auto"/>
              <w:jc w:val="right"/>
              <w:rPr>
                <w:rFonts w:eastAsia="Times New Roman" w:cs="Times New Roman"/>
                <w:b/>
                <w:bCs/>
                <w:sz w:val="18"/>
                <w:szCs w:val="18"/>
              </w:rPr>
            </w:pPr>
          </w:p>
        </w:tc>
      </w:tr>
      <w:tr w:rsidR="00063725" w:rsidRPr="00063725" w14:paraId="03A7B92E" w14:textId="77777777" w:rsidTr="00B81596">
        <w:trPr>
          <w:trHeight w:val="280"/>
        </w:trPr>
        <w:tc>
          <w:tcPr>
            <w:tcW w:w="14100" w:type="dxa"/>
            <w:gridSpan w:val="10"/>
            <w:tcBorders>
              <w:top w:val="single" w:sz="4" w:space="0" w:color="auto"/>
              <w:left w:val="nil"/>
              <w:bottom w:val="single" w:sz="4" w:space="0" w:color="auto"/>
              <w:right w:val="nil"/>
            </w:tcBorders>
            <w:shd w:val="clear" w:color="auto" w:fill="auto"/>
            <w:vAlign w:val="center"/>
            <w:hideMark/>
          </w:tcPr>
          <w:p w14:paraId="096F088D" w14:textId="77777777" w:rsidR="00063725" w:rsidRPr="00063725" w:rsidRDefault="00063725" w:rsidP="00063725">
            <w:pPr>
              <w:spacing w:line="240" w:lineRule="auto"/>
              <w:rPr>
                <w:rFonts w:eastAsia="Times New Roman" w:cs="Times New Roman"/>
                <w:sz w:val="18"/>
                <w:szCs w:val="18"/>
              </w:rPr>
            </w:pPr>
            <w:r w:rsidRPr="00063725">
              <w:rPr>
                <w:rFonts w:eastAsia="Times New Roman" w:cs="Times New Roman"/>
                <w:sz w:val="18"/>
                <w:szCs w:val="18"/>
              </w:rPr>
              <w:t>Source:  ABAG Projections 2013</w:t>
            </w:r>
          </w:p>
        </w:tc>
      </w:tr>
    </w:tbl>
    <w:p w14:paraId="1E0A189F" w14:textId="6E160BE3" w:rsidR="009C5AFE" w:rsidRDefault="00DA6A17" w:rsidP="00067077">
      <w:pPr>
        <w:sectPr w:rsidR="009C5AFE" w:rsidSect="00B81596">
          <w:pgSz w:w="15840" w:h="12240" w:orient="landscape"/>
          <w:pgMar w:top="1440" w:right="1440" w:bottom="1440" w:left="1440" w:header="720" w:footer="720" w:gutter="0"/>
          <w:cols w:space="720"/>
          <w:docGrid w:linePitch="360"/>
        </w:sectPr>
      </w:pPr>
      <w:r>
        <w:br w:type="textWrapping" w:clear="all"/>
      </w:r>
    </w:p>
    <w:p w14:paraId="2AE5C65D" w14:textId="6F876395" w:rsidR="000A74D8" w:rsidRDefault="00D424A2" w:rsidP="000A74D8">
      <w:pPr>
        <w:pStyle w:val="21ElementsText"/>
      </w:pPr>
      <w:r w:rsidRPr="00163159">
        <w:t xml:space="preserve">Hillsborough is primarily (68 percent) white. Asian people comprise the next largest segment of the population, at about a quarter. Hillsborough also has a small number of black and Hispanic residents. </w:t>
      </w:r>
      <w:r w:rsidR="000A74D8" w:rsidRPr="00163159">
        <w:t xml:space="preserve">Latino or Hispanic </w:t>
      </w:r>
      <w:r w:rsidR="00903898" w:rsidRPr="00163159">
        <w:t xml:space="preserve">and </w:t>
      </w:r>
      <w:r w:rsidR="000A74D8" w:rsidRPr="00163159">
        <w:t>is not a separate racial category on the American Community Survey (ACS), so all individuals who identify themselves as Latino or Hispanic also belong to another racial category as we</w:t>
      </w:r>
      <w:r w:rsidRPr="00163159">
        <w:t xml:space="preserve">ll (black, white, other, etc.) </w:t>
      </w:r>
      <w:r w:rsidR="000A74D8" w:rsidRPr="00163159">
        <w:t xml:space="preserve">Race and ethnicity are shown in the table below for </w:t>
      </w:r>
      <w:r w:rsidR="00853231" w:rsidRPr="00163159">
        <w:t>Hillsborough</w:t>
      </w:r>
      <w:r w:rsidR="000A74D8" w:rsidRPr="00163159">
        <w:t>, San Mateo County and the State of California.</w:t>
      </w:r>
    </w:p>
    <w:p w14:paraId="34B0764C" w14:textId="77777777" w:rsidR="00F76EA2" w:rsidRPr="003665BB" w:rsidRDefault="00F76EA2" w:rsidP="00F76EA2">
      <w:pPr>
        <w:spacing w:line="240" w:lineRule="auto"/>
      </w:pPr>
    </w:p>
    <w:tbl>
      <w:tblPr>
        <w:tblpPr w:leftFromText="180" w:rightFromText="180" w:vertAnchor="text" w:tblpY="1"/>
        <w:tblOverlap w:val="never"/>
        <w:tblW w:w="6577" w:type="dxa"/>
        <w:tblLayout w:type="fixed"/>
        <w:tblLook w:val="04A0" w:firstRow="1" w:lastRow="0" w:firstColumn="1" w:lastColumn="0" w:noHBand="0" w:noVBand="1"/>
      </w:tblPr>
      <w:tblGrid>
        <w:gridCol w:w="2339"/>
        <w:gridCol w:w="1369"/>
        <w:gridCol w:w="1429"/>
        <w:gridCol w:w="998"/>
        <w:gridCol w:w="442"/>
      </w:tblGrid>
      <w:tr w:rsidR="00F76EA2" w:rsidRPr="000C7B8B" w14:paraId="3C291680" w14:textId="77777777" w:rsidTr="003B2F93">
        <w:trPr>
          <w:trHeight w:val="300"/>
        </w:trPr>
        <w:tc>
          <w:tcPr>
            <w:tcW w:w="6577" w:type="dxa"/>
            <w:gridSpan w:val="5"/>
            <w:tcBorders>
              <w:top w:val="nil"/>
              <w:left w:val="nil"/>
              <w:bottom w:val="nil"/>
              <w:right w:val="nil"/>
            </w:tcBorders>
            <w:shd w:val="clear" w:color="000000" w:fill="000000"/>
            <w:noWrap/>
            <w:vAlign w:val="bottom"/>
            <w:hideMark/>
          </w:tcPr>
          <w:p w14:paraId="70B71EE4" w14:textId="52E6D249" w:rsidR="00F76EA2" w:rsidRPr="000C7B8B" w:rsidRDefault="00F76EA2" w:rsidP="00DC16E6">
            <w:pPr>
              <w:rPr>
                <w:rFonts w:eastAsia="Times New Roman" w:cs="Times New Roman"/>
                <w:b/>
                <w:bCs/>
                <w:color w:val="FFFFFF"/>
                <w:sz w:val="20"/>
                <w:szCs w:val="20"/>
              </w:rPr>
            </w:pPr>
            <w:r w:rsidRPr="000C7B8B">
              <w:rPr>
                <w:rFonts w:eastAsia="Times New Roman" w:cs="Times New Roman"/>
                <w:b/>
                <w:bCs/>
                <w:color w:val="FFFFFF"/>
                <w:sz w:val="20"/>
                <w:szCs w:val="20"/>
              </w:rPr>
              <w:t>Race and Ethnicity</w:t>
            </w:r>
            <w:r w:rsidR="003B2F93">
              <w:rPr>
                <w:rFonts w:eastAsia="Times New Roman" w:cs="Times New Roman"/>
                <w:b/>
                <w:bCs/>
                <w:color w:val="FFFFFF"/>
                <w:sz w:val="20"/>
                <w:szCs w:val="20"/>
              </w:rPr>
              <w:t xml:space="preserve"> (2011)</w:t>
            </w:r>
          </w:p>
        </w:tc>
      </w:tr>
      <w:tr w:rsidR="00F76EA2" w:rsidRPr="000C7B8B" w14:paraId="0DA2E0FA" w14:textId="77777777" w:rsidTr="003B2F93">
        <w:trPr>
          <w:trHeight w:val="320"/>
        </w:trPr>
        <w:tc>
          <w:tcPr>
            <w:tcW w:w="2339" w:type="dxa"/>
            <w:tcBorders>
              <w:top w:val="nil"/>
              <w:left w:val="nil"/>
              <w:bottom w:val="single" w:sz="8" w:space="0" w:color="auto"/>
              <w:right w:val="nil"/>
            </w:tcBorders>
            <w:shd w:val="clear" w:color="auto" w:fill="auto"/>
            <w:noWrap/>
            <w:vAlign w:val="bottom"/>
            <w:hideMark/>
          </w:tcPr>
          <w:p w14:paraId="0F510824" w14:textId="77777777" w:rsidR="00F76EA2" w:rsidRPr="000C7B8B" w:rsidRDefault="00F76EA2" w:rsidP="00DC16E6">
            <w:pPr>
              <w:rPr>
                <w:rFonts w:eastAsia="Times New Roman" w:cs="Times New Roman"/>
                <w:color w:val="000000"/>
                <w:sz w:val="18"/>
                <w:szCs w:val="18"/>
              </w:rPr>
            </w:pPr>
            <w:r w:rsidRPr="000C7B8B">
              <w:rPr>
                <w:rFonts w:eastAsia="Times New Roman" w:cs="Times New Roman"/>
                <w:color w:val="000000"/>
                <w:sz w:val="18"/>
                <w:szCs w:val="18"/>
              </w:rPr>
              <w:t> </w:t>
            </w:r>
          </w:p>
        </w:tc>
        <w:tc>
          <w:tcPr>
            <w:tcW w:w="1369" w:type="dxa"/>
            <w:tcBorders>
              <w:top w:val="nil"/>
              <w:left w:val="nil"/>
              <w:bottom w:val="single" w:sz="8" w:space="0" w:color="auto"/>
              <w:right w:val="nil"/>
            </w:tcBorders>
            <w:shd w:val="clear" w:color="auto" w:fill="auto"/>
            <w:noWrap/>
            <w:vAlign w:val="bottom"/>
            <w:hideMark/>
          </w:tcPr>
          <w:p w14:paraId="32B2062D" w14:textId="77777777" w:rsidR="00F76EA2" w:rsidRPr="003B2F93" w:rsidRDefault="00F76EA2" w:rsidP="00DC16E6">
            <w:pPr>
              <w:spacing w:line="240" w:lineRule="auto"/>
              <w:jc w:val="right"/>
              <w:rPr>
                <w:rFonts w:eastAsia="Times New Roman" w:cs="Times New Roman"/>
                <w:b/>
                <w:bCs/>
                <w:color w:val="000000"/>
                <w:sz w:val="10"/>
                <w:szCs w:val="18"/>
              </w:rPr>
            </w:pPr>
          </w:p>
          <w:p w14:paraId="72A3AF8E" w14:textId="28F41708" w:rsidR="00F76EA2" w:rsidRPr="003B2F93" w:rsidRDefault="003B70CF" w:rsidP="00DC16E6">
            <w:pPr>
              <w:spacing w:line="240" w:lineRule="auto"/>
              <w:jc w:val="right"/>
              <w:rPr>
                <w:rFonts w:eastAsia="Times New Roman" w:cs="Times New Roman"/>
                <w:b/>
                <w:bCs/>
                <w:color w:val="000000"/>
                <w:sz w:val="18"/>
                <w:szCs w:val="18"/>
              </w:rPr>
            </w:pPr>
            <w:r w:rsidRPr="003B2F93">
              <w:rPr>
                <w:rFonts w:eastAsia="Times New Roman" w:cs="Times New Roman"/>
                <w:b/>
                <w:bCs/>
                <w:color w:val="000000"/>
                <w:sz w:val="18"/>
                <w:szCs w:val="18"/>
              </w:rPr>
              <w:t xml:space="preserve">Town of </w:t>
            </w:r>
            <w:r w:rsidR="00853231" w:rsidRPr="003B2F93">
              <w:rPr>
                <w:rFonts w:eastAsia="Times New Roman" w:cs="Times New Roman"/>
                <w:b/>
                <w:bCs/>
                <w:color w:val="000000"/>
                <w:sz w:val="18"/>
                <w:szCs w:val="18"/>
              </w:rPr>
              <w:t>Hillsborough</w:t>
            </w:r>
          </w:p>
          <w:p w14:paraId="0C92D82B" w14:textId="77777777" w:rsidR="00F76EA2" w:rsidRPr="003B2F93" w:rsidRDefault="00F76EA2" w:rsidP="00DC16E6">
            <w:pPr>
              <w:spacing w:line="240" w:lineRule="auto"/>
              <w:jc w:val="right"/>
              <w:rPr>
                <w:rFonts w:eastAsia="Times New Roman" w:cs="Times New Roman"/>
                <w:b/>
                <w:bCs/>
                <w:color w:val="000000"/>
                <w:sz w:val="12"/>
                <w:szCs w:val="18"/>
              </w:rPr>
            </w:pPr>
          </w:p>
        </w:tc>
        <w:tc>
          <w:tcPr>
            <w:tcW w:w="1429" w:type="dxa"/>
            <w:tcBorders>
              <w:top w:val="nil"/>
              <w:left w:val="nil"/>
              <w:bottom w:val="single" w:sz="8" w:space="0" w:color="auto"/>
              <w:right w:val="nil"/>
            </w:tcBorders>
            <w:shd w:val="clear" w:color="auto" w:fill="auto"/>
            <w:noWrap/>
            <w:vAlign w:val="bottom"/>
            <w:hideMark/>
          </w:tcPr>
          <w:p w14:paraId="787BAD94" w14:textId="77777777" w:rsidR="00F76EA2" w:rsidRPr="001759FD" w:rsidRDefault="00F76EA2" w:rsidP="00DC16E6">
            <w:pPr>
              <w:spacing w:line="240" w:lineRule="auto"/>
              <w:jc w:val="right"/>
              <w:rPr>
                <w:rFonts w:eastAsia="Times New Roman" w:cs="Times New Roman"/>
                <w:b/>
                <w:bCs/>
                <w:color w:val="000000"/>
                <w:sz w:val="8"/>
                <w:szCs w:val="18"/>
              </w:rPr>
            </w:pPr>
          </w:p>
          <w:p w14:paraId="3BBEFD4E" w14:textId="77777777" w:rsidR="00F76EA2" w:rsidRDefault="00F76EA2" w:rsidP="00DC16E6">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San Mateo </w:t>
            </w:r>
            <w:r w:rsidRPr="000C7B8B">
              <w:rPr>
                <w:rFonts w:eastAsia="Times New Roman" w:cs="Times New Roman"/>
                <w:b/>
                <w:bCs/>
                <w:color w:val="000000"/>
                <w:sz w:val="18"/>
                <w:szCs w:val="18"/>
              </w:rPr>
              <w:t>County</w:t>
            </w:r>
          </w:p>
          <w:p w14:paraId="29085A9A" w14:textId="77777777" w:rsidR="00F76EA2" w:rsidRPr="009B1CA4" w:rsidRDefault="00F76EA2" w:rsidP="00DC16E6">
            <w:pPr>
              <w:spacing w:line="240" w:lineRule="auto"/>
              <w:jc w:val="right"/>
              <w:rPr>
                <w:rFonts w:eastAsia="Times New Roman" w:cs="Times New Roman"/>
                <w:b/>
                <w:bCs/>
                <w:color w:val="000000"/>
                <w:sz w:val="12"/>
                <w:szCs w:val="18"/>
              </w:rPr>
            </w:pPr>
          </w:p>
        </w:tc>
        <w:tc>
          <w:tcPr>
            <w:tcW w:w="1440" w:type="dxa"/>
            <w:gridSpan w:val="2"/>
            <w:tcBorders>
              <w:top w:val="nil"/>
              <w:left w:val="nil"/>
              <w:bottom w:val="single" w:sz="8" w:space="0" w:color="auto"/>
              <w:right w:val="nil"/>
            </w:tcBorders>
            <w:shd w:val="clear" w:color="auto" w:fill="auto"/>
            <w:noWrap/>
            <w:vAlign w:val="bottom"/>
            <w:hideMark/>
          </w:tcPr>
          <w:p w14:paraId="40888170" w14:textId="77777777" w:rsidR="00F76EA2" w:rsidRDefault="00F76EA2" w:rsidP="00DC16E6">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State of California</w:t>
            </w:r>
          </w:p>
          <w:p w14:paraId="4FDA8811" w14:textId="77777777" w:rsidR="00F76EA2" w:rsidRPr="009B1CA4" w:rsidRDefault="00F76EA2" w:rsidP="00DC16E6">
            <w:pPr>
              <w:spacing w:line="240" w:lineRule="auto"/>
              <w:jc w:val="right"/>
              <w:rPr>
                <w:rFonts w:eastAsia="Times New Roman" w:cs="Times New Roman"/>
                <w:b/>
                <w:bCs/>
                <w:color w:val="000000"/>
                <w:sz w:val="12"/>
                <w:szCs w:val="18"/>
              </w:rPr>
            </w:pPr>
          </w:p>
        </w:tc>
      </w:tr>
      <w:tr w:rsidR="003B2F93" w:rsidRPr="000C7B8B" w14:paraId="2427C98A" w14:textId="77777777" w:rsidTr="003B2F93">
        <w:trPr>
          <w:trHeight w:val="300"/>
        </w:trPr>
        <w:tc>
          <w:tcPr>
            <w:tcW w:w="2339" w:type="dxa"/>
            <w:tcBorders>
              <w:top w:val="nil"/>
              <w:left w:val="nil"/>
              <w:bottom w:val="single" w:sz="4" w:space="0" w:color="808080"/>
              <w:right w:val="nil"/>
            </w:tcBorders>
            <w:shd w:val="clear" w:color="auto" w:fill="auto"/>
            <w:noWrap/>
            <w:vAlign w:val="bottom"/>
            <w:hideMark/>
          </w:tcPr>
          <w:p w14:paraId="3C9D8068" w14:textId="77777777" w:rsidR="003B2F93" w:rsidRPr="000C7B8B" w:rsidRDefault="003B2F93" w:rsidP="00F76EA2">
            <w:pPr>
              <w:rPr>
                <w:rFonts w:eastAsia="Times New Roman" w:cs="Times New Roman"/>
                <w:color w:val="000000"/>
                <w:sz w:val="18"/>
                <w:szCs w:val="18"/>
              </w:rPr>
            </w:pPr>
            <w:r w:rsidRPr="000C7B8B">
              <w:rPr>
                <w:rFonts w:eastAsia="Times New Roman" w:cs="Times New Roman"/>
                <w:color w:val="000000"/>
                <w:sz w:val="18"/>
                <w:szCs w:val="18"/>
              </w:rPr>
              <w:t>White</w:t>
            </w:r>
          </w:p>
        </w:tc>
        <w:tc>
          <w:tcPr>
            <w:tcW w:w="1369" w:type="dxa"/>
            <w:tcBorders>
              <w:top w:val="nil"/>
              <w:left w:val="nil"/>
              <w:bottom w:val="single" w:sz="4" w:space="0" w:color="808080"/>
              <w:right w:val="nil"/>
            </w:tcBorders>
            <w:shd w:val="clear" w:color="auto" w:fill="auto"/>
            <w:noWrap/>
            <w:vAlign w:val="bottom"/>
            <w:hideMark/>
          </w:tcPr>
          <w:p w14:paraId="0153E85B" w14:textId="58DBC93C"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68%</w:t>
            </w:r>
          </w:p>
        </w:tc>
        <w:tc>
          <w:tcPr>
            <w:tcW w:w="1429" w:type="dxa"/>
            <w:tcBorders>
              <w:top w:val="nil"/>
              <w:left w:val="nil"/>
              <w:bottom w:val="single" w:sz="4" w:space="0" w:color="808080"/>
              <w:right w:val="nil"/>
            </w:tcBorders>
            <w:shd w:val="clear" w:color="auto" w:fill="auto"/>
            <w:noWrap/>
            <w:vAlign w:val="bottom"/>
            <w:hideMark/>
          </w:tcPr>
          <w:p w14:paraId="0B05A4FB"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59%</w:t>
            </w:r>
          </w:p>
        </w:tc>
        <w:tc>
          <w:tcPr>
            <w:tcW w:w="1440" w:type="dxa"/>
            <w:gridSpan w:val="2"/>
            <w:tcBorders>
              <w:top w:val="nil"/>
              <w:left w:val="nil"/>
              <w:bottom w:val="single" w:sz="4" w:space="0" w:color="808080"/>
              <w:right w:val="nil"/>
            </w:tcBorders>
            <w:shd w:val="clear" w:color="auto" w:fill="auto"/>
            <w:noWrap/>
            <w:vAlign w:val="bottom"/>
            <w:hideMark/>
          </w:tcPr>
          <w:p w14:paraId="7296F451"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62%</w:t>
            </w:r>
          </w:p>
        </w:tc>
      </w:tr>
      <w:tr w:rsidR="003B2F93" w:rsidRPr="000C7B8B" w14:paraId="5D58EE39" w14:textId="77777777" w:rsidTr="003B2F93">
        <w:trPr>
          <w:trHeight w:val="300"/>
        </w:trPr>
        <w:tc>
          <w:tcPr>
            <w:tcW w:w="2339" w:type="dxa"/>
            <w:tcBorders>
              <w:top w:val="nil"/>
              <w:left w:val="nil"/>
              <w:bottom w:val="single" w:sz="4" w:space="0" w:color="808080"/>
              <w:right w:val="nil"/>
            </w:tcBorders>
            <w:shd w:val="clear" w:color="auto" w:fill="auto"/>
            <w:noWrap/>
            <w:vAlign w:val="bottom"/>
            <w:hideMark/>
          </w:tcPr>
          <w:p w14:paraId="256B89FA" w14:textId="77777777" w:rsidR="003B2F93" w:rsidRPr="000C7B8B" w:rsidRDefault="003B2F93" w:rsidP="00F76EA2">
            <w:pPr>
              <w:rPr>
                <w:rFonts w:eastAsia="Times New Roman" w:cs="Times New Roman"/>
                <w:color w:val="000000"/>
                <w:sz w:val="18"/>
                <w:szCs w:val="18"/>
              </w:rPr>
            </w:pPr>
            <w:r w:rsidRPr="000C7B8B">
              <w:rPr>
                <w:rFonts w:eastAsia="Times New Roman" w:cs="Times New Roman"/>
                <w:color w:val="000000"/>
                <w:sz w:val="18"/>
                <w:szCs w:val="18"/>
              </w:rPr>
              <w:t>Black</w:t>
            </w:r>
          </w:p>
        </w:tc>
        <w:tc>
          <w:tcPr>
            <w:tcW w:w="1369" w:type="dxa"/>
            <w:tcBorders>
              <w:top w:val="nil"/>
              <w:left w:val="nil"/>
              <w:bottom w:val="single" w:sz="4" w:space="0" w:color="808080"/>
              <w:right w:val="nil"/>
            </w:tcBorders>
            <w:shd w:val="clear" w:color="auto" w:fill="auto"/>
            <w:noWrap/>
            <w:vAlign w:val="bottom"/>
            <w:hideMark/>
          </w:tcPr>
          <w:p w14:paraId="2999034E" w14:textId="2EB20DDD"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1%</w:t>
            </w:r>
          </w:p>
        </w:tc>
        <w:tc>
          <w:tcPr>
            <w:tcW w:w="1429" w:type="dxa"/>
            <w:tcBorders>
              <w:top w:val="nil"/>
              <w:left w:val="nil"/>
              <w:bottom w:val="single" w:sz="4" w:space="0" w:color="808080"/>
              <w:right w:val="nil"/>
            </w:tcBorders>
            <w:shd w:val="clear" w:color="auto" w:fill="auto"/>
            <w:noWrap/>
            <w:vAlign w:val="bottom"/>
            <w:hideMark/>
          </w:tcPr>
          <w:p w14:paraId="6E2085C0"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3%</w:t>
            </w:r>
          </w:p>
        </w:tc>
        <w:tc>
          <w:tcPr>
            <w:tcW w:w="1440" w:type="dxa"/>
            <w:gridSpan w:val="2"/>
            <w:tcBorders>
              <w:top w:val="nil"/>
              <w:left w:val="nil"/>
              <w:bottom w:val="single" w:sz="4" w:space="0" w:color="808080"/>
              <w:right w:val="nil"/>
            </w:tcBorders>
            <w:shd w:val="clear" w:color="auto" w:fill="auto"/>
            <w:noWrap/>
            <w:vAlign w:val="bottom"/>
            <w:hideMark/>
          </w:tcPr>
          <w:p w14:paraId="70B7FC5A"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6%</w:t>
            </w:r>
          </w:p>
        </w:tc>
      </w:tr>
      <w:tr w:rsidR="003B2F93" w:rsidRPr="000C7B8B" w14:paraId="7611E69C" w14:textId="77777777" w:rsidTr="003B2F93">
        <w:trPr>
          <w:trHeight w:val="300"/>
        </w:trPr>
        <w:tc>
          <w:tcPr>
            <w:tcW w:w="2339" w:type="dxa"/>
            <w:tcBorders>
              <w:top w:val="nil"/>
              <w:left w:val="nil"/>
              <w:bottom w:val="single" w:sz="4" w:space="0" w:color="808080"/>
              <w:right w:val="nil"/>
            </w:tcBorders>
            <w:shd w:val="clear" w:color="auto" w:fill="auto"/>
            <w:noWrap/>
            <w:vAlign w:val="bottom"/>
            <w:hideMark/>
          </w:tcPr>
          <w:p w14:paraId="37B7DF58" w14:textId="77777777" w:rsidR="003B2F93" w:rsidRPr="000C7B8B" w:rsidRDefault="003B2F93" w:rsidP="00F76EA2">
            <w:pPr>
              <w:rPr>
                <w:rFonts w:eastAsia="Times New Roman" w:cs="Times New Roman"/>
                <w:color w:val="000000"/>
                <w:sz w:val="18"/>
                <w:szCs w:val="18"/>
              </w:rPr>
            </w:pPr>
            <w:r w:rsidRPr="000C7B8B">
              <w:rPr>
                <w:rFonts w:eastAsia="Times New Roman" w:cs="Times New Roman"/>
                <w:color w:val="000000"/>
                <w:sz w:val="18"/>
                <w:szCs w:val="18"/>
              </w:rPr>
              <w:t>Asian</w:t>
            </w:r>
          </w:p>
        </w:tc>
        <w:tc>
          <w:tcPr>
            <w:tcW w:w="1369" w:type="dxa"/>
            <w:tcBorders>
              <w:top w:val="nil"/>
              <w:left w:val="nil"/>
              <w:bottom w:val="single" w:sz="4" w:space="0" w:color="808080"/>
              <w:right w:val="nil"/>
            </w:tcBorders>
            <w:shd w:val="clear" w:color="auto" w:fill="auto"/>
            <w:noWrap/>
            <w:vAlign w:val="bottom"/>
            <w:hideMark/>
          </w:tcPr>
          <w:p w14:paraId="23FFF642" w14:textId="1ADDC520"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26%</w:t>
            </w:r>
          </w:p>
        </w:tc>
        <w:tc>
          <w:tcPr>
            <w:tcW w:w="1429" w:type="dxa"/>
            <w:tcBorders>
              <w:top w:val="nil"/>
              <w:left w:val="nil"/>
              <w:bottom w:val="single" w:sz="4" w:space="0" w:color="808080"/>
              <w:right w:val="nil"/>
            </w:tcBorders>
            <w:shd w:val="clear" w:color="auto" w:fill="auto"/>
            <w:noWrap/>
            <w:vAlign w:val="bottom"/>
            <w:hideMark/>
          </w:tcPr>
          <w:p w14:paraId="2D96F9CD"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25%</w:t>
            </w:r>
          </w:p>
        </w:tc>
        <w:tc>
          <w:tcPr>
            <w:tcW w:w="1440" w:type="dxa"/>
            <w:gridSpan w:val="2"/>
            <w:tcBorders>
              <w:top w:val="nil"/>
              <w:left w:val="nil"/>
              <w:bottom w:val="single" w:sz="4" w:space="0" w:color="808080"/>
              <w:right w:val="nil"/>
            </w:tcBorders>
            <w:shd w:val="clear" w:color="auto" w:fill="auto"/>
            <w:noWrap/>
            <w:vAlign w:val="bottom"/>
            <w:hideMark/>
          </w:tcPr>
          <w:p w14:paraId="13F9ED51"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13%</w:t>
            </w:r>
          </w:p>
        </w:tc>
      </w:tr>
      <w:tr w:rsidR="003B2F93" w:rsidRPr="000C7B8B" w14:paraId="0336E9DF" w14:textId="77777777" w:rsidTr="003B2F93">
        <w:trPr>
          <w:trHeight w:val="300"/>
        </w:trPr>
        <w:tc>
          <w:tcPr>
            <w:tcW w:w="2339" w:type="dxa"/>
            <w:tcBorders>
              <w:top w:val="nil"/>
              <w:left w:val="nil"/>
              <w:bottom w:val="nil"/>
              <w:right w:val="nil"/>
            </w:tcBorders>
            <w:shd w:val="clear" w:color="auto" w:fill="auto"/>
            <w:noWrap/>
            <w:vAlign w:val="bottom"/>
            <w:hideMark/>
          </w:tcPr>
          <w:p w14:paraId="27C8D2A1" w14:textId="77777777" w:rsidR="003B2F93" w:rsidRPr="000C7B8B" w:rsidRDefault="003B2F93" w:rsidP="00F76EA2">
            <w:pPr>
              <w:rPr>
                <w:rFonts w:eastAsia="Times New Roman" w:cs="Times New Roman"/>
                <w:color w:val="000000"/>
                <w:sz w:val="18"/>
                <w:szCs w:val="18"/>
              </w:rPr>
            </w:pPr>
            <w:r w:rsidRPr="000C7B8B">
              <w:rPr>
                <w:rFonts w:eastAsia="Times New Roman" w:cs="Times New Roman"/>
                <w:color w:val="000000"/>
                <w:sz w:val="18"/>
                <w:szCs w:val="18"/>
              </w:rPr>
              <w:t>Other</w:t>
            </w:r>
          </w:p>
        </w:tc>
        <w:tc>
          <w:tcPr>
            <w:tcW w:w="1369" w:type="dxa"/>
            <w:tcBorders>
              <w:top w:val="nil"/>
              <w:left w:val="nil"/>
              <w:bottom w:val="nil"/>
              <w:right w:val="nil"/>
            </w:tcBorders>
            <w:shd w:val="clear" w:color="auto" w:fill="auto"/>
            <w:noWrap/>
            <w:vAlign w:val="bottom"/>
            <w:hideMark/>
          </w:tcPr>
          <w:p w14:paraId="5E4529F3" w14:textId="59C1E57E"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1%</w:t>
            </w:r>
          </w:p>
        </w:tc>
        <w:tc>
          <w:tcPr>
            <w:tcW w:w="1429" w:type="dxa"/>
            <w:tcBorders>
              <w:top w:val="nil"/>
              <w:left w:val="nil"/>
              <w:bottom w:val="nil"/>
              <w:right w:val="nil"/>
            </w:tcBorders>
            <w:shd w:val="clear" w:color="auto" w:fill="auto"/>
            <w:noWrap/>
            <w:vAlign w:val="bottom"/>
            <w:hideMark/>
          </w:tcPr>
          <w:p w14:paraId="1E6749B6"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8%</w:t>
            </w:r>
          </w:p>
        </w:tc>
        <w:tc>
          <w:tcPr>
            <w:tcW w:w="1440" w:type="dxa"/>
            <w:gridSpan w:val="2"/>
            <w:tcBorders>
              <w:top w:val="nil"/>
              <w:left w:val="nil"/>
              <w:bottom w:val="nil"/>
              <w:right w:val="nil"/>
            </w:tcBorders>
            <w:shd w:val="clear" w:color="auto" w:fill="auto"/>
            <w:noWrap/>
            <w:vAlign w:val="bottom"/>
            <w:hideMark/>
          </w:tcPr>
          <w:p w14:paraId="7B839D4F"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14%</w:t>
            </w:r>
          </w:p>
        </w:tc>
      </w:tr>
      <w:tr w:rsidR="003B2F93" w:rsidRPr="000C7B8B" w14:paraId="43710ABE" w14:textId="77777777" w:rsidTr="003B2F93">
        <w:trPr>
          <w:trHeight w:val="300"/>
        </w:trPr>
        <w:tc>
          <w:tcPr>
            <w:tcW w:w="2339" w:type="dxa"/>
            <w:tcBorders>
              <w:top w:val="single" w:sz="4" w:space="0" w:color="808080"/>
              <w:left w:val="nil"/>
              <w:bottom w:val="single" w:sz="4" w:space="0" w:color="auto"/>
              <w:right w:val="nil"/>
            </w:tcBorders>
            <w:shd w:val="clear" w:color="auto" w:fill="auto"/>
            <w:noWrap/>
            <w:vAlign w:val="bottom"/>
            <w:hideMark/>
          </w:tcPr>
          <w:p w14:paraId="6CB6C163" w14:textId="77777777" w:rsidR="003B2F93" w:rsidRPr="000C7B8B" w:rsidRDefault="003B2F93" w:rsidP="00F76EA2">
            <w:pPr>
              <w:rPr>
                <w:rFonts w:eastAsia="Times New Roman" w:cs="Times New Roman"/>
                <w:color w:val="000000"/>
                <w:sz w:val="18"/>
                <w:szCs w:val="18"/>
              </w:rPr>
            </w:pPr>
            <w:r>
              <w:rPr>
                <w:rFonts w:eastAsia="Times New Roman" w:cs="Times New Roman"/>
                <w:color w:val="000000"/>
                <w:sz w:val="18"/>
                <w:szCs w:val="18"/>
              </w:rPr>
              <w:t>More than one r</w:t>
            </w:r>
            <w:r w:rsidRPr="000C7B8B">
              <w:rPr>
                <w:rFonts w:eastAsia="Times New Roman" w:cs="Times New Roman"/>
                <w:color w:val="000000"/>
                <w:sz w:val="18"/>
                <w:szCs w:val="18"/>
              </w:rPr>
              <w:t>ace</w:t>
            </w:r>
          </w:p>
        </w:tc>
        <w:tc>
          <w:tcPr>
            <w:tcW w:w="1369" w:type="dxa"/>
            <w:tcBorders>
              <w:top w:val="single" w:sz="4" w:space="0" w:color="808080"/>
              <w:left w:val="nil"/>
              <w:bottom w:val="single" w:sz="4" w:space="0" w:color="auto"/>
              <w:right w:val="nil"/>
            </w:tcBorders>
            <w:shd w:val="clear" w:color="auto" w:fill="auto"/>
            <w:noWrap/>
            <w:vAlign w:val="bottom"/>
            <w:hideMark/>
          </w:tcPr>
          <w:p w14:paraId="3A25E7B5" w14:textId="261150D4"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5%</w:t>
            </w:r>
          </w:p>
        </w:tc>
        <w:tc>
          <w:tcPr>
            <w:tcW w:w="1429" w:type="dxa"/>
            <w:tcBorders>
              <w:top w:val="single" w:sz="4" w:space="0" w:color="808080"/>
              <w:left w:val="nil"/>
              <w:bottom w:val="single" w:sz="4" w:space="0" w:color="auto"/>
              <w:right w:val="nil"/>
            </w:tcBorders>
            <w:shd w:val="clear" w:color="auto" w:fill="auto"/>
            <w:noWrap/>
            <w:vAlign w:val="bottom"/>
            <w:hideMark/>
          </w:tcPr>
          <w:p w14:paraId="5B36D528"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5%</w:t>
            </w:r>
          </w:p>
        </w:tc>
        <w:tc>
          <w:tcPr>
            <w:tcW w:w="1440" w:type="dxa"/>
            <w:gridSpan w:val="2"/>
            <w:tcBorders>
              <w:top w:val="single" w:sz="4" w:space="0" w:color="808080"/>
              <w:left w:val="nil"/>
              <w:bottom w:val="single" w:sz="4" w:space="0" w:color="auto"/>
              <w:right w:val="nil"/>
            </w:tcBorders>
            <w:shd w:val="clear" w:color="auto" w:fill="auto"/>
            <w:noWrap/>
            <w:vAlign w:val="bottom"/>
            <w:hideMark/>
          </w:tcPr>
          <w:p w14:paraId="619C4788"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4%</w:t>
            </w:r>
          </w:p>
        </w:tc>
      </w:tr>
      <w:tr w:rsidR="003B2F93" w:rsidRPr="000C7B8B" w14:paraId="035EAFB8" w14:textId="77777777" w:rsidTr="003B2F93">
        <w:trPr>
          <w:trHeight w:val="300"/>
        </w:trPr>
        <w:tc>
          <w:tcPr>
            <w:tcW w:w="2339" w:type="dxa"/>
            <w:tcBorders>
              <w:top w:val="nil"/>
              <w:left w:val="nil"/>
              <w:bottom w:val="single" w:sz="4" w:space="0" w:color="808080"/>
              <w:right w:val="nil"/>
            </w:tcBorders>
            <w:shd w:val="clear" w:color="auto" w:fill="auto"/>
            <w:noWrap/>
            <w:vAlign w:val="bottom"/>
            <w:hideMark/>
          </w:tcPr>
          <w:p w14:paraId="62B5E8CC" w14:textId="77777777" w:rsidR="003B2F93" w:rsidRPr="000C7B8B" w:rsidRDefault="003B2F93" w:rsidP="00F76EA2">
            <w:pPr>
              <w:rPr>
                <w:rFonts w:eastAsia="Times New Roman" w:cs="Times New Roman"/>
                <w:color w:val="000000"/>
                <w:sz w:val="18"/>
                <w:szCs w:val="18"/>
              </w:rPr>
            </w:pPr>
            <w:r w:rsidRPr="000C7B8B">
              <w:rPr>
                <w:rFonts w:eastAsia="Times New Roman" w:cs="Times New Roman"/>
                <w:color w:val="000000"/>
                <w:sz w:val="18"/>
                <w:szCs w:val="18"/>
              </w:rPr>
              <w:t>Hispanic</w:t>
            </w:r>
          </w:p>
        </w:tc>
        <w:tc>
          <w:tcPr>
            <w:tcW w:w="1369" w:type="dxa"/>
            <w:tcBorders>
              <w:top w:val="nil"/>
              <w:left w:val="nil"/>
              <w:bottom w:val="single" w:sz="4" w:space="0" w:color="808080"/>
              <w:right w:val="nil"/>
            </w:tcBorders>
            <w:shd w:val="clear" w:color="auto" w:fill="auto"/>
            <w:noWrap/>
            <w:vAlign w:val="bottom"/>
            <w:hideMark/>
          </w:tcPr>
          <w:p w14:paraId="77B0C8C6" w14:textId="7425E8BF"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2%</w:t>
            </w:r>
          </w:p>
        </w:tc>
        <w:tc>
          <w:tcPr>
            <w:tcW w:w="1429" w:type="dxa"/>
            <w:tcBorders>
              <w:top w:val="nil"/>
              <w:left w:val="nil"/>
              <w:bottom w:val="single" w:sz="4" w:space="0" w:color="808080"/>
              <w:right w:val="nil"/>
            </w:tcBorders>
            <w:shd w:val="clear" w:color="auto" w:fill="auto"/>
            <w:noWrap/>
            <w:vAlign w:val="bottom"/>
            <w:hideMark/>
          </w:tcPr>
          <w:p w14:paraId="54135EFF"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25%</w:t>
            </w:r>
          </w:p>
        </w:tc>
        <w:tc>
          <w:tcPr>
            <w:tcW w:w="1440" w:type="dxa"/>
            <w:gridSpan w:val="2"/>
            <w:tcBorders>
              <w:top w:val="nil"/>
              <w:left w:val="nil"/>
              <w:bottom w:val="single" w:sz="4" w:space="0" w:color="808080"/>
              <w:right w:val="nil"/>
            </w:tcBorders>
            <w:shd w:val="clear" w:color="auto" w:fill="auto"/>
            <w:noWrap/>
            <w:vAlign w:val="bottom"/>
            <w:hideMark/>
          </w:tcPr>
          <w:p w14:paraId="06303B46"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38%</w:t>
            </w:r>
          </w:p>
        </w:tc>
      </w:tr>
      <w:tr w:rsidR="003B2F93" w:rsidRPr="000C7B8B" w14:paraId="3D5D840C" w14:textId="77777777" w:rsidTr="003B2F93">
        <w:trPr>
          <w:trHeight w:val="300"/>
        </w:trPr>
        <w:tc>
          <w:tcPr>
            <w:tcW w:w="2339" w:type="dxa"/>
            <w:tcBorders>
              <w:top w:val="nil"/>
              <w:left w:val="nil"/>
              <w:bottom w:val="single" w:sz="4" w:space="0" w:color="auto"/>
              <w:right w:val="nil"/>
            </w:tcBorders>
            <w:shd w:val="clear" w:color="auto" w:fill="auto"/>
            <w:noWrap/>
            <w:vAlign w:val="bottom"/>
            <w:hideMark/>
          </w:tcPr>
          <w:p w14:paraId="6287DDAA" w14:textId="77777777" w:rsidR="003B2F93" w:rsidRPr="000C7B8B" w:rsidRDefault="003B2F93" w:rsidP="00F76EA2">
            <w:pPr>
              <w:rPr>
                <w:rFonts w:eastAsia="Times New Roman" w:cs="Times New Roman"/>
                <w:color w:val="000000"/>
                <w:sz w:val="18"/>
                <w:szCs w:val="18"/>
              </w:rPr>
            </w:pPr>
            <w:r w:rsidRPr="000C7B8B">
              <w:rPr>
                <w:rFonts w:eastAsia="Times New Roman" w:cs="Times New Roman"/>
                <w:color w:val="000000"/>
                <w:sz w:val="18"/>
                <w:szCs w:val="18"/>
              </w:rPr>
              <w:t>Not Hispanic</w:t>
            </w:r>
          </w:p>
        </w:tc>
        <w:tc>
          <w:tcPr>
            <w:tcW w:w="1369" w:type="dxa"/>
            <w:tcBorders>
              <w:top w:val="nil"/>
              <w:left w:val="nil"/>
              <w:bottom w:val="single" w:sz="4" w:space="0" w:color="auto"/>
              <w:right w:val="nil"/>
            </w:tcBorders>
            <w:shd w:val="clear" w:color="auto" w:fill="auto"/>
            <w:noWrap/>
            <w:vAlign w:val="bottom"/>
            <w:hideMark/>
          </w:tcPr>
          <w:p w14:paraId="114FA8F7" w14:textId="6C353128"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98%</w:t>
            </w:r>
          </w:p>
        </w:tc>
        <w:tc>
          <w:tcPr>
            <w:tcW w:w="1429" w:type="dxa"/>
            <w:tcBorders>
              <w:top w:val="nil"/>
              <w:left w:val="nil"/>
              <w:bottom w:val="single" w:sz="4" w:space="0" w:color="auto"/>
              <w:right w:val="nil"/>
            </w:tcBorders>
            <w:shd w:val="clear" w:color="auto" w:fill="auto"/>
            <w:noWrap/>
            <w:vAlign w:val="bottom"/>
            <w:hideMark/>
          </w:tcPr>
          <w:p w14:paraId="3811B5EA"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75%</w:t>
            </w:r>
          </w:p>
        </w:tc>
        <w:tc>
          <w:tcPr>
            <w:tcW w:w="1440" w:type="dxa"/>
            <w:gridSpan w:val="2"/>
            <w:tcBorders>
              <w:top w:val="nil"/>
              <w:left w:val="nil"/>
              <w:bottom w:val="single" w:sz="4" w:space="0" w:color="auto"/>
              <w:right w:val="nil"/>
            </w:tcBorders>
            <w:shd w:val="clear" w:color="auto" w:fill="auto"/>
            <w:noWrap/>
            <w:vAlign w:val="bottom"/>
            <w:hideMark/>
          </w:tcPr>
          <w:p w14:paraId="1A7CB5F7"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62%</w:t>
            </w:r>
          </w:p>
        </w:tc>
      </w:tr>
      <w:tr w:rsidR="003B2F93" w:rsidRPr="000C7B8B" w14:paraId="294E754A" w14:textId="77777777" w:rsidTr="003B2F93">
        <w:trPr>
          <w:trHeight w:val="300"/>
        </w:trPr>
        <w:tc>
          <w:tcPr>
            <w:tcW w:w="2339" w:type="dxa"/>
            <w:tcBorders>
              <w:top w:val="nil"/>
              <w:left w:val="nil"/>
              <w:bottom w:val="single" w:sz="4" w:space="0" w:color="auto"/>
              <w:right w:val="nil"/>
            </w:tcBorders>
            <w:shd w:val="clear" w:color="auto" w:fill="auto"/>
            <w:noWrap/>
            <w:vAlign w:val="bottom"/>
            <w:hideMark/>
          </w:tcPr>
          <w:p w14:paraId="479F867E" w14:textId="77777777" w:rsidR="003B2F93" w:rsidRPr="000C7B8B" w:rsidRDefault="003B2F93" w:rsidP="00F76EA2">
            <w:pPr>
              <w:rPr>
                <w:rFonts w:eastAsia="Times New Roman" w:cs="Times New Roman"/>
                <w:color w:val="000000"/>
                <w:sz w:val="18"/>
                <w:szCs w:val="18"/>
              </w:rPr>
            </w:pPr>
            <w:r w:rsidRPr="000C7B8B">
              <w:rPr>
                <w:rFonts w:eastAsia="Times New Roman" w:cs="Times New Roman"/>
                <w:color w:val="000000"/>
                <w:sz w:val="18"/>
                <w:szCs w:val="18"/>
              </w:rPr>
              <w:t>Total population</w:t>
            </w:r>
          </w:p>
        </w:tc>
        <w:tc>
          <w:tcPr>
            <w:tcW w:w="1369" w:type="dxa"/>
            <w:tcBorders>
              <w:top w:val="nil"/>
              <w:left w:val="nil"/>
              <w:bottom w:val="single" w:sz="4" w:space="0" w:color="auto"/>
              <w:right w:val="nil"/>
            </w:tcBorders>
            <w:shd w:val="clear" w:color="auto" w:fill="auto"/>
            <w:noWrap/>
            <w:vAlign w:val="bottom"/>
            <w:hideMark/>
          </w:tcPr>
          <w:p w14:paraId="4DF76A36" w14:textId="0B9449FB" w:rsidR="003B2F93" w:rsidRPr="003B2F93" w:rsidRDefault="003B2F93" w:rsidP="00F76EA2">
            <w:pPr>
              <w:jc w:val="right"/>
              <w:rPr>
                <w:rFonts w:eastAsia="Times New Roman" w:cs="Times New Roman"/>
                <w:color w:val="000000"/>
                <w:sz w:val="18"/>
                <w:szCs w:val="18"/>
              </w:rPr>
            </w:pPr>
            <w:r w:rsidRPr="000B58CE">
              <w:rPr>
                <w:rFonts w:eastAsia="Times New Roman" w:cs="Times New Roman"/>
                <w:color w:val="000000"/>
                <w:sz w:val="18"/>
                <w:szCs w:val="18"/>
              </w:rPr>
              <w:t>10,748</w:t>
            </w:r>
          </w:p>
        </w:tc>
        <w:tc>
          <w:tcPr>
            <w:tcW w:w="1429" w:type="dxa"/>
            <w:tcBorders>
              <w:top w:val="nil"/>
              <w:left w:val="nil"/>
              <w:bottom w:val="single" w:sz="4" w:space="0" w:color="auto"/>
              <w:right w:val="nil"/>
            </w:tcBorders>
            <w:shd w:val="clear" w:color="auto" w:fill="auto"/>
            <w:noWrap/>
            <w:vAlign w:val="bottom"/>
            <w:hideMark/>
          </w:tcPr>
          <w:p w14:paraId="27B27CAD"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720,143</w:t>
            </w:r>
          </w:p>
        </w:tc>
        <w:tc>
          <w:tcPr>
            <w:tcW w:w="1440" w:type="dxa"/>
            <w:gridSpan w:val="2"/>
            <w:tcBorders>
              <w:top w:val="nil"/>
              <w:left w:val="nil"/>
              <w:bottom w:val="single" w:sz="4" w:space="0" w:color="auto"/>
              <w:right w:val="nil"/>
            </w:tcBorders>
            <w:shd w:val="clear" w:color="auto" w:fill="auto"/>
            <w:noWrap/>
            <w:vAlign w:val="bottom"/>
            <w:hideMark/>
          </w:tcPr>
          <w:p w14:paraId="0565B146" w14:textId="77777777" w:rsidR="003B2F93" w:rsidRPr="000C7B8B" w:rsidRDefault="003B2F93" w:rsidP="00F76EA2">
            <w:pPr>
              <w:jc w:val="right"/>
              <w:rPr>
                <w:rFonts w:eastAsia="Times New Roman" w:cs="Times New Roman"/>
                <w:color w:val="000000"/>
                <w:sz w:val="18"/>
                <w:szCs w:val="18"/>
              </w:rPr>
            </w:pPr>
            <w:r w:rsidRPr="000C7B8B">
              <w:rPr>
                <w:rFonts w:eastAsia="Times New Roman" w:cs="Times New Roman"/>
                <w:color w:val="000000"/>
                <w:sz w:val="18"/>
                <w:szCs w:val="18"/>
              </w:rPr>
              <w:t>37,330,448</w:t>
            </w:r>
          </w:p>
        </w:tc>
      </w:tr>
      <w:tr w:rsidR="00F76EA2" w:rsidRPr="000C7B8B" w14:paraId="2202E9D1" w14:textId="77777777" w:rsidTr="003B2F93">
        <w:trPr>
          <w:gridAfter w:val="1"/>
          <w:wAfter w:w="442" w:type="dxa"/>
          <w:trHeight w:val="300"/>
        </w:trPr>
        <w:tc>
          <w:tcPr>
            <w:tcW w:w="6135" w:type="dxa"/>
            <w:gridSpan w:val="4"/>
            <w:tcBorders>
              <w:top w:val="single" w:sz="4" w:space="0" w:color="auto"/>
              <w:left w:val="nil"/>
              <w:bottom w:val="nil"/>
              <w:right w:val="nil"/>
            </w:tcBorders>
            <w:shd w:val="clear" w:color="auto" w:fill="auto"/>
            <w:noWrap/>
            <w:vAlign w:val="bottom"/>
            <w:hideMark/>
          </w:tcPr>
          <w:p w14:paraId="41F66DD3" w14:textId="77777777" w:rsidR="00F76EA2" w:rsidRPr="009B1CA4" w:rsidRDefault="00F76EA2" w:rsidP="00DC16E6">
            <w:pPr>
              <w:rPr>
                <w:rFonts w:eastAsia="Times New Roman" w:cs="Times New Roman"/>
                <w:iCs/>
                <w:color w:val="000000"/>
                <w:sz w:val="10"/>
                <w:szCs w:val="16"/>
              </w:rPr>
            </w:pPr>
          </w:p>
          <w:p w14:paraId="25E01E9B" w14:textId="56966C08" w:rsidR="00F76EA2" w:rsidRPr="001759FD" w:rsidRDefault="00F76EA2" w:rsidP="00DC16E6">
            <w:pPr>
              <w:rPr>
                <w:rFonts w:eastAsia="Times New Roman" w:cs="Times New Roman"/>
                <w:iCs/>
                <w:color w:val="000000"/>
                <w:sz w:val="16"/>
                <w:szCs w:val="16"/>
              </w:rPr>
            </w:pPr>
            <w:r w:rsidRPr="001759FD">
              <w:rPr>
                <w:rFonts w:eastAsia="Times New Roman" w:cs="Times New Roman"/>
                <w:iCs/>
                <w:color w:val="000000"/>
                <w:sz w:val="18"/>
                <w:szCs w:val="16"/>
              </w:rPr>
              <w:t xml:space="preserve">Source: </w:t>
            </w:r>
            <w:r w:rsidR="0020362E">
              <w:rPr>
                <w:rFonts w:eastAsia="Times New Roman" w:cs="Times New Roman"/>
                <w:iCs/>
                <w:color w:val="000000"/>
                <w:sz w:val="18"/>
                <w:szCs w:val="16"/>
              </w:rPr>
              <w:t>2007-2011</w:t>
            </w:r>
            <w:r w:rsidRPr="001759FD">
              <w:rPr>
                <w:rFonts w:eastAsia="Times New Roman" w:cs="Times New Roman"/>
                <w:iCs/>
                <w:color w:val="000000"/>
                <w:sz w:val="18"/>
                <w:szCs w:val="16"/>
              </w:rPr>
              <w:t xml:space="preserve"> American Community Survey</w:t>
            </w:r>
          </w:p>
        </w:tc>
      </w:tr>
    </w:tbl>
    <w:p w14:paraId="5F562CA1" w14:textId="42C8AD07" w:rsidR="00D424A2" w:rsidRDefault="00F76EA2" w:rsidP="00F76EA2">
      <w:pPr>
        <w:pStyle w:val="21ElementsText"/>
      </w:pPr>
      <w:r>
        <w:br w:type="textWrapping" w:clear="all"/>
      </w:r>
    </w:p>
    <w:p w14:paraId="78899475" w14:textId="40C425FC" w:rsidR="000A74D8" w:rsidRPr="00163159" w:rsidRDefault="00042115" w:rsidP="000A74D8">
      <w:pPr>
        <w:pStyle w:val="21ElementsText"/>
      </w:pPr>
      <w:r w:rsidRPr="00163159">
        <w:t xml:space="preserve">According to the census, </w:t>
      </w:r>
      <w:r w:rsidR="00D424A2" w:rsidRPr="00163159">
        <w:t xml:space="preserve">the median age in Hillsborough is 47, which is significantly older than the countywide median of 39. Despite the older average age of the population, Hillsborough has a significant number of younger people- a quarter of the population is between the ages of 5 and 19, and an additional four percent are under five. </w:t>
      </w:r>
      <w:r w:rsidR="00853231" w:rsidRPr="00163159">
        <w:t>Hillsborough</w:t>
      </w:r>
      <w:r w:rsidR="000A74D8" w:rsidRPr="00163159">
        <w:t xml:space="preserve">, like other cities in San Mateo County, can expect to see a dramatic increase in the number of seniors as the baby boomer </w:t>
      </w:r>
      <w:r w:rsidR="00376C14" w:rsidRPr="00163159">
        <w:t>generation</w:t>
      </w:r>
      <w:r w:rsidR="000A74D8" w:rsidRPr="00163159">
        <w:t xml:space="preserve"> ages. </w:t>
      </w:r>
      <w:r w:rsidR="00376C14" w:rsidRPr="00163159">
        <w:t>Looking out to the year 2030, the California Department of Finance (2013) projects that the number of people over the age of 75 in San Mateo County will increase from 6% of the population to 10% of the population</w:t>
      </w:r>
      <w:r w:rsidR="003F000A" w:rsidRPr="00163159">
        <w:t xml:space="preserve">, comprising 79,949 of the projected 803,288 people in San Mateo County in 2030. The table below shows the current distribution of the population in San </w:t>
      </w:r>
      <w:r w:rsidR="008062D2" w:rsidRPr="00163159">
        <w:t>M</w:t>
      </w:r>
      <w:r w:rsidR="003F000A" w:rsidRPr="00163159">
        <w:t>ateo County by age cohort.</w:t>
      </w:r>
    </w:p>
    <w:p w14:paraId="483BAEB3" w14:textId="626151C9" w:rsidR="003F000A" w:rsidRPr="00163159" w:rsidRDefault="003F000A">
      <w:pPr>
        <w:spacing w:line="240" w:lineRule="auto"/>
      </w:pPr>
      <w:r w:rsidRPr="00163159">
        <w:br w:type="page"/>
      </w:r>
    </w:p>
    <w:p w14:paraId="4A8B816F" w14:textId="77777777" w:rsidR="00A82E5D" w:rsidRPr="00163159" w:rsidRDefault="00A82E5D" w:rsidP="00067077">
      <w:pPr>
        <w:rPr>
          <w:sz w:val="4"/>
        </w:rPr>
      </w:pPr>
    </w:p>
    <w:tbl>
      <w:tblPr>
        <w:tblW w:w="7583" w:type="dxa"/>
        <w:tblInd w:w="93" w:type="dxa"/>
        <w:tblLayout w:type="fixed"/>
        <w:tblLook w:val="04A0" w:firstRow="1" w:lastRow="0" w:firstColumn="1" w:lastColumn="0" w:noHBand="0" w:noVBand="1"/>
      </w:tblPr>
      <w:tblGrid>
        <w:gridCol w:w="2319"/>
        <w:gridCol w:w="1296"/>
        <w:gridCol w:w="1350"/>
        <w:gridCol w:w="1256"/>
        <w:gridCol w:w="822"/>
        <w:gridCol w:w="540"/>
      </w:tblGrid>
      <w:tr w:rsidR="000C7B8B" w:rsidRPr="00163159" w14:paraId="69B7028B" w14:textId="77777777" w:rsidTr="003B2F93">
        <w:trPr>
          <w:trHeight w:val="300"/>
        </w:trPr>
        <w:tc>
          <w:tcPr>
            <w:tcW w:w="7583" w:type="dxa"/>
            <w:gridSpan w:val="6"/>
            <w:tcBorders>
              <w:top w:val="nil"/>
              <w:left w:val="nil"/>
              <w:bottom w:val="nil"/>
              <w:right w:val="nil"/>
            </w:tcBorders>
            <w:shd w:val="clear" w:color="000000" w:fill="000000"/>
            <w:noWrap/>
            <w:vAlign w:val="bottom"/>
            <w:hideMark/>
          </w:tcPr>
          <w:p w14:paraId="79C3DB0A" w14:textId="10F3FB42" w:rsidR="000C7B8B" w:rsidRPr="00163159" w:rsidRDefault="000C7B8B" w:rsidP="0037327B">
            <w:pPr>
              <w:rPr>
                <w:rFonts w:eastAsia="Times New Roman" w:cs="Times New Roman"/>
                <w:b/>
                <w:bCs/>
                <w:color w:val="FFFFFF"/>
                <w:sz w:val="20"/>
                <w:szCs w:val="20"/>
              </w:rPr>
            </w:pPr>
            <w:r w:rsidRPr="00163159">
              <w:rPr>
                <w:rFonts w:eastAsia="Times New Roman" w:cs="Times New Roman"/>
                <w:b/>
                <w:bCs/>
                <w:color w:val="FFFFFF"/>
                <w:sz w:val="20"/>
                <w:szCs w:val="20"/>
              </w:rPr>
              <w:t>Age of Residents</w:t>
            </w:r>
            <w:r w:rsidR="000A74D8" w:rsidRPr="00163159">
              <w:rPr>
                <w:rFonts w:eastAsia="Times New Roman" w:cs="Times New Roman"/>
                <w:b/>
                <w:bCs/>
                <w:color w:val="FFFFFF"/>
                <w:sz w:val="20"/>
                <w:szCs w:val="20"/>
              </w:rPr>
              <w:t xml:space="preserve"> (2011)</w:t>
            </w:r>
          </w:p>
        </w:tc>
      </w:tr>
      <w:tr w:rsidR="000C7B8B" w:rsidRPr="00163159" w14:paraId="2FC1DD19" w14:textId="77777777" w:rsidTr="003B2F93">
        <w:trPr>
          <w:trHeight w:val="300"/>
        </w:trPr>
        <w:tc>
          <w:tcPr>
            <w:tcW w:w="2319" w:type="dxa"/>
            <w:tcBorders>
              <w:top w:val="nil"/>
              <w:left w:val="nil"/>
              <w:bottom w:val="nil"/>
              <w:right w:val="nil"/>
            </w:tcBorders>
            <w:shd w:val="clear" w:color="auto" w:fill="auto"/>
            <w:noWrap/>
            <w:vAlign w:val="bottom"/>
            <w:hideMark/>
          </w:tcPr>
          <w:p w14:paraId="2CE98EB3" w14:textId="77777777" w:rsidR="000C7B8B" w:rsidRPr="00163159" w:rsidRDefault="000C7B8B" w:rsidP="00067077">
            <w:pPr>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bottom"/>
            <w:hideMark/>
          </w:tcPr>
          <w:p w14:paraId="17143AB4" w14:textId="36525E2F" w:rsidR="000C7B8B" w:rsidRPr="00163159" w:rsidRDefault="000C7B8B" w:rsidP="000A74D8">
            <w:pPr>
              <w:spacing w:line="240" w:lineRule="auto"/>
              <w:jc w:val="center"/>
              <w:rPr>
                <w:rFonts w:eastAsia="Times New Roman" w:cs="Times New Roman"/>
                <w:b/>
                <w:bCs/>
                <w:color w:val="000000"/>
                <w:sz w:val="14"/>
                <w:szCs w:val="18"/>
              </w:rPr>
            </w:pPr>
          </w:p>
        </w:tc>
        <w:tc>
          <w:tcPr>
            <w:tcW w:w="3968" w:type="dxa"/>
            <w:gridSpan w:val="4"/>
            <w:tcBorders>
              <w:top w:val="nil"/>
              <w:left w:val="nil"/>
              <w:bottom w:val="nil"/>
              <w:right w:val="nil"/>
            </w:tcBorders>
            <w:shd w:val="clear" w:color="auto" w:fill="auto"/>
            <w:noWrap/>
            <w:vAlign w:val="bottom"/>
            <w:hideMark/>
          </w:tcPr>
          <w:p w14:paraId="7E1CBE6A" w14:textId="79BD3532" w:rsidR="000C7B8B" w:rsidRPr="00163159" w:rsidRDefault="000C7B8B" w:rsidP="000A74D8">
            <w:pPr>
              <w:spacing w:line="240" w:lineRule="auto"/>
              <w:jc w:val="center"/>
              <w:rPr>
                <w:rFonts w:eastAsia="Times New Roman" w:cs="Times New Roman"/>
                <w:b/>
                <w:bCs/>
                <w:color w:val="000000"/>
                <w:sz w:val="10"/>
                <w:szCs w:val="18"/>
              </w:rPr>
            </w:pPr>
          </w:p>
        </w:tc>
      </w:tr>
      <w:tr w:rsidR="000C7B8B" w:rsidRPr="00163159" w14:paraId="4BD44A14" w14:textId="77777777" w:rsidTr="003B2F93">
        <w:trPr>
          <w:trHeight w:val="320"/>
        </w:trPr>
        <w:tc>
          <w:tcPr>
            <w:tcW w:w="2319" w:type="dxa"/>
            <w:tcBorders>
              <w:top w:val="nil"/>
              <w:left w:val="nil"/>
              <w:bottom w:val="nil"/>
              <w:right w:val="nil"/>
            </w:tcBorders>
            <w:shd w:val="clear" w:color="auto" w:fill="auto"/>
            <w:noWrap/>
            <w:vAlign w:val="bottom"/>
            <w:hideMark/>
          </w:tcPr>
          <w:p w14:paraId="3B4BD3D6" w14:textId="77777777" w:rsidR="000C7B8B" w:rsidRPr="00163159" w:rsidRDefault="000C7B8B" w:rsidP="00067077">
            <w:pPr>
              <w:rPr>
                <w:rFonts w:eastAsia="Times New Roman" w:cs="Times New Roman"/>
                <w:color w:val="000000"/>
                <w:sz w:val="18"/>
                <w:szCs w:val="18"/>
              </w:rPr>
            </w:pPr>
          </w:p>
        </w:tc>
        <w:tc>
          <w:tcPr>
            <w:tcW w:w="1296" w:type="dxa"/>
            <w:tcBorders>
              <w:top w:val="nil"/>
              <w:left w:val="nil"/>
              <w:bottom w:val="nil"/>
              <w:right w:val="single" w:sz="2" w:space="0" w:color="auto"/>
            </w:tcBorders>
            <w:shd w:val="clear" w:color="auto" w:fill="auto"/>
            <w:noWrap/>
            <w:vAlign w:val="bottom"/>
            <w:hideMark/>
          </w:tcPr>
          <w:p w14:paraId="2FCA0583" w14:textId="355C88C6" w:rsidR="000C7B8B" w:rsidRPr="00163159" w:rsidRDefault="00853231" w:rsidP="000A74D8">
            <w:pPr>
              <w:spacing w:line="240" w:lineRule="auto"/>
              <w:jc w:val="right"/>
              <w:rPr>
                <w:rFonts w:eastAsia="Times New Roman" w:cs="Times New Roman"/>
                <w:color w:val="000000"/>
                <w:sz w:val="18"/>
                <w:szCs w:val="18"/>
              </w:rPr>
            </w:pPr>
            <w:r w:rsidRPr="00163159">
              <w:rPr>
                <w:rFonts w:eastAsia="Times New Roman" w:cs="Times New Roman"/>
                <w:color w:val="000000"/>
                <w:sz w:val="18"/>
                <w:szCs w:val="18"/>
              </w:rPr>
              <w:t>Hillsborough</w:t>
            </w:r>
            <w:r w:rsidR="000A74D8" w:rsidRPr="00163159">
              <w:rPr>
                <w:rFonts w:eastAsia="Times New Roman" w:cs="Times New Roman"/>
                <w:color w:val="000000"/>
                <w:sz w:val="18"/>
                <w:szCs w:val="18"/>
              </w:rPr>
              <w:t xml:space="preserve"> in </w:t>
            </w:r>
            <w:r w:rsidR="000A74D8" w:rsidRPr="00163159">
              <w:rPr>
                <w:rFonts w:eastAsia="Times New Roman" w:cs="Times New Roman"/>
                <w:b/>
                <w:color w:val="000000"/>
                <w:sz w:val="18"/>
                <w:szCs w:val="18"/>
              </w:rPr>
              <w:t>2000</w:t>
            </w:r>
          </w:p>
          <w:p w14:paraId="670A84B8" w14:textId="0A6AF750" w:rsidR="000A74D8" w:rsidRPr="00163159" w:rsidRDefault="000A74D8" w:rsidP="000A74D8">
            <w:pPr>
              <w:spacing w:line="240" w:lineRule="auto"/>
              <w:jc w:val="right"/>
              <w:rPr>
                <w:rFonts w:eastAsia="Times New Roman" w:cs="Times New Roman"/>
                <w:color w:val="000000"/>
                <w:sz w:val="10"/>
                <w:szCs w:val="18"/>
              </w:rPr>
            </w:pPr>
          </w:p>
        </w:tc>
        <w:tc>
          <w:tcPr>
            <w:tcW w:w="1350" w:type="dxa"/>
            <w:tcBorders>
              <w:top w:val="nil"/>
              <w:left w:val="single" w:sz="2" w:space="0" w:color="auto"/>
              <w:bottom w:val="nil"/>
              <w:right w:val="nil"/>
            </w:tcBorders>
            <w:shd w:val="clear" w:color="auto" w:fill="auto"/>
            <w:noWrap/>
            <w:vAlign w:val="bottom"/>
            <w:hideMark/>
          </w:tcPr>
          <w:p w14:paraId="7442527F" w14:textId="7774EFB8" w:rsidR="000C7B8B" w:rsidRPr="00163159" w:rsidRDefault="00853231" w:rsidP="000A74D8">
            <w:pPr>
              <w:spacing w:line="240" w:lineRule="auto"/>
              <w:jc w:val="right"/>
              <w:rPr>
                <w:rFonts w:eastAsia="Times New Roman" w:cs="Times New Roman"/>
                <w:color w:val="000000"/>
                <w:sz w:val="18"/>
                <w:szCs w:val="18"/>
              </w:rPr>
            </w:pPr>
            <w:r w:rsidRPr="00163159">
              <w:rPr>
                <w:rFonts w:eastAsia="Times New Roman" w:cs="Times New Roman"/>
                <w:color w:val="000000"/>
                <w:sz w:val="18"/>
                <w:szCs w:val="18"/>
              </w:rPr>
              <w:t>Hillsborough</w:t>
            </w:r>
            <w:r w:rsidR="00376C14" w:rsidRPr="00163159">
              <w:rPr>
                <w:rFonts w:eastAsia="Times New Roman" w:cs="Times New Roman"/>
                <w:color w:val="000000"/>
                <w:sz w:val="18"/>
                <w:szCs w:val="18"/>
              </w:rPr>
              <w:t xml:space="preserve"> in </w:t>
            </w:r>
            <w:r w:rsidR="00376C14" w:rsidRPr="00163159">
              <w:rPr>
                <w:rFonts w:eastAsia="Times New Roman" w:cs="Times New Roman"/>
                <w:b/>
                <w:color w:val="000000"/>
                <w:sz w:val="18"/>
                <w:szCs w:val="18"/>
              </w:rPr>
              <w:t>2011</w:t>
            </w:r>
          </w:p>
          <w:p w14:paraId="199267BB" w14:textId="0F987BE4" w:rsidR="000A74D8" w:rsidRPr="00163159" w:rsidRDefault="000A74D8" w:rsidP="000A74D8">
            <w:pPr>
              <w:spacing w:line="240" w:lineRule="auto"/>
              <w:jc w:val="right"/>
              <w:rPr>
                <w:rFonts w:eastAsia="Times New Roman" w:cs="Times New Roman"/>
                <w:color w:val="000000"/>
                <w:sz w:val="10"/>
                <w:szCs w:val="18"/>
              </w:rPr>
            </w:pPr>
          </w:p>
        </w:tc>
        <w:tc>
          <w:tcPr>
            <w:tcW w:w="1256" w:type="dxa"/>
            <w:tcBorders>
              <w:top w:val="nil"/>
              <w:left w:val="nil"/>
              <w:bottom w:val="nil"/>
              <w:right w:val="nil"/>
            </w:tcBorders>
            <w:shd w:val="clear" w:color="auto" w:fill="auto"/>
            <w:noWrap/>
            <w:vAlign w:val="bottom"/>
            <w:hideMark/>
          </w:tcPr>
          <w:p w14:paraId="2F63BF29" w14:textId="6AAEA7B0" w:rsidR="000C7B8B" w:rsidRPr="00163159" w:rsidRDefault="000A74D8" w:rsidP="000A74D8">
            <w:pPr>
              <w:spacing w:line="240" w:lineRule="auto"/>
              <w:jc w:val="right"/>
              <w:rPr>
                <w:rFonts w:eastAsia="Times New Roman" w:cs="Times New Roman"/>
                <w:color w:val="000000"/>
                <w:sz w:val="18"/>
                <w:szCs w:val="18"/>
              </w:rPr>
            </w:pPr>
            <w:r w:rsidRPr="00163159">
              <w:rPr>
                <w:rFonts w:eastAsia="Times New Roman" w:cs="Times New Roman"/>
                <w:color w:val="000000"/>
                <w:sz w:val="18"/>
                <w:szCs w:val="18"/>
              </w:rPr>
              <w:t xml:space="preserve">San Mateo </w:t>
            </w:r>
            <w:r w:rsidR="000C7B8B" w:rsidRPr="00163159">
              <w:rPr>
                <w:rFonts w:eastAsia="Times New Roman" w:cs="Times New Roman"/>
                <w:color w:val="000000"/>
                <w:sz w:val="18"/>
                <w:szCs w:val="18"/>
              </w:rPr>
              <w:t>County</w:t>
            </w:r>
            <w:r w:rsidR="00376C14" w:rsidRPr="00163159">
              <w:rPr>
                <w:rFonts w:eastAsia="Times New Roman" w:cs="Times New Roman"/>
                <w:color w:val="000000"/>
                <w:sz w:val="18"/>
                <w:szCs w:val="18"/>
              </w:rPr>
              <w:t xml:space="preserve"> in </w:t>
            </w:r>
            <w:r w:rsidR="00376C14" w:rsidRPr="00163159">
              <w:rPr>
                <w:rFonts w:eastAsia="Times New Roman" w:cs="Times New Roman"/>
                <w:b/>
                <w:color w:val="000000"/>
                <w:sz w:val="18"/>
                <w:szCs w:val="18"/>
              </w:rPr>
              <w:t>2011</w:t>
            </w:r>
          </w:p>
          <w:p w14:paraId="20A21F17" w14:textId="77777777" w:rsidR="000A74D8" w:rsidRPr="00163159" w:rsidRDefault="000A74D8" w:rsidP="000A74D8">
            <w:pPr>
              <w:spacing w:line="240" w:lineRule="auto"/>
              <w:jc w:val="right"/>
              <w:rPr>
                <w:rFonts w:eastAsia="Times New Roman" w:cs="Times New Roman"/>
                <w:color w:val="000000"/>
                <w:sz w:val="10"/>
                <w:szCs w:val="18"/>
              </w:rPr>
            </w:pPr>
          </w:p>
        </w:tc>
        <w:tc>
          <w:tcPr>
            <w:tcW w:w="1362" w:type="dxa"/>
            <w:gridSpan w:val="2"/>
            <w:tcBorders>
              <w:top w:val="nil"/>
              <w:left w:val="nil"/>
              <w:bottom w:val="nil"/>
              <w:right w:val="nil"/>
            </w:tcBorders>
            <w:shd w:val="clear" w:color="auto" w:fill="auto"/>
            <w:noWrap/>
            <w:vAlign w:val="bottom"/>
            <w:hideMark/>
          </w:tcPr>
          <w:p w14:paraId="1900EA0C" w14:textId="4963F3C3" w:rsidR="000C7B8B" w:rsidRPr="00163159" w:rsidRDefault="000A74D8" w:rsidP="000A74D8">
            <w:pPr>
              <w:spacing w:line="240" w:lineRule="auto"/>
              <w:jc w:val="right"/>
              <w:rPr>
                <w:rFonts w:eastAsia="Times New Roman" w:cs="Times New Roman"/>
                <w:color w:val="000000"/>
                <w:sz w:val="18"/>
                <w:szCs w:val="18"/>
              </w:rPr>
            </w:pPr>
            <w:r w:rsidRPr="00163159">
              <w:rPr>
                <w:rFonts w:eastAsia="Times New Roman" w:cs="Times New Roman"/>
                <w:color w:val="000000"/>
                <w:sz w:val="18"/>
                <w:szCs w:val="18"/>
              </w:rPr>
              <w:t>State of California</w:t>
            </w:r>
            <w:r w:rsidR="00376C14" w:rsidRPr="00163159">
              <w:rPr>
                <w:rFonts w:eastAsia="Times New Roman" w:cs="Times New Roman"/>
                <w:color w:val="000000"/>
                <w:sz w:val="18"/>
                <w:szCs w:val="18"/>
              </w:rPr>
              <w:t xml:space="preserve"> in </w:t>
            </w:r>
            <w:r w:rsidR="00376C14" w:rsidRPr="00163159">
              <w:rPr>
                <w:rFonts w:eastAsia="Times New Roman" w:cs="Times New Roman"/>
                <w:b/>
                <w:color w:val="000000"/>
                <w:sz w:val="18"/>
                <w:szCs w:val="18"/>
              </w:rPr>
              <w:t>2011</w:t>
            </w:r>
          </w:p>
          <w:p w14:paraId="068F8B01" w14:textId="20A94676" w:rsidR="000A74D8" w:rsidRPr="00163159" w:rsidRDefault="000A74D8" w:rsidP="000A74D8">
            <w:pPr>
              <w:spacing w:line="240" w:lineRule="auto"/>
              <w:jc w:val="right"/>
              <w:rPr>
                <w:rFonts w:eastAsia="Times New Roman" w:cs="Times New Roman"/>
                <w:color w:val="000000"/>
                <w:sz w:val="10"/>
                <w:szCs w:val="18"/>
              </w:rPr>
            </w:pPr>
          </w:p>
        </w:tc>
      </w:tr>
      <w:tr w:rsidR="003B2F93" w:rsidRPr="00163159" w14:paraId="607F468E" w14:textId="77777777" w:rsidTr="003B2F93">
        <w:trPr>
          <w:trHeight w:val="300"/>
        </w:trPr>
        <w:tc>
          <w:tcPr>
            <w:tcW w:w="2319" w:type="dxa"/>
            <w:tcBorders>
              <w:top w:val="single" w:sz="8" w:space="0" w:color="auto"/>
              <w:left w:val="nil"/>
              <w:bottom w:val="single" w:sz="4" w:space="0" w:color="808080"/>
              <w:right w:val="nil"/>
            </w:tcBorders>
            <w:shd w:val="clear" w:color="auto" w:fill="auto"/>
            <w:noWrap/>
            <w:vAlign w:val="bottom"/>
            <w:hideMark/>
          </w:tcPr>
          <w:p w14:paraId="2A2ABB42" w14:textId="531F8548"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Under 5 years</w:t>
            </w:r>
          </w:p>
        </w:tc>
        <w:tc>
          <w:tcPr>
            <w:tcW w:w="1296" w:type="dxa"/>
            <w:tcBorders>
              <w:top w:val="single" w:sz="8" w:space="0" w:color="auto"/>
              <w:left w:val="nil"/>
              <w:bottom w:val="single" w:sz="4" w:space="0" w:color="808080"/>
              <w:right w:val="single" w:sz="2" w:space="0" w:color="auto"/>
            </w:tcBorders>
            <w:shd w:val="clear" w:color="auto" w:fill="auto"/>
            <w:noWrap/>
            <w:vAlign w:val="bottom"/>
            <w:hideMark/>
          </w:tcPr>
          <w:p w14:paraId="445E8C39" w14:textId="732640B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5%</w:t>
            </w:r>
          </w:p>
        </w:tc>
        <w:tc>
          <w:tcPr>
            <w:tcW w:w="1350" w:type="dxa"/>
            <w:tcBorders>
              <w:top w:val="single" w:sz="8" w:space="0" w:color="auto"/>
              <w:left w:val="single" w:sz="2" w:space="0" w:color="auto"/>
              <w:bottom w:val="single" w:sz="4" w:space="0" w:color="808080"/>
              <w:right w:val="nil"/>
            </w:tcBorders>
            <w:shd w:val="clear" w:color="auto" w:fill="auto"/>
            <w:noWrap/>
            <w:vAlign w:val="bottom"/>
            <w:hideMark/>
          </w:tcPr>
          <w:p w14:paraId="7A3637DA" w14:textId="61924DB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4%</w:t>
            </w:r>
          </w:p>
        </w:tc>
        <w:tc>
          <w:tcPr>
            <w:tcW w:w="1256" w:type="dxa"/>
            <w:tcBorders>
              <w:top w:val="single" w:sz="8" w:space="0" w:color="auto"/>
              <w:left w:val="nil"/>
              <w:bottom w:val="single" w:sz="4" w:space="0" w:color="808080"/>
              <w:right w:val="nil"/>
            </w:tcBorders>
            <w:shd w:val="clear" w:color="auto" w:fill="auto"/>
            <w:noWrap/>
            <w:vAlign w:val="bottom"/>
            <w:hideMark/>
          </w:tcPr>
          <w:p w14:paraId="0D099B89"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6%</w:t>
            </w:r>
          </w:p>
        </w:tc>
        <w:tc>
          <w:tcPr>
            <w:tcW w:w="1362" w:type="dxa"/>
            <w:gridSpan w:val="2"/>
            <w:tcBorders>
              <w:top w:val="single" w:sz="8" w:space="0" w:color="auto"/>
              <w:left w:val="nil"/>
              <w:bottom w:val="single" w:sz="4" w:space="0" w:color="808080"/>
              <w:right w:val="nil"/>
            </w:tcBorders>
            <w:shd w:val="clear" w:color="auto" w:fill="auto"/>
            <w:noWrap/>
            <w:vAlign w:val="bottom"/>
            <w:hideMark/>
          </w:tcPr>
          <w:p w14:paraId="44A09BA1"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7%</w:t>
            </w:r>
          </w:p>
        </w:tc>
      </w:tr>
      <w:tr w:rsidR="003B2F93" w:rsidRPr="00163159" w14:paraId="30C015A0" w14:textId="77777777" w:rsidTr="003B2F93">
        <w:trPr>
          <w:trHeight w:val="300"/>
        </w:trPr>
        <w:tc>
          <w:tcPr>
            <w:tcW w:w="2319" w:type="dxa"/>
            <w:tcBorders>
              <w:top w:val="nil"/>
              <w:left w:val="nil"/>
              <w:bottom w:val="single" w:sz="4" w:space="0" w:color="808080"/>
              <w:right w:val="nil"/>
            </w:tcBorders>
            <w:shd w:val="clear" w:color="auto" w:fill="auto"/>
            <w:noWrap/>
            <w:vAlign w:val="bottom"/>
            <w:hideMark/>
          </w:tcPr>
          <w:p w14:paraId="0DC291FA"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5 to 19 years</w:t>
            </w:r>
          </w:p>
        </w:tc>
        <w:tc>
          <w:tcPr>
            <w:tcW w:w="1296" w:type="dxa"/>
            <w:tcBorders>
              <w:top w:val="nil"/>
              <w:left w:val="nil"/>
              <w:bottom w:val="single" w:sz="4" w:space="0" w:color="808080"/>
              <w:right w:val="single" w:sz="2" w:space="0" w:color="auto"/>
            </w:tcBorders>
            <w:shd w:val="clear" w:color="auto" w:fill="auto"/>
            <w:noWrap/>
            <w:vAlign w:val="bottom"/>
            <w:hideMark/>
          </w:tcPr>
          <w:p w14:paraId="7C66D5DE" w14:textId="5E157388"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22%</w:t>
            </w:r>
          </w:p>
        </w:tc>
        <w:tc>
          <w:tcPr>
            <w:tcW w:w="1350" w:type="dxa"/>
            <w:tcBorders>
              <w:top w:val="nil"/>
              <w:left w:val="single" w:sz="2" w:space="0" w:color="auto"/>
              <w:bottom w:val="single" w:sz="4" w:space="0" w:color="808080"/>
              <w:right w:val="nil"/>
            </w:tcBorders>
            <w:shd w:val="clear" w:color="auto" w:fill="auto"/>
            <w:noWrap/>
            <w:vAlign w:val="bottom"/>
            <w:hideMark/>
          </w:tcPr>
          <w:p w14:paraId="1027B2BE" w14:textId="0509BC23"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26%</w:t>
            </w:r>
          </w:p>
        </w:tc>
        <w:tc>
          <w:tcPr>
            <w:tcW w:w="1256" w:type="dxa"/>
            <w:tcBorders>
              <w:top w:val="nil"/>
              <w:left w:val="nil"/>
              <w:bottom w:val="single" w:sz="4" w:space="0" w:color="808080"/>
              <w:right w:val="nil"/>
            </w:tcBorders>
            <w:shd w:val="clear" w:color="auto" w:fill="auto"/>
            <w:noWrap/>
            <w:vAlign w:val="bottom"/>
            <w:hideMark/>
          </w:tcPr>
          <w:p w14:paraId="5E00D7B2"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18%</w:t>
            </w:r>
          </w:p>
        </w:tc>
        <w:tc>
          <w:tcPr>
            <w:tcW w:w="1362" w:type="dxa"/>
            <w:gridSpan w:val="2"/>
            <w:tcBorders>
              <w:top w:val="nil"/>
              <w:left w:val="nil"/>
              <w:bottom w:val="single" w:sz="4" w:space="0" w:color="808080"/>
              <w:right w:val="nil"/>
            </w:tcBorders>
            <w:shd w:val="clear" w:color="auto" w:fill="auto"/>
            <w:noWrap/>
            <w:vAlign w:val="bottom"/>
            <w:hideMark/>
          </w:tcPr>
          <w:p w14:paraId="615FBC1A"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21%</w:t>
            </w:r>
          </w:p>
        </w:tc>
      </w:tr>
      <w:tr w:rsidR="003B2F93" w:rsidRPr="00163159" w14:paraId="59DC07B0" w14:textId="77777777" w:rsidTr="003B2F93">
        <w:trPr>
          <w:trHeight w:val="300"/>
        </w:trPr>
        <w:tc>
          <w:tcPr>
            <w:tcW w:w="2319" w:type="dxa"/>
            <w:tcBorders>
              <w:top w:val="nil"/>
              <w:left w:val="nil"/>
              <w:bottom w:val="single" w:sz="4" w:space="0" w:color="808080"/>
              <w:right w:val="nil"/>
            </w:tcBorders>
            <w:shd w:val="clear" w:color="auto" w:fill="auto"/>
            <w:noWrap/>
            <w:vAlign w:val="bottom"/>
            <w:hideMark/>
          </w:tcPr>
          <w:p w14:paraId="540A6F58"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20 to 34 years</w:t>
            </w:r>
          </w:p>
        </w:tc>
        <w:tc>
          <w:tcPr>
            <w:tcW w:w="1296" w:type="dxa"/>
            <w:tcBorders>
              <w:top w:val="nil"/>
              <w:left w:val="nil"/>
              <w:bottom w:val="single" w:sz="4" w:space="0" w:color="808080"/>
              <w:right w:val="single" w:sz="2" w:space="0" w:color="auto"/>
            </w:tcBorders>
            <w:shd w:val="clear" w:color="auto" w:fill="auto"/>
            <w:noWrap/>
            <w:vAlign w:val="bottom"/>
            <w:hideMark/>
          </w:tcPr>
          <w:p w14:paraId="2F5E631A" w14:textId="67C58FC1"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9%</w:t>
            </w:r>
          </w:p>
        </w:tc>
        <w:tc>
          <w:tcPr>
            <w:tcW w:w="1350" w:type="dxa"/>
            <w:tcBorders>
              <w:top w:val="nil"/>
              <w:left w:val="single" w:sz="2" w:space="0" w:color="auto"/>
              <w:bottom w:val="single" w:sz="4" w:space="0" w:color="808080"/>
              <w:right w:val="nil"/>
            </w:tcBorders>
            <w:shd w:val="clear" w:color="auto" w:fill="auto"/>
            <w:noWrap/>
            <w:vAlign w:val="bottom"/>
            <w:hideMark/>
          </w:tcPr>
          <w:p w14:paraId="530CB802" w14:textId="03462BDB"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7%</w:t>
            </w:r>
          </w:p>
        </w:tc>
        <w:tc>
          <w:tcPr>
            <w:tcW w:w="1256" w:type="dxa"/>
            <w:tcBorders>
              <w:top w:val="nil"/>
              <w:left w:val="nil"/>
              <w:bottom w:val="single" w:sz="4" w:space="0" w:color="808080"/>
              <w:right w:val="nil"/>
            </w:tcBorders>
            <w:shd w:val="clear" w:color="auto" w:fill="auto"/>
            <w:noWrap/>
            <w:vAlign w:val="bottom"/>
            <w:hideMark/>
          </w:tcPr>
          <w:p w14:paraId="29FBFD38"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19%</w:t>
            </w:r>
          </w:p>
        </w:tc>
        <w:tc>
          <w:tcPr>
            <w:tcW w:w="1362" w:type="dxa"/>
            <w:gridSpan w:val="2"/>
            <w:tcBorders>
              <w:top w:val="nil"/>
              <w:left w:val="nil"/>
              <w:bottom w:val="single" w:sz="4" w:space="0" w:color="808080"/>
              <w:right w:val="nil"/>
            </w:tcBorders>
            <w:shd w:val="clear" w:color="auto" w:fill="auto"/>
            <w:noWrap/>
            <w:vAlign w:val="bottom"/>
            <w:hideMark/>
          </w:tcPr>
          <w:p w14:paraId="432E14AD"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22%</w:t>
            </w:r>
          </w:p>
        </w:tc>
      </w:tr>
      <w:tr w:rsidR="003B2F93" w:rsidRPr="00163159" w14:paraId="4D310D41" w14:textId="77777777" w:rsidTr="003B2F93">
        <w:trPr>
          <w:trHeight w:val="300"/>
        </w:trPr>
        <w:tc>
          <w:tcPr>
            <w:tcW w:w="2319" w:type="dxa"/>
            <w:tcBorders>
              <w:top w:val="nil"/>
              <w:left w:val="nil"/>
              <w:bottom w:val="single" w:sz="4" w:space="0" w:color="808080"/>
              <w:right w:val="nil"/>
            </w:tcBorders>
            <w:shd w:val="clear" w:color="auto" w:fill="auto"/>
            <w:noWrap/>
            <w:vAlign w:val="bottom"/>
            <w:hideMark/>
          </w:tcPr>
          <w:p w14:paraId="691FD8C8"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35 to 44 years</w:t>
            </w:r>
          </w:p>
        </w:tc>
        <w:tc>
          <w:tcPr>
            <w:tcW w:w="1296" w:type="dxa"/>
            <w:tcBorders>
              <w:top w:val="nil"/>
              <w:left w:val="nil"/>
              <w:bottom w:val="single" w:sz="4" w:space="0" w:color="808080"/>
              <w:right w:val="single" w:sz="2" w:space="0" w:color="auto"/>
            </w:tcBorders>
            <w:shd w:val="clear" w:color="auto" w:fill="auto"/>
            <w:noWrap/>
            <w:vAlign w:val="bottom"/>
            <w:hideMark/>
          </w:tcPr>
          <w:p w14:paraId="05CC5570" w14:textId="345762C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14%</w:t>
            </w:r>
          </w:p>
        </w:tc>
        <w:tc>
          <w:tcPr>
            <w:tcW w:w="1350" w:type="dxa"/>
            <w:tcBorders>
              <w:top w:val="nil"/>
              <w:left w:val="single" w:sz="2" w:space="0" w:color="auto"/>
              <w:bottom w:val="single" w:sz="4" w:space="0" w:color="808080"/>
              <w:right w:val="nil"/>
            </w:tcBorders>
            <w:shd w:val="clear" w:color="auto" w:fill="auto"/>
            <w:noWrap/>
            <w:vAlign w:val="bottom"/>
            <w:hideMark/>
          </w:tcPr>
          <w:p w14:paraId="0AF668EE" w14:textId="310F803D"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10%</w:t>
            </w:r>
          </w:p>
        </w:tc>
        <w:tc>
          <w:tcPr>
            <w:tcW w:w="1256" w:type="dxa"/>
            <w:tcBorders>
              <w:top w:val="nil"/>
              <w:left w:val="nil"/>
              <w:bottom w:val="single" w:sz="4" w:space="0" w:color="808080"/>
              <w:right w:val="nil"/>
            </w:tcBorders>
            <w:shd w:val="clear" w:color="auto" w:fill="auto"/>
            <w:noWrap/>
            <w:vAlign w:val="bottom"/>
            <w:hideMark/>
          </w:tcPr>
          <w:p w14:paraId="2A2431A1"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15%</w:t>
            </w:r>
          </w:p>
        </w:tc>
        <w:tc>
          <w:tcPr>
            <w:tcW w:w="1362" w:type="dxa"/>
            <w:gridSpan w:val="2"/>
            <w:tcBorders>
              <w:top w:val="nil"/>
              <w:left w:val="nil"/>
              <w:bottom w:val="single" w:sz="4" w:space="0" w:color="808080"/>
              <w:right w:val="nil"/>
            </w:tcBorders>
            <w:shd w:val="clear" w:color="auto" w:fill="auto"/>
            <w:noWrap/>
            <w:vAlign w:val="bottom"/>
            <w:hideMark/>
          </w:tcPr>
          <w:p w14:paraId="4990A5AF"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14%</w:t>
            </w:r>
          </w:p>
        </w:tc>
      </w:tr>
      <w:tr w:rsidR="003B2F93" w:rsidRPr="00163159" w14:paraId="0B217908" w14:textId="77777777" w:rsidTr="003B2F93">
        <w:trPr>
          <w:trHeight w:val="300"/>
        </w:trPr>
        <w:tc>
          <w:tcPr>
            <w:tcW w:w="2319" w:type="dxa"/>
            <w:tcBorders>
              <w:top w:val="nil"/>
              <w:left w:val="nil"/>
              <w:bottom w:val="single" w:sz="4" w:space="0" w:color="808080"/>
              <w:right w:val="nil"/>
            </w:tcBorders>
            <w:shd w:val="clear" w:color="auto" w:fill="auto"/>
            <w:noWrap/>
            <w:vAlign w:val="bottom"/>
            <w:hideMark/>
          </w:tcPr>
          <w:p w14:paraId="6DD658EB"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45 to 59 years</w:t>
            </w:r>
          </w:p>
        </w:tc>
        <w:tc>
          <w:tcPr>
            <w:tcW w:w="1296" w:type="dxa"/>
            <w:tcBorders>
              <w:top w:val="nil"/>
              <w:left w:val="nil"/>
              <w:bottom w:val="single" w:sz="4" w:space="0" w:color="808080"/>
              <w:right w:val="single" w:sz="2" w:space="0" w:color="auto"/>
            </w:tcBorders>
            <w:shd w:val="clear" w:color="auto" w:fill="auto"/>
            <w:noWrap/>
            <w:vAlign w:val="bottom"/>
            <w:hideMark/>
          </w:tcPr>
          <w:p w14:paraId="531E1533" w14:textId="05D47D46"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26%</w:t>
            </w:r>
          </w:p>
        </w:tc>
        <w:tc>
          <w:tcPr>
            <w:tcW w:w="1350" w:type="dxa"/>
            <w:tcBorders>
              <w:top w:val="nil"/>
              <w:left w:val="single" w:sz="2" w:space="0" w:color="auto"/>
              <w:bottom w:val="single" w:sz="4" w:space="0" w:color="808080"/>
              <w:right w:val="nil"/>
            </w:tcBorders>
            <w:shd w:val="clear" w:color="auto" w:fill="auto"/>
            <w:noWrap/>
            <w:vAlign w:val="bottom"/>
            <w:hideMark/>
          </w:tcPr>
          <w:p w14:paraId="442019AC" w14:textId="2A784E0C"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28%</w:t>
            </w:r>
          </w:p>
        </w:tc>
        <w:tc>
          <w:tcPr>
            <w:tcW w:w="1256" w:type="dxa"/>
            <w:tcBorders>
              <w:top w:val="nil"/>
              <w:left w:val="nil"/>
              <w:bottom w:val="single" w:sz="4" w:space="0" w:color="808080"/>
              <w:right w:val="nil"/>
            </w:tcBorders>
            <w:shd w:val="clear" w:color="auto" w:fill="auto"/>
            <w:noWrap/>
            <w:vAlign w:val="bottom"/>
            <w:hideMark/>
          </w:tcPr>
          <w:p w14:paraId="1E85B4A7"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22%</w:t>
            </w:r>
          </w:p>
        </w:tc>
        <w:tc>
          <w:tcPr>
            <w:tcW w:w="1362" w:type="dxa"/>
            <w:gridSpan w:val="2"/>
            <w:tcBorders>
              <w:top w:val="nil"/>
              <w:left w:val="nil"/>
              <w:bottom w:val="single" w:sz="4" w:space="0" w:color="808080"/>
              <w:right w:val="nil"/>
            </w:tcBorders>
            <w:shd w:val="clear" w:color="auto" w:fill="auto"/>
            <w:noWrap/>
            <w:vAlign w:val="bottom"/>
            <w:hideMark/>
          </w:tcPr>
          <w:p w14:paraId="0A7023FE"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20%</w:t>
            </w:r>
          </w:p>
        </w:tc>
      </w:tr>
      <w:tr w:rsidR="003B2F93" w:rsidRPr="00163159" w14:paraId="2CB6C172" w14:textId="77777777" w:rsidTr="003B2F93">
        <w:trPr>
          <w:trHeight w:val="300"/>
        </w:trPr>
        <w:tc>
          <w:tcPr>
            <w:tcW w:w="2319" w:type="dxa"/>
            <w:tcBorders>
              <w:top w:val="nil"/>
              <w:left w:val="nil"/>
              <w:bottom w:val="single" w:sz="4" w:space="0" w:color="808080"/>
              <w:right w:val="nil"/>
            </w:tcBorders>
            <w:shd w:val="clear" w:color="auto" w:fill="auto"/>
            <w:noWrap/>
            <w:vAlign w:val="bottom"/>
            <w:hideMark/>
          </w:tcPr>
          <w:p w14:paraId="1E2CCC66"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60 to 74 years</w:t>
            </w:r>
          </w:p>
        </w:tc>
        <w:tc>
          <w:tcPr>
            <w:tcW w:w="1296" w:type="dxa"/>
            <w:tcBorders>
              <w:top w:val="nil"/>
              <w:left w:val="nil"/>
              <w:bottom w:val="single" w:sz="4" w:space="0" w:color="808080"/>
              <w:right w:val="single" w:sz="2" w:space="0" w:color="auto"/>
            </w:tcBorders>
            <w:shd w:val="clear" w:color="auto" w:fill="auto"/>
            <w:noWrap/>
            <w:vAlign w:val="bottom"/>
            <w:hideMark/>
          </w:tcPr>
          <w:p w14:paraId="37AA2A24" w14:textId="1A6DEFDF"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16%</w:t>
            </w:r>
          </w:p>
        </w:tc>
        <w:tc>
          <w:tcPr>
            <w:tcW w:w="1350" w:type="dxa"/>
            <w:tcBorders>
              <w:top w:val="nil"/>
              <w:left w:val="single" w:sz="2" w:space="0" w:color="auto"/>
              <w:bottom w:val="single" w:sz="4" w:space="0" w:color="808080"/>
              <w:right w:val="nil"/>
            </w:tcBorders>
            <w:shd w:val="clear" w:color="auto" w:fill="auto"/>
            <w:noWrap/>
            <w:vAlign w:val="bottom"/>
            <w:hideMark/>
          </w:tcPr>
          <w:p w14:paraId="161F6CB0" w14:textId="75A07E85"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17%</w:t>
            </w:r>
          </w:p>
        </w:tc>
        <w:tc>
          <w:tcPr>
            <w:tcW w:w="1256" w:type="dxa"/>
            <w:tcBorders>
              <w:top w:val="nil"/>
              <w:left w:val="nil"/>
              <w:bottom w:val="single" w:sz="4" w:space="0" w:color="808080"/>
              <w:right w:val="nil"/>
            </w:tcBorders>
            <w:shd w:val="clear" w:color="auto" w:fill="auto"/>
            <w:noWrap/>
            <w:vAlign w:val="bottom"/>
            <w:hideMark/>
          </w:tcPr>
          <w:p w14:paraId="4E996BF6"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13%</w:t>
            </w:r>
          </w:p>
        </w:tc>
        <w:tc>
          <w:tcPr>
            <w:tcW w:w="1362" w:type="dxa"/>
            <w:gridSpan w:val="2"/>
            <w:tcBorders>
              <w:top w:val="nil"/>
              <w:left w:val="nil"/>
              <w:bottom w:val="single" w:sz="4" w:space="0" w:color="808080"/>
              <w:right w:val="nil"/>
            </w:tcBorders>
            <w:shd w:val="clear" w:color="auto" w:fill="auto"/>
            <w:noWrap/>
            <w:vAlign w:val="bottom"/>
            <w:hideMark/>
          </w:tcPr>
          <w:p w14:paraId="6ECF95E7"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11%</w:t>
            </w:r>
          </w:p>
        </w:tc>
      </w:tr>
      <w:tr w:rsidR="003B2F93" w:rsidRPr="00163159" w14:paraId="02F84D49" w14:textId="77777777" w:rsidTr="003B2F93">
        <w:trPr>
          <w:trHeight w:val="300"/>
        </w:trPr>
        <w:tc>
          <w:tcPr>
            <w:tcW w:w="2319" w:type="dxa"/>
            <w:tcBorders>
              <w:top w:val="nil"/>
              <w:left w:val="nil"/>
              <w:bottom w:val="single" w:sz="4" w:space="0" w:color="auto"/>
              <w:right w:val="nil"/>
            </w:tcBorders>
            <w:shd w:val="clear" w:color="auto" w:fill="auto"/>
            <w:noWrap/>
            <w:vAlign w:val="bottom"/>
            <w:hideMark/>
          </w:tcPr>
          <w:p w14:paraId="7A27F612"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75 years and over</w:t>
            </w:r>
          </w:p>
        </w:tc>
        <w:tc>
          <w:tcPr>
            <w:tcW w:w="1296" w:type="dxa"/>
            <w:tcBorders>
              <w:top w:val="nil"/>
              <w:left w:val="nil"/>
              <w:bottom w:val="single" w:sz="4" w:space="0" w:color="auto"/>
              <w:right w:val="single" w:sz="2" w:space="0" w:color="auto"/>
            </w:tcBorders>
            <w:shd w:val="clear" w:color="auto" w:fill="auto"/>
            <w:noWrap/>
            <w:vAlign w:val="bottom"/>
            <w:hideMark/>
          </w:tcPr>
          <w:p w14:paraId="6A181190" w14:textId="0E7F956E"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8%</w:t>
            </w:r>
          </w:p>
        </w:tc>
        <w:tc>
          <w:tcPr>
            <w:tcW w:w="1350" w:type="dxa"/>
            <w:tcBorders>
              <w:top w:val="nil"/>
              <w:left w:val="single" w:sz="2" w:space="0" w:color="auto"/>
              <w:bottom w:val="single" w:sz="4" w:space="0" w:color="auto"/>
              <w:right w:val="nil"/>
            </w:tcBorders>
            <w:shd w:val="clear" w:color="auto" w:fill="auto"/>
            <w:noWrap/>
            <w:vAlign w:val="bottom"/>
            <w:hideMark/>
          </w:tcPr>
          <w:p w14:paraId="3866B96C" w14:textId="30A8645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9%</w:t>
            </w:r>
          </w:p>
        </w:tc>
        <w:tc>
          <w:tcPr>
            <w:tcW w:w="1256" w:type="dxa"/>
            <w:tcBorders>
              <w:top w:val="nil"/>
              <w:left w:val="nil"/>
              <w:bottom w:val="single" w:sz="4" w:space="0" w:color="auto"/>
              <w:right w:val="nil"/>
            </w:tcBorders>
            <w:shd w:val="clear" w:color="auto" w:fill="auto"/>
            <w:noWrap/>
            <w:vAlign w:val="bottom"/>
            <w:hideMark/>
          </w:tcPr>
          <w:p w14:paraId="57E44497"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6%</w:t>
            </w:r>
          </w:p>
        </w:tc>
        <w:tc>
          <w:tcPr>
            <w:tcW w:w="1362" w:type="dxa"/>
            <w:gridSpan w:val="2"/>
            <w:tcBorders>
              <w:top w:val="nil"/>
              <w:left w:val="nil"/>
              <w:bottom w:val="single" w:sz="4" w:space="0" w:color="auto"/>
              <w:right w:val="nil"/>
            </w:tcBorders>
            <w:shd w:val="clear" w:color="auto" w:fill="auto"/>
            <w:noWrap/>
            <w:vAlign w:val="bottom"/>
            <w:hideMark/>
          </w:tcPr>
          <w:p w14:paraId="6B284552"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5%</w:t>
            </w:r>
          </w:p>
        </w:tc>
      </w:tr>
      <w:tr w:rsidR="003B2F93" w:rsidRPr="00163159" w14:paraId="163DEF12" w14:textId="77777777" w:rsidTr="003B2F93">
        <w:trPr>
          <w:trHeight w:val="300"/>
        </w:trPr>
        <w:tc>
          <w:tcPr>
            <w:tcW w:w="2319" w:type="dxa"/>
            <w:tcBorders>
              <w:top w:val="nil"/>
              <w:left w:val="nil"/>
              <w:bottom w:val="single" w:sz="4" w:space="0" w:color="auto"/>
              <w:right w:val="nil"/>
            </w:tcBorders>
            <w:shd w:val="clear" w:color="auto" w:fill="auto"/>
            <w:noWrap/>
            <w:vAlign w:val="bottom"/>
            <w:hideMark/>
          </w:tcPr>
          <w:p w14:paraId="0AB98B9E"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Median age</w:t>
            </w:r>
          </w:p>
        </w:tc>
        <w:tc>
          <w:tcPr>
            <w:tcW w:w="1296" w:type="dxa"/>
            <w:tcBorders>
              <w:top w:val="nil"/>
              <w:left w:val="nil"/>
              <w:bottom w:val="single" w:sz="4" w:space="0" w:color="auto"/>
              <w:right w:val="single" w:sz="2" w:space="0" w:color="auto"/>
            </w:tcBorders>
            <w:shd w:val="clear" w:color="auto" w:fill="auto"/>
            <w:noWrap/>
            <w:vAlign w:val="bottom"/>
            <w:hideMark/>
          </w:tcPr>
          <w:p w14:paraId="0B2DD251" w14:textId="0890E258"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46</w:t>
            </w:r>
          </w:p>
        </w:tc>
        <w:tc>
          <w:tcPr>
            <w:tcW w:w="1350" w:type="dxa"/>
            <w:tcBorders>
              <w:top w:val="nil"/>
              <w:left w:val="single" w:sz="2" w:space="0" w:color="auto"/>
              <w:bottom w:val="single" w:sz="4" w:space="0" w:color="auto"/>
              <w:right w:val="nil"/>
            </w:tcBorders>
            <w:shd w:val="clear" w:color="auto" w:fill="auto"/>
            <w:noWrap/>
            <w:vAlign w:val="bottom"/>
            <w:hideMark/>
          </w:tcPr>
          <w:p w14:paraId="77EA3472" w14:textId="6DD47B7D"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47</w:t>
            </w:r>
          </w:p>
        </w:tc>
        <w:tc>
          <w:tcPr>
            <w:tcW w:w="1256" w:type="dxa"/>
            <w:tcBorders>
              <w:top w:val="nil"/>
              <w:left w:val="nil"/>
              <w:bottom w:val="single" w:sz="4" w:space="0" w:color="auto"/>
              <w:right w:val="nil"/>
            </w:tcBorders>
            <w:shd w:val="clear" w:color="auto" w:fill="auto"/>
            <w:noWrap/>
            <w:vAlign w:val="bottom"/>
            <w:hideMark/>
          </w:tcPr>
          <w:p w14:paraId="6EEAF1D9"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39</w:t>
            </w:r>
          </w:p>
        </w:tc>
        <w:tc>
          <w:tcPr>
            <w:tcW w:w="1362" w:type="dxa"/>
            <w:gridSpan w:val="2"/>
            <w:tcBorders>
              <w:top w:val="nil"/>
              <w:left w:val="nil"/>
              <w:bottom w:val="single" w:sz="4" w:space="0" w:color="auto"/>
              <w:right w:val="nil"/>
            </w:tcBorders>
            <w:shd w:val="clear" w:color="auto" w:fill="auto"/>
            <w:noWrap/>
            <w:vAlign w:val="bottom"/>
            <w:hideMark/>
          </w:tcPr>
          <w:p w14:paraId="464D157B"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35</w:t>
            </w:r>
          </w:p>
        </w:tc>
      </w:tr>
      <w:tr w:rsidR="003B2F93" w:rsidRPr="00163159" w14:paraId="543941C3" w14:textId="77777777" w:rsidTr="003B2F93">
        <w:trPr>
          <w:trHeight w:val="300"/>
        </w:trPr>
        <w:tc>
          <w:tcPr>
            <w:tcW w:w="2319" w:type="dxa"/>
            <w:tcBorders>
              <w:top w:val="nil"/>
              <w:left w:val="nil"/>
              <w:bottom w:val="single" w:sz="4" w:space="0" w:color="auto"/>
              <w:right w:val="nil"/>
            </w:tcBorders>
            <w:shd w:val="clear" w:color="auto" w:fill="auto"/>
            <w:noWrap/>
            <w:vAlign w:val="bottom"/>
            <w:hideMark/>
          </w:tcPr>
          <w:p w14:paraId="610941C8" w14:textId="77777777" w:rsidR="003B2F93" w:rsidRPr="00163159" w:rsidRDefault="003B2F93" w:rsidP="00BE77C6">
            <w:pPr>
              <w:spacing w:line="360" w:lineRule="auto"/>
              <w:rPr>
                <w:rFonts w:eastAsia="Times New Roman" w:cs="Times New Roman"/>
                <w:color w:val="000000"/>
                <w:sz w:val="18"/>
                <w:szCs w:val="18"/>
              </w:rPr>
            </w:pPr>
            <w:r w:rsidRPr="00163159">
              <w:rPr>
                <w:rFonts w:eastAsia="Times New Roman" w:cs="Times New Roman"/>
                <w:color w:val="000000"/>
                <w:sz w:val="18"/>
                <w:szCs w:val="18"/>
              </w:rPr>
              <w:t>Total population</w:t>
            </w:r>
          </w:p>
        </w:tc>
        <w:tc>
          <w:tcPr>
            <w:tcW w:w="1296" w:type="dxa"/>
            <w:tcBorders>
              <w:top w:val="nil"/>
              <w:left w:val="nil"/>
              <w:bottom w:val="single" w:sz="4" w:space="0" w:color="auto"/>
              <w:right w:val="single" w:sz="2" w:space="0" w:color="auto"/>
            </w:tcBorders>
            <w:shd w:val="clear" w:color="auto" w:fill="auto"/>
            <w:noWrap/>
            <w:vAlign w:val="bottom"/>
            <w:hideMark/>
          </w:tcPr>
          <w:p w14:paraId="3B2D70FF" w14:textId="1BB5BA5D"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10,825</w:t>
            </w:r>
          </w:p>
        </w:tc>
        <w:tc>
          <w:tcPr>
            <w:tcW w:w="1350" w:type="dxa"/>
            <w:tcBorders>
              <w:top w:val="nil"/>
              <w:left w:val="single" w:sz="2" w:space="0" w:color="auto"/>
              <w:bottom w:val="single" w:sz="4" w:space="0" w:color="auto"/>
              <w:right w:val="nil"/>
            </w:tcBorders>
            <w:shd w:val="clear" w:color="auto" w:fill="auto"/>
            <w:noWrap/>
            <w:vAlign w:val="bottom"/>
            <w:hideMark/>
          </w:tcPr>
          <w:p w14:paraId="5954AA39" w14:textId="083F5B2C"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10,748</w:t>
            </w:r>
          </w:p>
        </w:tc>
        <w:tc>
          <w:tcPr>
            <w:tcW w:w="1256" w:type="dxa"/>
            <w:tcBorders>
              <w:top w:val="nil"/>
              <w:left w:val="nil"/>
              <w:bottom w:val="single" w:sz="4" w:space="0" w:color="auto"/>
              <w:right w:val="nil"/>
            </w:tcBorders>
            <w:shd w:val="clear" w:color="auto" w:fill="auto"/>
            <w:noWrap/>
            <w:vAlign w:val="bottom"/>
            <w:hideMark/>
          </w:tcPr>
          <w:p w14:paraId="20132067"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720,143</w:t>
            </w:r>
          </w:p>
        </w:tc>
        <w:tc>
          <w:tcPr>
            <w:tcW w:w="1362" w:type="dxa"/>
            <w:gridSpan w:val="2"/>
            <w:tcBorders>
              <w:top w:val="nil"/>
              <w:left w:val="nil"/>
              <w:bottom w:val="single" w:sz="4" w:space="0" w:color="auto"/>
              <w:right w:val="nil"/>
            </w:tcBorders>
            <w:shd w:val="clear" w:color="auto" w:fill="auto"/>
            <w:noWrap/>
            <w:vAlign w:val="bottom"/>
            <w:hideMark/>
          </w:tcPr>
          <w:p w14:paraId="18CEE523" w14:textId="77777777" w:rsidR="003B2F93" w:rsidRPr="00163159" w:rsidRDefault="003B2F93" w:rsidP="00BE77C6">
            <w:pPr>
              <w:spacing w:line="360" w:lineRule="auto"/>
              <w:jc w:val="right"/>
              <w:rPr>
                <w:rFonts w:eastAsia="Times New Roman" w:cs="Times New Roman"/>
                <w:color w:val="000000"/>
                <w:sz w:val="18"/>
                <w:szCs w:val="18"/>
              </w:rPr>
            </w:pPr>
            <w:r w:rsidRPr="00163159">
              <w:rPr>
                <w:rFonts w:eastAsia="Times New Roman" w:cs="Times New Roman"/>
                <w:color w:val="000000"/>
                <w:sz w:val="18"/>
                <w:szCs w:val="18"/>
              </w:rPr>
              <w:t>37,330,448</w:t>
            </w:r>
          </w:p>
        </w:tc>
      </w:tr>
      <w:tr w:rsidR="000C7B8B" w:rsidRPr="00163159" w14:paraId="1C741EBD" w14:textId="77777777" w:rsidTr="003B2F93">
        <w:trPr>
          <w:gridAfter w:val="1"/>
          <w:wAfter w:w="540" w:type="dxa"/>
          <w:trHeight w:val="300"/>
        </w:trPr>
        <w:tc>
          <w:tcPr>
            <w:tcW w:w="7043" w:type="dxa"/>
            <w:gridSpan w:val="5"/>
            <w:tcBorders>
              <w:top w:val="single" w:sz="4" w:space="0" w:color="auto"/>
              <w:left w:val="nil"/>
              <w:bottom w:val="nil"/>
              <w:right w:val="nil"/>
            </w:tcBorders>
            <w:shd w:val="clear" w:color="auto" w:fill="auto"/>
            <w:noWrap/>
            <w:vAlign w:val="bottom"/>
            <w:hideMark/>
          </w:tcPr>
          <w:p w14:paraId="5111412B" w14:textId="77777777" w:rsidR="000A74D8" w:rsidRPr="00163159" w:rsidRDefault="000A74D8" w:rsidP="000A74D8">
            <w:pPr>
              <w:spacing w:line="240" w:lineRule="auto"/>
              <w:rPr>
                <w:rFonts w:eastAsia="Times New Roman" w:cs="Times New Roman"/>
                <w:iCs/>
                <w:color w:val="000000"/>
                <w:sz w:val="18"/>
                <w:szCs w:val="16"/>
              </w:rPr>
            </w:pPr>
          </w:p>
          <w:p w14:paraId="0B93AEF4" w14:textId="27382724" w:rsidR="000C7B8B" w:rsidRPr="00163159" w:rsidRDefault="000C7B8B" w:rsidP="000A74D8">
            <w:pPr>
              <w:spacing w:line="240" w:lineRule="auto"/>
              <w:rPr>
                <w:rFonts w:eastAsia="Times New Roman" w:cs="Times New Roman"/>
                <w:iCs/>
                <w:color w:val="000000"/>
                <w:sz w:val="18"/>
                <w:szCs w:val="16"/>
              </w:rPr>
            </w:pPr>
            <w:r w:rsidRPr="00163159">
              <w:rPr>
                <w:rFonts w:eastAsia="Times New Roman" w:cs="Times New Roman"/>
                <w:iCs/>
                <w:color w:val="000000"/>
                <w:sz w:val="18"/>
                <w:szCs w:val="16"/>
              </w:rPr>
              <w:t xml:space="preserve">Source: 2000 US Census SF1, </w:t>
            </w:r>
            <w:r w:rsidR="0020362E">
              <w:rPr>
                <w:rFonts w:eastAsia="Times New Roman" w:cs="Times New Roman"/>
                <w:iCs/>
                <w:color w:val="000000"/>
                <w:sz w:val="18"/>
                <w:szCs w:val="16"/>
              </w:rPr>
              <w:t>2007-2011</w:t>
            </w:r>
            <w:r w:rsidRPr="00163159">
              <w:rPr>
                <w:rFonts w:eastAsia="Times New Roman" w:cs="Times New Roman"/>
                <w:iCs/>
                <w:color w:val="000000"/>
                <w:sz w:val="18"/>
                <w:szCs w:val="16"/>
              </w:rPr>
              <w:t xml:space="preserve"> American Community Survey</w:t>
            </w:r>
          </w:p>
          <w:p w14:paraId="339CABB5" w14:textId="77777777" w:rsidR="00F4401E" w:rsidRPr="00163159" w:rsidRDefault="00F4401E" w:rsidP="000A74D8">
            <w:pPr>
              <w:spacing w:line="240" w:lineRule="auto"/>
              <w:rPr>
                <w:rFonts w:eastAsia="Times New Roman" w:cs="Times New Roman"/>
                <w:iCs/>
                <w:color w:val="000000"/>
                <w:sz w:val="18"/>
                <w:szCs w:val="16"/>
              </w:rPr>
            </w:pPr>
          </w:p>
        </w:tc>
      </w:tr>
    </w:tbl>
    <w:p w14:paraId="1D5AF43C" w14:textId="77777777" w:rsidR="00D25635" w:rsidRPr="00163159" w:rsidRDefault="00D25635" w:rsidP="00067077">
      <w:pPr>
        <w:rPr>
          <w:sz w:val="14"/>
        </w:rPr>
      </w:pPr>
    </w:p>
    <w:p w14:paraId="45586203" w14:textId="0D0C1346" w:rsidR="00D25635" w:rsidRPr="00163159" w:rsidRDefault="00D25635" w:rsidP="00067077">
      <w:pPr>
        <w:pStyle w:val="heading10"/>
        <w:rPr>
          <w:color w:val="0B5095"/>
        </w:rPr>
      </w:pPr>
      <w:r w:rsidRPr="00163159">
        <w:rPr>
          <w:color w:val="0B5095"/>
        </w:rPr>
        <w:t>Housing</w:t>
      </w:r>
      <w:r w:rsidR="001D7056" w:rsidRPr="00163159">
        <w:rPr>
          <w:color w:val="0B5095"/>
        </w:rPr>
        <w:t xml:space="preserve"> Characteristics</w:t>
      </w:r>
    </w:p>
    <w:p w14:paraId="6AB4DA1D" w14:textId="77777777" w:rsidR="00D25635" w:rsidRPr="00163159" w:rsidRDefault="00D25635" w:rsidP="00067077">
      <w:pPr>
        <w:rPr>
          <w:b/>
          <w:u w:val="single"/>
        </w:rPr>
      </w:pPr>
    </w:p>
    <w:p w14:paraId="37208040" w14:textId="77777777" w:rsidR="00D25635" w:rsidRPr="00163159" w:rsidRDefault="00D25635" w:rsidP="00067077">
      <w:pPr>
        <w:rPr>
          <w:b/>
          <w:color w:val="0B5095"/>
          <w:sz w:val="24"/>
          <w:szCs w:val="28"/>
        </w:rPr>
      </w:pPr>
      <w:r w:rsidRPr="00163159">
        <w:rPr>
          <w:b/>
          <w:color w:val="0B5095"/>
          <w:sz w:val="24"/>
          <w:szCs w:val="28"/>
        </w:rPr>
        <w:t xml:space="preserve">Physical Characteristics </w:t>
      </w:r>
    </w:p>
    <w:p w14:paraId="03E136EF" w14:textId="5FFDE3FD" w:rsidR="00D346EB" w:rsidRPr="00163159" w:rsidRDefault="00042115" w:rsidP="00A22844">
      <w:r w:rsidRPr="00163159">
        <w:t>According to California Depart</w:t>
      </w:r>
      <w:r w:rsidR="00075DA1" w:rsidRPr="00163159">
        <w:t>ment of Finance (DOF) estimates,</w:t>
      </w:r>
      <w:r w:rsidRPr="00163159">
        <w:t xml:space="preserve"> </w:t>
      </w:r>
      <w:r w:rsidR="00853231" w:rsidRPr="00163159">
        <w:t>Hillsborough</w:t>
      </w:r>
      <w:r w:rsidRPr="00163159">
        <w:t xml:space="preserve"> had </w:t>
      </w:r>
      <w:r w:rsidR="00075DA1" w:rsidRPr="00163159">
        <w:t xml:space="preserve">a total of </w:t>
      </w:r>
      <w:r w:rsidR="00A22844" w:rsidRPr="00163159">
        <w:t>3,945</w:t>
      </w:r>
      <w:r w:rsidR="001624C2" w:rsidRPr="00163159">
        <w:t xml:space="preserve"> </w:t>
      </w:r>
      <w:r w:rsidR="00075DA1" w:rsidRPr="00163159">
        <w:t>housing unit</w:t>
      </w:r>
      <w:r w:rsidR="00A92637" w:rsidRPr="00163159">
        <w:t>s</w:t>
      </w:r>
      <w:r w:rsidR="00AE265C" w:rsidRPr="00163159">
        <w:t xml:space="preserve"> as of January 2013</w:t>
      </w:r>
      <w:r w:rsidR="001624C2" w:rsidRPr="00163159">
        <w:t xml:space="preserve">, </w:t>
      </w:r>
      <w:r w:rsidR="00AE265C" w:rsidRPr="00163159">
        <w:t xml:space="preserve">which is </w:t>
      </w:r>
      <w:r w:rsidR="001624C2" w:rsidRPr="00163159">
        <w:t xml:space="preserve">a </w:t>
      </w:r>
      <w:r w:rsidR="00A22844" w:rsidRPr="00163159">
        <w:t>3.8</w:t>
      </w:r>
      <w:r w:rsidR="001624C2" w:rsidRPr="00163159">
        <w:t xml:space="preserve"> percent increase since 2000</w:t>
      </w:r>
      <w:r w:rsidR="00075DA1" w:rsidRPr="00163159">
        <w:t xml:space="preserve"> when there</w:t>
      </w:r>
      <w:r w:rsidR="00CF499F">
        <w:t xml:space="preserve"> were</w:t>
      </w:r>
      <w:r w:rsidR="00075DA1" w:rsidRPr="00163159">
        <w:t xml:space="preserve"> </w:t>
      </w:r>
      <w:r w:rsidR="00A22844" w:rsidRPr="00163159">
        <w:t xml:space="preserve">3,804 </w:t>
      </w:r>
      <w:r w:rsidR="00075DA1" w:rsidRPr="00163159">
        <w:t xml:space="preserve">housing units in </w:t>
      </w:r>
      <w:r w:rsidR="00853231" w:rsidRPr="00163159">
        <w:t>Hillsborough</w:t>
      </w:r>
      <w:r w:rsidR="001624C2" w:rsidRPr="00163159">
        <w:t xml:space="preserve">. </w:t>
      </w:r>
      <w:r w:rsidR="00CF499F">
        <w:t>Almost all</w:t>
      </w:r>
      <w:r w:rsidR="00A22844" w:rsidRPr="00163159">
        <w:t xml:space="preserve"> homes in Hillsborough are single-family deta</w:t>
      </w:r>
      <w:r w:rsidR="00CF499F">
        <w:t xml:space="preserve">ched, as per the zoning code. The schools have been </w:t>
      </w:r>
      <w:r w:rsidR="00A22844" w:rsidRPr="00163159">
        <w:t>specially zoned to provide on-site worker housing,</w:t>
      </w:r>
      <w:r w:rsidR="00CF499F">
        <w:t xml:space="preserve"> however, and there are some second units</w:t>
      </w:r>
      <w:r w:rsidR="00A22844" w:rsidRPr="00163159">
        <w:t>. Hillsborough has no apartment buildings.</w:t>
      </w:r>
    </w:p>
    <w:p w14:paraId="7C02631F" w14:textId="77777777" w:rsidR="006F316F" w:rsidRDefault="006F316F" w:rsidP="00067077">
      <w:pPr>
        <w:pStyle w:val="21ElementsText"/>
      </w:pPr>
    </w:p>
    <w:p w14:paraId="0A501B94" w14:textId="24E6AAE4" w:rsidR="00D25635" w:rsidRDefault="006F316F" w:rsidP="00067077">
      <w:pPr>
        <w:pStyle w:val="21ElementsText"/>
      </w:pPr>
      <w:r>
        <w:t xml:space="preserve">The table below shows housing units in </w:t>
      </w:r>
      <w:r w:rsidR="00853231">
        <w:t>Hillsborough</w:t>
      </w:r>
      <w:r>
        <w:t xml:space="preserve"> compared to San Mateo County as a whole and the State of California. The pie chart </w:t>
      </w:r>
      <w:r w:rsidR="00EE4FFD">
        <w:t xml:space="preserve">that follows </w:t>
      </w:r>
      <w:r>
        <w:t xml:space="preserve">shows the distribution of housing units by residential building type in </w:t>
      </w:r>
      <w:r w:rsidR="00853231">
        <w:t>Hillsborough</w:t>
      </w:r>
      <w:r>
        <w:t>.</w:t>
      </w:r>
    </w:p>
    <w:p w14:paraId="58DF62F0" w14:textId="0CE366C2" w:rsidR="00075DA1" w:rsidRDefault="006F316F" w:rsidP="006F316F">
      <w:pPr>
        <w:spacing w:line="240" w:lineRule="auto"/>
      </w:pPr>
      <w:r>
        <w:br w:type="page"/>
      </w:r>
    </w:p>
    <w:tbl>
      <w:tblPr>
        <w:tblW w:w="8385" w:type="dxa"/>
        <w:tblInd w:w="93" w:type="dxa"/>
        <w:tblLayout w:type="fixed"/>
        <w:tblLook w:val="04A0" w:firstRow="1" w:lastRow="0" w:firstColumn="1" w:lastColumn="0" w:noHBand="0" w:noVBand="1"/>
      </w:tblPr>
      <w:tblGrid>
        <w:gridCol w:w="825"/>
        <w:gridCol w:w="958"/>
        <w:gridCol w:w="1292"/>
        <w:gridCol w:w="1260"/>
        <w:gridCol w:w="1350"/>
        <w:gridCol w:w="1437"/>
        <w:gridCol w:w="1263"/>
      </w:tblGrid>
      <w:tr w:rsidR="003B2F93" w:rsidRPr="00D33473" w14:paraId="76689F1E" w14:textId="77777777" w:rsidTr="003B2F93">
        <w:trPr>
          <w:trHeight w:val="300"/>
        </w:trPr>
        <w:tc>
          <w:tcPr>
            <w:tcW w:w="8385" w:type="dxa"/>
            <w:gridSpan w:val="7"/>
            <w:shd w:val="clear" w:color="000000" w:fill="000000"/>
            <w:noWrap/>
            <w:vAlign w:val="bottom"/>
            <w:hideMark/>
          </w:tcPr>
          <w:p w14:paraId="7DD1D86C" w14:textId="77777777" w:rsidR="003B2F93" w:rsidRPr="00D33473" w:rsidRDefault="003B2F93" w:rsidP="003B2F93">
            <w:pPr>
              <w:rPr>
                <w:rFonts w:eastAsia="Times New Roman" w:cs="Times New Roman"/>
                <w:b/>
                <w:bCs/>
                <w:color w:val="FFFFFF"/>
                <w:sz w:val="20"/>
                <w:szCs w:val="20"/>
              </w:rPr>
            </w:pPr>
            <w:r w:rsidRPr="00D33473">
              <w:rPr>
                <w:rFonts w:eastAsia="Times New Roman" w:cs="Times New Roman"/>
                <w:b/>
                <w:bCs/>
                <w:color w:val="FFFFFF"/>
                <w:sz w:val="20"/>
                <w:szCs w:val="20"/>
              </w:rPr>
              <w:t>Total Housing Units</w:t>
            </w:r>
            <w:r>
              <w:rPr>
                <w:rFonts w:eastAsia="Times New Roman" w:cs="Times New Roman"/>
                <w:b/>
                <w:bCs/>
                <w:color w:val="FFFFFF"/>
                <w:sz w:val="20"/>
                <w:szCs w:val="20"/>
              </w:rPr>
              <w:t xml:space="preserve"> (2000, 2010 and 2013)</w:t>
            </w:r>
          </w:p>
        </w:tc>
      </w:tr>
      <w:tr w:rsidR="003B2F93" w:rsidRPr="00D33473" w14:paraId="63DFAE75" w14:textId="77777777" w:rsidTr="003B2F93">
        <w:trPr>
          <w:trHeight w:val="300"/>
        </w:trPr>
        <w:tc>
          <w:tcPr>
            <w:tcW w:w="825" w:type="dxa"/>
            <w:shd w:val="clear" w:color="auto" w:fill="auto"/>
            <w:noWrap/>
            <w:vAlign w:val="bottom"/>
            <w:hideMark/>
          </w:tcPr>
          <w:p w14:paraId="26AD33B7" w14:textId="77777777" w:rsidR="003B2F93" w:rsidRPr="00D33473" w:rsidRDefault="003B2F93" w:rsidP="003B2F93">
            <w:pPr>
              <w:spacing w:line="240" w:lineRule="auto"/>
              <w:rPr>
                <w:rFonts w:eastAsia="Times New Roman" w:cs="Times New Roman"/>
                <w:color w:val="000000"/>
                <w:szCs w:val="22"/>
              </w:rPr>
            </w:pPr>
          </w:p>
        </w:tc>
        <w:tc>
          <w:tcPr>
            <w:tcW w:w="2250" w:type="dxa"/>
            <w:gridSpan w:val="2"/>
            <w:shd w:val="clear" w:color="auto" w:fill="auto"/>
            <w:noWrap/>
            <w:vAlign w:val="center"/>
            <w:hideMark/>
          </w:tcPr>
          <w:p w14:paraId="5DA5CA05" w14:textId="77777777" w:rsidR="003B2F93" w:rsidRPr="00170FD8" w:rsidRDefault="003B2F93" w:rsidP="003B2F93">
            <w:pPr>
              <w:spacing w:line="240" w:lineRule="auto"/>
              <w:jc w:val="center"/>
              <w:rPr>
                <w:rFonts w:eastAsia="Times New Roman" w:cs="Times New Roman"/>
                <w:b/>
                <w:bCs/>
                <w:color w:val="000000"/>
                <w:sz w:val="10"/>
                <w:szCs w:val="18"/>
              </w:rPr>
            </w:pPr>
          </w:p>
          <w:p w14:paraId="3C441A27" w14:textId="3D862947" w:rsidR="003B2F93" w:rsidRPr="00170FD8" w:rsidRDefault="003B2F93" w:rsidP="003B2F93">
            <w:pPr>
              <w:spacing w:line="240" w:lineRule="auto"/>
              <w:jc w:val="center"/>
              <w:rPr>
                <w:rFonts w:eastAsia="Times New Roman" w:cs="Times New Roman"/>
                <w:b/>
                <w:bCs/>
                <w:color w:val="000000"/>
                <w:sz w:val="18"/>
                <w:szCs w:val="18"/>
              </w:rPr>
            </w:pPr>
            <w:r>
              <w:rPr>
                <w:rFonts w:eastAsia="Times New Roman" w:cs="Times New Roman"/>
                <w:b/>
                <w:bCs/>
                <w:color w:val="000000"/>
                <w:sz w:val="18"/>
                <w:szCs w:val="18"/>
              </w:rPr>
              <w:t>Town of Hillsborough</w:t>
            </w:r>
          </w:p>
        </w:tc>
        <w:tc>
          <w:tcPr>
            <w:tcW w:w="2610" w:type="dxa"/>
            <w:gridSpan w:val="2"/>
            <w:shd w:val="clear" w:color="auto" w:fill="auto"/>
            <w:noWrap/>
            <w:vAlign w:val="center"/>
            <w:hideMark/>
          </w:tcPr>
          <w:p w14:paraId="1BAC1912" w14:textId="77777777" w:rsidR="003B2F93" w:rsidRPr="00170FD8" w:rsidRDefault="003B2F93" w:rsidP="003B2F93">
            <w:pPr>
              <w:spacing w:line="240" w:lineRule="auto"/>
              <w:jc w:val="center"/>
              <w:rPr>
                <w:rFonts w:eastAsia="Times New Roman" w:cs="Times New Roman"/>
                <w:b/>
                <w:bCs/>
                <w:color w:val="000000"/>
                <w:sz w:val="10"/>
                <w:szCs w:val="18"/>
              </w:rPr>
            </w:pPr>
          </w:p>
          <w:p w14:paraId="344A8548" w14:textId="77777777" w:rsidR="003B2F93" w:rsidRPr="00170FD8" w:rsidRDefault="003B2F93" w:rsidP="003B2F93">
            <w:pPr>
              <w:spacing w:line="240" w:lineRule="auto"/>
              <w:ind w:right="-378"/>
              <w:jc w:val="center"/>
              <w:rPr>
                <w:rFonts w:eastAsia="Times New Roman" w:cs="Times New Roman"/>
                <w:b/>
                <w:bCs/>
                <w:color w:val="000000"/>
                <w:sz w:val="18"/>
                <w:szCs w:val="18"/>
              </w:rPr>
            </w:pPr>
            <w:r w:rsidRPr="00170FD8">
              <w:rPr>
                <w:rFonts w:eastAsia="Times New Roman" w:cs="Times New Roman"/>
                <w:b/>
                <w:bCs/>
                <w:color w:val="000000"/>
                <w:sz w:val="18"/>
                <w:szCs w:val="18"/>
              </w:rPr>
              <w:t>San Mateo County</w:t>
            </w:r>
          </w:p>
        </w:tc>
        <w:tc>
          <w:tcPr>
            <w:tcW w:w="2700" w:type="dxa"/>
            <w:gridSpan w:val="2"/>
            <w:shd w:val="clear" w:color="auto" w:fill="auto"/>
            <w:noWrap/>
            <w:vAlign w:val="center"/>
            <w:hideMark/>
          </w:tcPr>
          <w:p w14:paraId="29E7E869" w14:textId="77777777" w:rsidR="003B2F93" w:rsidRPr="00170FD8" w:rsidRDefault="003B2F93" w:rsidP="003B2F93">
            <w:pPr>
              <w:spacing w:line="240" w:lineRule="auto"/>
              <w:jc w:val="center"/>
              <w:rPr>
                <w:rFonts w:eastAsia="Times New Roman" w:cs="Times New Roman"/>
                <w:b/>
                <w:bCs/>
                <w:color w:val="000000"/>
                <w:sz w:val="10"/>
                <w:szCs w:val="18"/>
              </w:rPr>
            </w:pPr>
          </w:p>
          <w:p w14:paraId="40CBC209" w14:textId="77777777" w:rsidR="003B2F93" w:rsidRPr="00170FD8" w:rsidRDefault="003B2F93" w:rsidP="003B2F93">
            <w:pPr>
              <w:spacing w:line="240" w:lineRule="auto"/>
              <w:ind w:right="-378"/>
              <w:jc w:val="center"/>
              <w:rPr>
                <w:rFonts w:eastAsia="Times New Roman" w:cs="Times New Roman"/>
                <w:b/>
                <w:bCs/>
                <w:color w:val="000000"/>
                <w:sz w:val="18"/>
                <w:szCs w:val="18"/>
              </w:rPr>
            </w:pPr>
            <w:r w:rsidRPr="00170FD8">
              <w:rPr>
                <w:rFonts w:eastAsia="Times New Roman" w:cs="Times New Roman"/>
                <w:b/>
                <w:bCs/>
                <w:color w:val="000000"/>
                <w:sz w:val="18"/>
                <w:szCs w:val="18"/>
              </w:rPr>
              <w:t>State of California</w:t>
            </w:r>
          </w:p>
        </w:tc>
      </w:tr>
      <w:tr w:rsidR="003B2F93" w:rsidRPr="00D33473" w14:paraId="410D4B44" w14:textId="77777777" w:rsidTr="003B2F93">
        <w:trPr>
          <w:trHeight w:val="500"/>
        </w:trPr>
        <w:tc>
          <w:tcPr>
            <w:tcW w:w="825" w:type="dxa"/>
            <w:tcBorders>
              <w:bottom w:val="single" w:sz="2" w:space="0" w:color="auto"/>
            </w:tcBorders>
            <w:shd w:val="clear" w:color="auto" w:fill="auto"/>
            <w:noWrap/>
            <w:vAlign w:val="bottom"/>
            <w:hideMark/>
          </w:tcPr>
          <w:p w14:paraId="17349A85" w14:textId="77777777" w:rsidR="003B2F93" w:rsidRPr="00D33473" w:rsidRDefault="003B2F93" w:rsidP="003B2F93">
            <w:pPr>
              <w:spacing w:line="240" w:lineRule="auto"/>
              <w:rPr>
                <w:rFonts w:eastAsia="Times New Roman" w:cs="Times New Roman"/>
                <w:color w:val="000000"/>
                <w:sz w:val="18"/>
                <w:szCs w:val="18"/>
              </w:rPr>
            </w:pPr>
            <w:r w:rsidRPr="00D33473">
              <w:rPr>
                <w:rFonts w:eastAsia="Times New Roman" w:cs="Times New Roman"/>
                <w:color w:val="000000"/>
                <w:sz w:val="18"/>
                <w:szCs w:val="18"/>
              </w:rPr>
              <w:t> </w:t>
            </w:r>
          </w:p>
        </w:tc>
        <w:tc>
          <w:tcPr>
            <w:tcW w:w="958" w:type="dxa"/>
            <w:tcBorders>
              <w:bottom w:val="single" w:sz="2" w:space="0" w:color="auto"/>
            </w:tcBorders>
            <w:shd w:val="clear" w:color="auto" w:fill="auto"/>
            <w:vAlign w:val="center"/>
            <w:hideMark/>
          </w:tcPr>
          <w:p w14:paraId="581895E4" w14:textId="77777777" w:rsidR="003B2F93" w:rsidRPr="00170FD8" w:rsidRDefault="003B2F93" w:rsidP="003B2F93">
            <w:pPr>
              <w:spacing w:line="240" w:lineRule="auto"/>
              <w:jc w:val="right"/>
              <w:rPr>
                <w:rFonts w:eastAsia="Times New Roman" w:cs="Times New Roman"/>
                <w:color w:val="000000"/>
                <w:sz w:val="18"/>
                <w:szCs w:val="18"/>
              </w:rPr>
            </w:pPr>
            <w:r w:rsidRPr="00170FD8">
              <w:rPr>
                <w:rFonts w:eastAsia="Times New Roman" w:cs="Times New Roman"/>
                <w:color w:val="000000"/>
                <w:sz w:val="18"/>
                <w:szCs w:val="18"/>
              </w:rPr>
              <w:t>Number</w:t>
            </w:r>
          </w:p>
        </w:tc>
        <w:tc>
          <w:tcPr>
            <w:tcW w:w="1292" w:type="dxa"/>
            <w:tcBorders>
              <w:bottom w:val="single" w:sz="2" w:space="0" w:color="auto"/>
            </w:tcBorders>
            <w:shd w:val="clear" w:color="auto" w:fill="auto"/>
            <w:vAlign w:val="center"/>
            <w:hideMark/>
          </w:tcPr>
          <w:p w14:paraId="423B20CC" w14:textId="77777777" w:rsidR="003B2F93" w:rsidRPr="00170FD8" w:rsidRDefault="003B2F93" w:rsidP="003B2F93">
            <w:pPr>
              <w:spacing w:line="240" w:lineRule="auto"/>
              <w:jc w:val="right"/>
              <w:rPr>
                <w:rFonts w:eastAsia="Times New Roman" w:cs="Times New Roman"/>
                <w:color w:val="000000"/>
                <w:sz w:val="18"/>
                <w:szCs w:val="18"/>
              </w:rPr>
            </w:pPr>
            <w:r w:rsidRPr="00170FD8">
              <w:rPr>
                <w:rFonts w:eastAsia="Times New Roman" w:cs="Times New Roman"/>
                <w:color w:val="000000"/>
                <w:sz w:val="18"/>
                <w:szCs w:val="18"/>
              </w:rPr>
              <w:t>Percent Change</w:t>
            </w:r>
          </w:p>
        </w:tc>
        <w:tc>
          <w:tcPr>
            <w:tcW w:w="1260" w:type="dxa"/>
            <w:tcBorders>
              <w:bottom w:val="single" w:sz="2" w:space="0" w:color="auto"/>
            </w:tcBorders>
            <w:shd w:val="clear" w:color="auto" w:fill="auto"/>
            <w:vAlign w:val="center"/>
            <w:hideMark/>
          </w:tcPr>
          <w:p w14:paraId="71660B32" w14:textId="77777777" w:rsidR="003B2F93" w:rsidRPr="00170FD8" w:rsidRDefault="003B2F93" w:rsidP="003B2F93">
            <w:pPr>
              <w:spacing w:line="240" w:lineRule="auto"/>
              <w:jc w:val="right"/>
              <w:rPr>
                <w:rFonts w:eastAsia="Times New Roman" w:cs="Times New Roman"/>
                <w:color w:val="000000"/>
                <w:sz w:val="18"/>
                <w:szCs w:val="18"/>
              </w:rPr>
            </w:pPr>
            <w:r w:rsidRPr="00170FD8">
              <w:rPr>
                <w:rFonts w:eastAsia="Times New Roman" w:cs="Times New Roman"/>
                <w:color w:val="000000"/>
                <w:sz w:val="18"/>
                <w:szCs w:val="18"/>
              </w:rPr>
              <w:t>Number</w:t>
            </w:r>
          </w:p>
        </w:tc>
        <w:tc>
          <w:tcPr>
            <w:tcW w:w="1350" w:type="dxa"/>
            <w:tcBorders>
              <w:bottom w:val="single" w:sz="2" w:space="0" w:color="auto"/>
            </w:tcBorders>
            <w:shd w:val="clear" w:color="auto" w:fill="auto"/>
            <w:vAlign w:val="center"/>
            <w:hideMark/>
          </w:tcPr>
          <w:p w14:paraId="72C87C3D" w14:textId="77777777" w:rsidR="003B2F93" w:rsidRPr="00170FD8" w:rsidRDefault="003B2F93" w:rsidP="003B2F93">
            <w:pPr>
              <w:spacing w:line="240" w:lineRule="auto"/>
              <w:jc w:val="right"/>
              <w:rPr>
                <w:rFonts w:eastAsia="Times New Roman" w:cs="Times New Roman"/>
                <w:color w:val="000000"/>
                <w:sz w:val="18"/>
                <w:szCs w:val="18"/>
              </w:rPr>
            </w:pPr>
            <w:r w:rsidRPr="00170FD8">
              <w:rPr>
                <w:rFonts w:eastAsia="Times New Roman" w:cs="Times New Roman"/>
                <w:color w:val="000000"/>
                <w:sz w:val="18"/>
                <w:szCs w:val="18"/>
              </w:rPr>
              <w:t>Percent Change</w:t>
            </w:r>
          </w:p>
        </w:tc>
        <w:tc>
          <w:tcPr>
            <w:tcW w:w="1437" w:type="dxa"/>
            <w:tcBorders>
              <w:bottom w:val="single" w:sz="2" w:space="0" w:color="auto"/>
            </w:tcBorders>
            <w:shd w:val="clear" w:color="auto" w:fill="auto"/>
            <w:vAlign w:val="center"/>
            <w:hideMark/>
          </w:tcPr>
          <w:p w14:paraId="105332C3" w14:textId="77777777" w:rsidR="003B2F93" w:rsidRPr="00170FD8" w:rsidRDefault="003B2F93" w:rsidP="003B2F93">
            <w:pPr>
              <w:spacing w:line="240" w:lineRule="auto"/>
              <w:jc w:val="right"/>
              <w:rPr>
                <w:rFonts w:eastAsia="Times New Roman" w:cs="Times New Roman"/>
                <w:color w:val="000000"/>
                <w:sz w:val="18"/>
                <w:szCs w:val="18"/>
              </w:rPr>
            </w:pPr>
            <w:r w:rsidRPr="00170FD8">
              <w:rPr>
                <w:rFonts w:eastAsia="Times New Roman" w:cs="Times New Roman"/>
                <w:color w:val="000000"/>
                <w:sz w:val="18"/>
                <w:szCs w:val="18"/>
              </w:rPr>
              <w:t>Number</w:t>
            </w:r>
          </w:p>
        </w:tc>
        <w:tc>
          <w:tcPr>
            <w:tcW w:w="1263" w:type="dxa"/>
            <w:tcBorders>
              <w:bottom w:val="single" w:sz="2" w:space="0" w:color="auto"/>
            </w:tcBorders>
            <w:shd w:val="clear" w:color="auto" w:fill="auto"/>
            <w:vAlign w:val="center"/>
            <w:hideMark/>
          </w:tcPr>
          <w:p w14:paraId="62CF2D64" w14:textId="77777777" w:rsidR="003B2F93" w:rsidRPr="00170FD8" w:rsidRDefault="003B2F93" w:rsidP="003B2F93">
            <w:pPr>
              <w:spacing w:line="240" w:lineRule="auto"/>
              <w:jc w:val="right"/>
              <w:rPr>
                <w:rFonts w:eastAsia="Times New Roman" w:cs="Times New Roman"/>
                <w:color w:val="000000"/>
                <w:sz w:val="18"/>
                <w:szCs w:val="18"/>
              </w:rPr>
            </w:pPr>
            <w:r w:rsidRPr="00170FD8">
              <w:rPr>
                <w:rFonts w:eastAsia="Times New Roman" w:cs="Times New Roman"/>
                <w:color w:val="000000"/>
                <w:sz w:val="18"/>
                <w:szCs w:val="18"/>
              </w:rPr>
              <w:t>Percent Change</w:t>
            </w:r>
          </w:p>
        </w:tc>
      </w:tr>
      <w:tr w:rsidR="003B2F93" w:rsidRPr="00D33473" w14:paraId="422954A7" w14:textId="77777777" w:rsidTr="003B2F93">
        <w:trPr>
          <w:trHeight w:val="300"/>
        </w:trPr>
        <w:tc>
          <w:tcPr>
            <w:tcW w:w="825" w:type="dxa"/>
            <w:tcBorders>
              <w:top w:val="single" w:sz="2" w:space="0" w:color="auto"/>
              <w:bottom w:val="single" w:sz="2" w:space="0" w:color="auto"/>
            </w:tcBorders>
            <w:shd w:val="clear" w:color="auto" w:fill="auto"/>
            <w:noWrap/>
            <w:vAlign w:val="bottom"/>
            <w:hideMark/>
          </w:tcPr>
          <w:p w14:paraId="360D45CC" w14:textId="77777777" w:rsidR="003B2F93" w:rsidRPr="00D33473" w:rsidRDefault="003B2F93" w:rsidP="003B2F93">
            <w:pPr>
              <w:rPr>
                <w:rFonts w:eastAsia="Times New Roman" w:cs="Times New Roman"/>
                <w:color w:val="000000"/>
                <w:sz w:val="18"/>
                <w:szCs w:val="18"/>
              </w:rPr>
            </w:pPr>
            <w:r w:rsidRPr="00D33473">
              <w:rPr>
                <w:rFonts w:eastAsia="Times New Roman" w:cs="Times New Roman"/>
                <w:color w:val="000000"/>
                <w:sz w:val="18"/>
                <w:szCs w:val="18"/>
              </w:rPr>
              <w:t>2000</w:t>
            </w:r>
          </w:p>
        </w:tc>
        <w:tc>
          <w:tcPr>
            <w:tcW w:w="958" w:type="dxa"/>
            <w:tcBorders>
              <w:top w:val="single" w:sz="2" w:space="0" w:color="auto"/>
              <w:bottom w:val="single" w:sz="2" w:space="0" w:color="auto"/>
            </w:tcBorders>
            <w:shd w:val="clear" w:color="auto" w:fill="auto"/>
            <w:noWrap/>
            <w:vAlign w:val="bottom"/>
            <w:hideMark/>
          </w:tcPr>
          <w:p w14:paraId="363B71A3" w14:textId="3EBB534C" w:rsidR="003B2F93" w:rsidRPr="00170FD8" w:rsidRDefault="003B2F93" w:rsidP="003B2F93">
            <w:pPr>
              <w:jc w:val="right"/>
              <w:rPr>
                <w:rFonts w:eastAsia="Times New Roman" w:cs="Times New Roman"/>
                <w:color w:val="000000"/>
                <w:sz w:val="18"/>
                <w:szCs w:val="18"/>
              </w:rPr>
            </w:pPr>
            <w:r w:rsidRPr="002D6642">
              <w:rPr>
                <w:rFonts w:eastAsia="Times New Roman" w:cs="Times New Roman"/>
                <w:color w:val="000000"/>
                <w:sz w:val="18"/>
                <w:szCs w:val="18"/>
              </w:rPr>
              <w:t>3,804</w:t>
            </w:r>
          </w:p>
        </w:tc>
        <w:tc>
          <w:tcPr>
            <w:tcW w:w="1292" w:type="dxa"/>
            <w:tcBorders>
              <w:top w:val="single" w:sz="2" w:space="0" w:color="auto"/>
              <w:bottom w:val="single" w:sz="2" w:space="0" w:color="auto"/>
            </w:tcBorders>
            <w:shd w:val="clear" w:color="auto" w:fill="auto"/>
            <w:noWrap/>
            <w:vAlign w:val="bottom"/>
            <w:hideMark/>
          </w:tcPr>
          <w:p w14:paraId="21833B7B"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w:t>
            </w:r>
          </w:p>
        </w:tc>
        <w:tc>
          <w:tcPr>
            <w:tcW w:w="1260" w:type="dxa"/>
            <w:tcBorders>
              <w:top w:val="single" w:sz="2" w:space="0" w:color="auto"/>
              <w:bottom w:val="single" w:sz="2" w:space="0" w:color="auto"/>
            </w:tcBorders>
            <w:shd w:val="clear" w:color="auto" w:fill="auto"/>
            <w:noWrap/>
            <w:vAlign w:val="bottom"/>
            <w:hideMark/>
          </w:tcPr>
          <w:p w14:paraId="428D992D"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260,576</w:t>
            </w:r>
          </w:p>
        </w:tc>
        <w:tc>
          <w:tcPr>
            <w:tcW w:w="1350" w:type="dxa"/>
            <w:tcBorders>
              <w:top w:val="single" w:sz="2" w:space="0" w:color="auto"/>
              <w:bottom w:val="single" w:sz="2" w:space="0" w:color="auto"/>
            </w:tcBorders>
            <w:shd w:val="clear" w:color="auto" w:fill="auto"/>
            <w:noWrap/>
            <w:vAlign w:val="bottom"/>
            <w:hideMark/>
          </w:tcPr>
          <w:p w14:paraId="4D3A35BA"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w:t>
            </w:r>
          </w:p>
        </w:tc>
        <w:tc>
          <w:tcPr>
            <w:tcW w:w="1437" w:type="dxa"/>
            <w:tcBorders>
              <w:top w:val="single" w:sz="2" w:space="0" w:color="auto"/>
              <w:bottom w:val="single" w:sz="2" w:space="0" w:color="auto"/>
            </w:tcBorders>
            <w:shd w:val="clear" w:color="auto" w:fill="auto"/>
            <w:noWrap/>
            <w:vAlign w:val="bottom"/>
            <w:hideMark/>
          </w:tcPr>
          <w:p w14:paraId="4D2C0D5E"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12,214,549</w:t>
            </w:r>
          </w:p>
        </w:tc>
        <w:tc>
          <w:tcPr>
            <w:tcW w:w="1263" w:type="dxa"/>
            <w:tcBorders>
              <w:top w:val="single" w:sz="2" w:space="0" w:color="auto"/>
              <w:bottom w:val="single" w:sz="2" w:space="0" w:color="auto"/>
            </w:tcBorders>
            <w:shd w:val="clear" w:color="auto" w:fill="auto"/>
            <w:noWrap/>
            <w:vAlign w:val="bottom"/>
            <w:hideMark/>
          </w:tcPr>
          <w:p w14:paraId="2E099F19"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w:t>
            </w:r>
          </w:p>
        </w:tc>
      </w:tr>
      <w:tr w:rsidR="003B2F93" w:rsidRPr="00D33473" w14:paraId="3D75A188" w14:textId="77777777" w:rsidTr="003B2F93">
        <w:trPr>
          <w:trHeight w:val="300"/>
        </w:trPr>
        <w:tc>
          <w:tcPr>
            <w:tcW w:w="825" w:type="dxa"/>
            <w:tcBorders>
              <w:top w:val="single" w:sz="2" w:space="0" w:color="auto"/>
              <w:bottom w:val="single" w:sz="2" w:space="0" w:color="auto"/>
            </w:tcBorders>
            <w:shd w:val="clear" w:color="auto" w:fill="auto"/>
            <w:noWrap/>
            <w:vAlign w:val="bottom"/>
            <w:hideMark/>
          </w:tcPr>
          <w:p w14:paraId="46A16AF3" w14:textId="77777777" w:rsidR="003B2F93" w:rsidRPr="00D33473" w:rsidRDefault="003B2F93" w:rsidP="003B2F93">
            <w:pPr>
              <w:rPr>
                <w:rFonts w:eastAsia="Times New Roman" w:cs="Times New Roman"/>
                <w:color w:val="000000"/>
                <w:sz w:val="18"/>
                <w:szCs w:val="18"/>
              </w:rPr>
            </w:pPr>
            <w:r>
              <w:rPr>
                <w:rFonts w:eastAsia="Times New Roman" w:cs="Times New Roman"/>
                <w:color w:val="000000"/>
                <w:sz w:val="18"/>
                <w:szCs w:val="18"/>
              </w:rPr>
              <w:t>2010</w:t>
            </w:r>
          </w:p>
        </w:tc>
        <w:tc>
          <w:tcPr>
            <w:tcW w:w="958" w:type="dxa"/>
            <w:tcBorders>
              <w:top w:val="single" w:sz="2" w:space="0" w:color="auto"/>
              <w:bottom w:val="single" w:sz="2" w:space="0" w:color="auto"/>
            </w:tcBorders>
            <w:shd w:val="clear" w:color="auto" w:fill="auto"/>
            <w:noWrap/>
            <w:vAlign w:val="bottom"/>
            <w:hideMark/>
          </w:tcPr>
          <w:p w14:paraId="3990D5C7" w14:textId="08522A90" w:rsidR="003B2F93" w:rsidRPr="00170FD8" w:rsidRDefault="003B2F93" w:rsidP="003B2F93">
            <w:pPr>
              <w:jc w:val="right"/>
              <w:rPr>
                <w:rFonts w:eastAsia="Times New Roman" w:cs="Times New Roman"/>
                <w:color w:val="000000"/>
                <w:sz w:val="18"/>
                <w:szCs w:val="18"/>
              </w:rPr>
            </w:pPr>
            <w:r w:rsidRPr="002D6642">
              <w:rPr>
                <w:rFonts w:eastAsia="Times New Roman" w:cs="Times New Roman"/>
                <w:color w:val="000000"/>
                <w:sz w:val="18"/>
                <w:szCs w:val="18"/>
              </w:rPr>
              <w:t>3,801</w:t>
            </w:r>
          </w:p>
        </w:tc>
        <w:tc>
          <w:tcPr>
            <w:tcW w:w="1292" w:type="dxa"/>
            <w:tcBorders>
              <w:top w:val="single" w:sz="2" w:space="0" w:color="auto"/>
              <w:bottom w:val="single" w:sz="2" w:space="0" w:color="auto"/>
            </w:tcBorders>
            <w:shd w:val="clear" w:color="auto" w:fill="auto"/>
            <w:noWrap/>
            <w:vAlign w:val="bottom"/>
            <w:hideMark/>
          </w:tcPr>
          <w:p w14:paraId="0466038C" w14:textId="3886A9E9" w:rsidR="003B2F93" w:rsidRPr="00170FD8" w:rsidRDefault="003B2F93" w:rsidP="003B2F93">
            <w:pPr>
              <w:jc w:val="right"/>
              <w:rPr>
                <w:rFonts w:eastAsia="Times New Roman" w:cs="Times New Roman"/>
                <w:color w:val="000000"/>
                <w:sz w:val="18"/>
                <w:szCs w:val="18"/>
              </w:rPr>
            </w:pPr>
            <w:r>
              <w:rPr>
                <w:rFonts w:eastAsia="Times New Roman" w:cs="Times New Roman"/>
                <w:color w:val="000000"/>
                <w:sz w:val="18"/>
                <w:szCs w:val="18"/>
              </w:rPr>
              <w:t>-0.1%</w:t>
            </w:r>
          </w:p>
        </w:tc>
        <w:tc>
          <w:tcPr>
            <w:tcW w:w="1260" w:type="dxa"/>
            <w:tcBorders>
              <w:top w:val="single" w:sz="2" w:space="0" w:color="auto"/>
              <w:bottom w:val="single" w:sz="2" w:space="0" w:color="auto"/>
            </w:tcBorders>
            <w:shd w:val="clear" w:color="auto" w:fill="auto"/>
            <w:noWrap/>
            <w:vAlign w:val="bottom"/>
            <w:hideMark/>
          </w:tcPr>
          <w:p w14:paraId="58A2B393"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271,031</w:t>
            </w:r>
          </w:p>
        </w:tc>
        <w:tc>
          <w:tcPr>
            <w:tcW w:w="1350" w:type="dxa"/>
            <w:tcBorders>
              <w:top w:val="single" w:sz="2" w:space="0" w:color="auto"/>
              <w:bottom w:val="single" w:sz="2" w:space="0" w:color="auto"/>
            </w:tcBorders>
            <w:shd w:val="clear" w:color="auto" w:fill="auto"/>
            <w:noWrap/>
            <w:vAlign w:val="bottom"/>
            <w:hideMark/>
          </w:tcPr>
          <w:p w14:paraId="74D00490"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4.0%</w:t>
            </w:r>
          </w:p>
        </w:tc>
        <w:tc>
          <w:tcPr>
            <w:tcW w:w="1437" w:type="dxa"/>
            <w:tcBorders>
              <w:top w:val="single" w:sz="2" w:space="0" w:color="auto"/>
              <w:bottom w:val="single" w:sz="2" w:space="0" w:color="auto"/>
            </w:tcBorders>
            <w:shd w:val="clear" w:color="auto" w:fill="auto"/>
            <w:noWrap/>
            <w:vAlign w:val="bottom"/>
            <w:hideMark/>
          </w:tcPr>
          <w:p w14:paraId="6B4BF34F"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13,670,304</w:t>
            </w:r>
          </w:p>
        </w:tc>
        <w:tc>
          <w:tcPr>
            <w:tcW w:w="1263" w:type="dxa"/>
            <w:tcBorders>
              <w:top w:val="single" w:sz="2" w:space="0" w:color="auto"/>
              <w:bottom w:val="single" w:sz="2" w:space="0" w:color="auto"/>
            </w:tcBorders>
            <w:shd w:val="clear" w:color="auto" w:fill="auto"/>
            <w:noWrap/>
            <w:vAlign w:val="bottom"/>
            <w:hideMark/>
          </w:tcPr>
          <w:p w14:paraId="5BC20639"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11.9%</w:t>
            </w:r>
          </w:p>
        </w:tc>
      </w:tr>
      <w:tr w:rsidR="003B2F93" w:rsidRPr="00D33473" w14:paraId="39996240" w14:textId="77777777" w:rsidTr="003B2F93">
        <w:trPr>
          <w:trHeight w:val="300"/>
        </w:trPr>
        <w:tc>
          <w:tcPr>
            <w:tcW w:w="825" w:type="dxa"/>
            <w:tcBorders>
              <w:top w:val="single" w:sz="2" w:space="0" w:color="auto"/>
              <w:bottom w:val="single" w:sz="2" w:space="0" w:color="auto"/>
            </w:tcBorders>
            <w:shd w:val="clear" w:color="auto" w:fill="auto"/>
            <w:noWrap/>
            <w:vAlign w:val="bottom"/>
          </w:tcPr>
          <w:p w14:paraId="64C2BCAA" w14:textId="77777777" w:rsidR="003B2F93" w:rsidRPr="00D33473" w:rsidRDefault="003B2F93" w:rsidP="003B2F93">
            <w:pPr>
              <w:rPr>
                <w:rFonts w:eastAsia="Times New Roman" w:cs="Times New Roman"/>
                <w:color w:val="000000"/>
                <w:sz w:val="18"/>
                <w:szCs w:val="18"/>
              </w:rPr>
            </w:pPr>
            <w:r>
              <w:rPr>
                <w:rFonts w:eastAsia="Times New Roman" w:cs="Times New Roman"/>
                <w:color w:val="000000"/>
                <w:sz w:val="18"/>
                <w:szCs w:val="18"/>
              </w:rPr>
              <w:t>2013</w:t>
            </w:r>
          </w:p>
        </w:tc>
        <w:tc>
          <w:tcPr>
            <w:tcW w:w="958" w:type="dxa"/>
            <w:tcBorders>
              <w:top w:val="single" w:sz="2" w:space="0" w:color="auto"/>
              <w:bottom w:val="single" w:sz="2" w:space="0" w:color="auto"/>
            </w:tcBorders>
            <w:shd w:val="clear" w:color="auto" w:fill="auto"/>
            <w:noWrap/>
            <w:vAlign w:val="bottom"/>
          </w:tcPr>
          <w:p w14:paraId="1DCCB2EE" w14:textId="14887DBD" w:rsidR="003B2F93" w:rsidRPr="00170FD8" w:rsidRDefault="003B2F93" w:rsidP="003B2F93">
            <w:pPr>
              <w:jc w:val="right"/>
              <w:rPr>
                <w:rFonts w:eastAsia="Times New Roman" w:cs="Times New Roman"/>
                <w:color w:val="000000"/>
                <w:sz w:val="18"/>
                <w:szCs w:val="18"/>
              </w:rPr>
            </w:pPr>
            <w:r>
              <w:rPr>
                <w:rFonts w:eastAsia="Times New Roman" w:cs="Times New Roman"/>
                <w:color w:val="000000"/>
                <w:sz w:val="18"/>
                <w:szCs w:val="18"/>
              </w:rPr>
              <w:t>3,945</w:t>
            </w:r>
          </w:p>
        </w:tc>
        <w:tc>
          <w:tcPr>
            <w:tcW w:w="1292" w:type="dxa"/>
            <w:tcBorders>
              <w:top w:val="single" w:sz="2" w:space="0" w:color="auto"/>
              <w:bottom w:val="single" w:sz="2" w:space="0" w:color="auto"/>
            </w:tcBorders>
            <w:shd w:val="clear" w:color="auto" w:fill="auto"/>
            <w:noWrap/>
            <w:vAlign w:val="bottom"/>
          </w:tcPr>
          <w:p w14:paraId="50F920E3" w14:textId="3A17DAF7" w:rsidR="003B2F93" w:rsidRPr="00170FD8" w:rsidRDefault="003B2F93" w:rsidP="003B2F93">
            <w:pPr>
              <w:jc w:val="right"/>
              <w:rPr>
                <w:rFonts w:eastAsia="Times New Roman" w:cs="Times New Roman"/>
                <w:color w:val="000000"/>
                <w:sz w:val="18"/>
                <w:szCs w:val="18"/>
              </w:rPr>
            </w:pPr>
            <w:r>
              <w:rPr>
                <w:rFonts w:eastAsia="Times New Roman" w:cs="Times New Roman"/>
                <w:color w:val="000000"/>
                <w:sz w:val="18"/>
                <w:szCs w:val="18"/>
              </w:rPr>
              <w:t>3.8</w:t>
            </w:r>
            <w:r w:rsidRPr="00170FD8">
              <w:rPr>
                <w:rFonts w:eastAsia="Times New Roman" w:cs="Times New Roman"/>
                <w:color w:val="000000"/>
                <w:sz w:val="18"/>
                <w:szCs w:val="18"/>
              </w:rPr>
              <w:t>%</w:t>
            </w:r>
          </w:p>
        </w:tc>
        <w:tc>
          <w:tcPr>
            <w:tcW w:w="1260" w:type="dxa"/>
            <w:tcBorders>
              <w:top w:val="single" w:sz="2" w:space="0" w:color="auto"/>
              <w:bottom w:val="single" w:sz="2" w:space="0" w:color="auto"/>
            </w:tcBorders>
            <w:shd w:val="clear" w:color="auto" w:fill="auto"/>
            <w:noWrap/>
            <w:vAlign w:val="bottom"/>
          </w:tcPr>
          <w:p w14:paraId="006F88CC"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272,477</w:t>
            </w:r>
          </w:p>
        </w:tc>
        <w:tc>
          <w:tcPr>
            <w:tcW w:w="1350" w:type="dxa"/>
            <w:tcBorders>
              <w:top w:val="single" w:sz="2" w:space="0" w:color="auto"/>
              <w:bottom w:val="single" w:sz="2" w:space="0" w:color="auto"/>
            </w:tcBorders>
            <w:shd w:val="clear" w:color="auto" w:fill="auto"/>
            <w:noWrap/>
            <w:vAlign w:val="bottom"/>
          </w:tcPr>
          <w:p w14:paraId="51DFB5E7"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0.5%</w:t>
            </w:r>
          </w:p>
        </w:tc>
        <w:tc>
          <w:tcPr>
            <w:tcW w:w="1437" w:type="dxa"/>
            <w:tcBorders>
              <w:top w:val="single" w:sz="2" w:space="0" w:color="auto"/>
              <w:bottom w:val="single" w:sz="2" w:space="0" w:color="auto"/>
            </w:tcBorders>
            <w:shd w:val="clear" w:color="auto" w:fill="auto"/>
            <w:noWrap/>
            <w:vAlign w:val="bottom"/>
          </w:tcPr>
          <w:p w14:paraId="0E5236D0"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13,785,797</w:t>
            </w:r>
          </w:p>
        </w:tc>
        <w:tc>
          <w:tcPr>
            <w:tcW w:w="1263" w:type="dxa"/>
            <w:tcBorders>
              <w:top w:val="single" w:sz="2" w:space="0" w:color="auto"/>
              <w:bottom w:val="single" w:sz="2" w:space="0" w:color="auto"/>
            </w:tcBorders>
            <w:shd w:val="clear" w:color="auto" w:fill="auto"/>
            <w:noWrap/>
            <w:vAlign w:val="bottom"/>
          </w:tcPr>
          <w:p w14:paraId="030D8AFB" w14:textId="77777777" w:rsidR="003B2F93" w:rsidRPr="00170FD8" w:rsidRDefault="003B2F93" w:rsidP="003B2F93">
            <w:pPr>
              <w:jc w:val="right"/>
              <w:rPr>
                <w:rFonts w:eastAsia="Times New Roman" w:cs="Times New Roman"/>
                <w:color w:val="000000"/>
                <w:sz w:val="18"/>
                <w:szCs w:val="18"/>
              </w:rPr>
            </w:pPr>
            <w:r w:rsidRPr="00170FD8">
              <w:rPr>
                <w:rFonts w:eastAsia="Times New Roman" w:cs="Times New Roman"/>
                <w:color w:val="000000"/>
                <w:sz w:val="18"/>
                <w:szCs w:val="18"/>
              </w:rPr>
              <w:t>0.8%</w:t>
            </w:r>
          </w:p>
        </w:tc>
      </w:tr>
      <w:tr w:rsidR="003B2F93" w:rsidRPr="00075DA1" w14:paraId="76355CCA" w14:textId="77777777" w:rsidTr="003B2F93">
        <w:trPr>
          <w:trHeight w:val="300"/>
        </w:trPr>
        <w:tc>
          <w:tcPr>
            <w:tcW w:w="8385" w:type="dxa"/>
            <w:gridSpan w:val="7"/>
            <w:tcBorders>
              <w:top w:val="single" w:sz="2" w:space="0" w:color="auto"/>
            </w:tcBorders>
            <w:shd w:val="clear" w:color="auto" w:fill="auto"/>
            <w:noWrap/>
            <w:vAlign w:val="bottom"/>
            <w:hideMark/>
          </w:tcPr>
          <w:p w14:paraId="4C5B0B64" w14:textId="77777777" w:rsidR="003B2F93" w:rsidRPr="00AE265C" w:rsidRDefault="003B2F93" w:rsidP="003B2F93">
            <w:pPr>
              <w:spacing w:line="240" w:lineRule="auto"/>
              <w:rPr>
                <w:rFonts w:eastAsia="Times New Roman" w:cs="Times New Roman"/>
                <w:iCs/>
                <w:color w:val="000000"/>
                <w:sz w:val="10"/>
                <w:szCs w:val="18"/>
              </w:rPr>
            </w:pPr>
          </w:p>
          <w:p w14:paraId="5BD0D983" w14:textId="77777777" w:rsidR="003B2F93" w:rsidRPr="00075DA1" w:rsidRDefault="003B2F93" w:rsidP="003B2F93">
            <w:pPr>
              <w:spacing w:line="240" w:lineRule="auto"/>
              <w:rPr>
                <w:rFonts w:eastAsia="Times New Roman" w:cs="Times New Roman"/>
                <w:iCs/>
                <w:color w:val="000000"/>
                <w:sz w:val="18"/>
                <w:szCs w:val="18"/>
              </w:rPr>
            </w:pPr>
            <w:r w:rsidRPr="00075DA1">
              <w:rPr>
                <w:rFonts w:eastAsia="Times New Roman" w:cs="Times New Roman"/>
                <w:iCs/>
                <w:color w:val="000000"/>
                <w:sz w:val="18"/>
                <w:szCs w:val="18"/>
              </w:rPr>
              <w:t>Source: 2000 US Census</w:t>
            </w:r>
            <w:r>
              <w:rPr>
                <w:rFonts w:eastAsia="Times New Roman" w:cs="Times New Roman"/>
                <w:iCs/>
                <w:color w:val="000000"/>
                <w:sz w:val="18"/>
                <w:szCs w:val="18"/>
              </w:rPr>
              <w:t xml:space="preserve"> and California Department of Finance April 2010 and January 2013 Estimates  — </w:t>
            </w:r>
            <w:hyperlink r:id="rId16" w:history="1">
              <w:r w:rsidRPr="005D1326">
                <w:rPr>
                  <w:rStyle w:val="Hyperlink"/>
                  <w:rFonts w:eastAsia="Times New Roman" w:cs="Times New Roman"/>
                  <w:iCs/>
                  <w:sz w:val="18"/>
                  <w:szCs w:val="18"/>
                </w:rPr>
                <w:t>http://www.dof.ca.gov/research/demographic/reports/estimates/e-5/2011-20/view.php</w:t>
              </w:r>
            </w:hyperlink>
          </w:p>
        </w:tc>
      </w:tr>
    </w:tbl>
    <w:p w14:paraId="597824BA" w14:textId="77777777" w:rsidR="00075DA1" w:rsidRDefault="00075DA1" w:rsidP="00067077">
      <w:pPr>
        <w:pStyle w:val="21ElementsText"/>
        <w:rPr>
          <w:sz w:val="14"/>
        </w:rPr>
      </w:pPr>
    </w:p>
    <w:p w14:paraId="4B418836" w14:textId="399EB48A" w:rsidR="0037327B" w:rsidRPr="00164D19" w:rsidRDefault="003B2F93" w:rsidP="00164D19">
      <w:pPr>
        <w:pStyle w:val="21ElementsText"/>
        <w:ind w:left="-720"/>
        <w:rPr>
          <w:sz w:val="14"/>
        </w:rPr>
      </w:pPr>
      <w:r>
        <w:rPr>
          <w:noProof/>
        </w:rPr>
        <w:drawing>
          <wp:inline distT="0" distB="0" distL="0" distR="0" wp14:anchorId="56EF24D9" wp14:editId="576F9F2A">
            <wp:extent cx="6286500" cy="3771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A5EF9" w:rsidRPr="00DA5EF9">
        <w:rPr>
          <w:noProof/>
        </w:rPr>
        <w:t xml:space="preserve"> </w:t>
      </w:r>
    </w:p>
    <w:p w14:paraId="32A071A5" w14:textId="28DBA650" w:rsidR="00F50779" w:rsidRPr="00C433BE" w:rsidRDefault="00F50779" w:rsidP="00F50779">
      <w:pPr>
        <w:tabs>
          <w:tab w:val="right" w:pos="7740"/>
        </w:tabs>
        <w:spacing w:line="240" w:lineRule="auto"/>
        <w:ind w:left="810" w:right="1620"/>
        <w:rPr>
          <w:sz w:val="24"/>
        </w:rPr>
      </w:pPr>
      <w:r w:rsidRPr="00C433BE">
        <w:rPr>
          <w:rFonts w:cs="Century Gothic"/>
          <w:iCs/>
          <w:color w:val="000000"/>
          <w:sz w:val="18"/>
          <w:szCs w:val="16"/>
        </w:rPr>
        <w:t xml:space="preserve">Source: </w:t>
      </w:r>
      <w:r w:rsidR="0020362E">
        <w:rPr>
          <w:rFonts w:eastAsia="Times New Roman" w:cs="Times New Roman"/>
          <w:iCs/>
          <w:color w:val="000000"/>
          <w:sz w:val="18"/>
          <w:szCs w:val="16"/>
        </w:rPr>
        <w:t>2007-2011</w:t>
      </w:r>
      <w:r w:rsidRPr="001759FD">
        <w:rPr>
          <w:rFonts w:eastAsia="Times New Roman" w:cs="Times New Roman"/>
          <w:iCs/>
          <w:color w:val="000000"/>
          <w:sz w:val="18"/>
          <w:szCs w:val="16"/>
        </w:rPr>
        <w:t xml:space="preserve"> American Community Survey</w:t>
      </w:r>
    </w:p>
    <w:p w14:paraId="132A882B" w14:textId="77777777" w:rsidR="00F50779" w:rsidRDefault="00F50779" w:rsidP="006F02AC"/>
    <w:p w14:paraId="4F2E0F70" w14:textId="56B03769" w:rsidR="00A22844" w:rsidRPr="00163159" w:rsidRDefault="006F02AC" w:rsidP="00A22844">
      <w:r w:rsidRPr="00163159">
        <w:t xml:space="preserve">The tables below are from the census and compare the distribution of building types and the number of bedrooms per unit between </w:t>
      </w:r>
      <w:r w:rsidR="00853231" w:rsidRPr="00163159">
        <w:t>Hillsborough</w:t>
      </w:r>
      <w:r w:rsidRPr="00163159">
        <w:t xml:space="preserve">, San Mateo County as a whole and the State of California. </w:t>
      </w:r>
      <w:r w:rsidR="00EE4FFD" w:rsidRPr="00163159">
        <w:t xml:space="preserve">Houses in </w:t>
      </w:r>
      <w:r w:rsidR="00853231" w:rsidRPr="00163159">
        <w:t>Hillsborough</w:t>
      </w:r>
      <w:r w:rsidR="00EE4FFD" w:rsidRPr="00163159">
        <w:t xml:space="preserve"> </w:t>
      </w:r>
      <w:r w:rsidR="00A22844" w:rsidRPr="00163159">
        <w:t xml:space="preserve">are quite large: almost half the homes have four bedrooms, and another third have five or more bedrooms. </w:t>
      </w:r>
    </w:p>
    <w:p w14:paraId="49F32C9A" w14:textId="1102EF2F" w:rsidR="006F02AC" w:rsidRPr="00163159" w:rsidRDefault="006F316F" w:rsidP="006F316F">
      <w:pPr>
        <w:spacing w:line="240" w:lineRule="auto"/>
      </w:pPr>
      <w:r w:rsidRPr="00163159">
        <w:br w:type="page"/>
      </w:r>
    </w:p>
    <w:tbl>
      <w:tblPr>
        <w:tblW w:w="6210" w:type="dxa"/>
        <w:tblInd w:w="93" w:type="dxa"/>
        <w:tblLook w:val="04A0" w:firstRow="1" w:lastRow="0" w:firstColumn="1" w:lastColumn="0" w:noHBand="0" w:noVBand="1"/>
      </w:tblPr>
      <w:tblGrid>
        <w:gridCol w:w="2576"/>
        <w:gridCol w:w="1289"/>
        <w:gridCol w:w="1201"/>
        <w:gridCol w:w="1144"/>
      </w:tblGrid>
      <w:tr w:rsidR="006F02AC" w:rsidRPr="00163159" w14:paraId="694221FE" w14:textId="77777777" w:rsidTr="00164D19">
        <w:trPr>
          <w:trHeight w:val="300"/>
        </w:trPr>
        <w:tc>
          <w:tcPr>
            <w:tcW w:w="6210" w:type="dxa"/>
            <w:gridSpan w:val="4"/>
            <w:tcBorders>
              <w:top w:val="nil"/>
              <w:left w:val="nil"/>
              <w:bottom w:val="nil"/>
              <w:right w:val="nil"/>
            </w:tcBorders>
            <w:shd w:val="clear" w:color="000000" w:fill="000000"/>
            <w:noWrap/>
            <w:vAlign w:val="bottom"/>
            <w:hideMark/>
          </w:tcPr>
          <w:p w14:paraId="047A775F" w14:textId="6662E005" w:rsidR="006F02AC" w:rsidRPr="00163159" w:rsidRDefault="006F02AC" w:rsidP="00AE7A6A">
            <w:pPr>
              <w:rPr>
                <w:rFonts w:eastAsia="Times New Roman" w:cs="Times New Roman"/>
                <w:b/>
                <w:bCs/>
                <w:color w:val="FFFFFF"/>
                <w:sz w:val="20"/>
                <w:szCs w:val="20"/>
              </w:rPr>
            </w:pPr>
            <w:r w:rsidRPr="00163159">
              <w:rPr>
                <w:rFonts w:eastAsia="Times New Roman" w:cs="Times New Roman"/>
                <w:b/>
                <w:bCs/>
                <w:color w:val="FFFFFF"/>
                <w:sz w:val="20"/>
                <w:szCs w:val="20"/>
              </w:rPr>
              <w:t>Residential Building Types Comparison (2011)</w:t>
            </w:r>
          </w:p>
        </w:tc>
      </w:tr>
      <w:tr w:rsidR="006F02AC" w:rsidRPr="00163159" w14:paraId="4A4E14F6" w14:textId="77777777" w:rsidTr="00164D19">
        <w:trPr>
          <w:trHeight w:val="320"/>
        </w:trPr>
        <w:tc>
          <w:tcPr>
            <w:tcW w:w="2576" w:type="dxa"/>
            <w:tcBorders>
              <w:top w:val="nil"/>
              <w:left w:val="nil"/>
              <w:bottom w:val="single" w:sz="8" w:space="0" w:color="auto"/>
              <w:right w:val="nil"/>
            </w:tcBorders>
            <w:shd w:val="clear" w:color="auto" w:fill="auto"/>
            <w:noWrap/>
            <w:vAlign w:val="bottom"/>
            <w:hideMark/>
          </w:tcPr>
          <w:p w14:paraId="291F0D1A" w14:textId="77777777" w:rsidR="006F02AC" w:rsidRPr="00163159" w:rsidRDefault="006F02AC" w:rsidP="00AE7A6A">
            <w:pPr>
              <w:spacing w:line="240" w:lineRule="auto"/>
              <w:rPr>
                <w:rFonts w:eastAsia="Times New Roman" w:cs="Times New Roman"/>
                <w:color w:val="000000"/>
                <w:sz w:val="18"/>
                <w:szCs w:val="18"/>
              </w:rPr>
            </w:pPr>
            <w:r w:rsidRPr="00163159">
              <w:rPr>
                <w:rFonts w:eastAsia="Times New Roman" w:cs="Times New Roman"/>
                <w:color w:val="000000"/>
                <w:sz w:val="18"/>
                <w:szCs w:val="18"/>
              </w:rPr>
              <w:t> </w:t>
            </w:r>
          </w:p>
        </w:tc>
        <w:tc>
          <w:tcPr>
            <w:tcW w:w="1289" w:type="dxa"/>
            <w:tcBorders>
              <w:top w:val="nil"/>
              <w:left w:val="nil"/>
              <w:bottom w:val="single" w:sz="8" w:space="0" w:color="auto"/>
              <w:right w:val="nil"/>
            </w:tcBorders>
            <w:shd w:val="clear" w:color="auto" w:fill="auto"/>
            <w:noWrap/>
            <w:vAlign w:val="bottom"/>
            <w:hideMark/>
          </w:tcPr>
          <w:p w14:paraId="274673A4" w14:textId="77777777" w:rsidR="006F02AC" w:rsidRPr="00163159" w:rsidRDefault="006F02AC" w:rsidP="00AE7A6A">
            <w:pPr>
              <w:spacing w:line="240" w:lineRule="auto"/>
              <w:jc w:val="right"/>
              <w:rPr>
                <w:rFonts w:eastAsia="Times New Roman" w:cs="Times New Roman"/>
                <w:b/>
                <w:bCs/>
                <w:color w:val="000000"/>
                <w:sz w:val="18"/>
                <w:szCs w:val="18"/>
              </w:rPr>
            </w:pPr>
          </w:p>
          <w:p w14:paraId="54CF2235" w14:textId="4A20AB3A" w:rsidR="006F02AC" w:rsidRPr="00163159" w:rsidRDefault="003B70CF" w:rsidP="00AE7A6A">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 xml:space="preserve">Town of </w:t>
            </w:r>
            <w:r w:rsidR="00853231" w:rsidRPr="00163159">
              <w:rPr>
                <w:rFonts w:eastAsia="Times New Roman" w:cs="Times New Roman"/>
                <w:b/>
                <w:bCs/>
                <w:color w:val="000000"/>
                <w:sz w:val="18"/>
                <w:szCs w:val="18"/>
              </w:rPr>
              <w:t>Hillsborough</w:t>
            </w:r>
          </w:p>
          <w:p w14:paraId="29603DF9" w14:textId="77777777" w:rsidR="006F02AC" w:rsidRPr="00163159" w:rsidRDefault="006F02AC" w:rsidP="00AE7A6A">
            <w:pPr>
              <w:spacing w:line="240" w:lineRule="auto"/>
              <w:jc w:val="right"/>
              <w:rPr>
                <w:rFonts w:eastAsia="Times New Roman" w:cs="Times New Roman"/>
                <w:b/>
                <w:bCs/>
                <w:color w:val="000000"/>
                <w:sz w:val="14"/>
                <w:szCs w:val="18"/>
              </w:rPr>
            </w:pPr>
          </w:p>
        </w:tc>
        <w:tc>
          <w:tcPr>
            <w:tcW w:w="1201" w:type="dxa"/>
            <w:tcBorders>
              <w:top w:val="nil"/>
              <w:left w:val="nil"/>
              <w:bottom w:val="single" w:sz="8" w:space="0" w:color="auto"/>
              <w:right w:val="nil"/>
            </w:tcBorders>
            <w:shd w:val="clear" w:color="auto" w:fill="auto"/>
            <w:noWrap/>
            <w:vAlign w:val="bottom"/>
            <w:hideMark/>
          </w:tcPr>
          <w:p w14:paraId="6C363074" w14:textId="77777777" w:rsidR="006F02AC" w:rsidRPr="00163159" w:rsidRDefault="006F02AC" w:rsidP="00AE7A6A">
            <w:pPr>
              <w:spacing w:line="240" w:lineRule="auto"/>
              <w:jc w:val="right"/>
              <w:rPr>
                <w:rFonts w:eastAsia="Times New Roman" w:cs="Times New Roman"/>
                <w:b/>
                <w:bCs/>
                <w:color w:val="000000"/>
                <w:sz w:val="18"/>
                <w:szCs w:val="18"/>
              </w:rPr>
            </w:pPr>
          </w:p>
          <w:p w14:paraId="75EDB86A" w14:textId="77777777" w:rsidR="006F02AC" w:rsidRPr="00163159" w:rsidRDefault="006F02AC" w:rsidP="00AE7A6A">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San Mateo County</w:t>
            </w:r>
          </w:p>
          <w:p w14:paraId="3BC8B876" w14:textId="77777777" w:rsidR="006F02AC" w:rsidRPr="00163159" w:rsidRDefault="006F02AC" w:rsidP="00AE7A6A">
            <w:pPr>
              <w:spacing w:line="240" w:lineRule="auto"/>
              <w:jc w:val="right"/>
              <w:rPr>
                <w:rFonts w:eastAsia="Times New Roman" w:cs="Times New Roman"/>
                <w:b/>
                <w:bCs/>
                <w:color w:val="000000"/>
                <w:sz w:val="14"/>
                <w:szCs w:val="18"/>
              </w:rPr>
            </w:pPr>
          </w:p>
        </w:tc>
        <w:tc>
          <w:tcPr>
            <w:tcW w:w="1144" w:type="dxa"/>
            <w:tcBorders>
              <w:top w:val="nil"/>
              <w:left w:val="nil"/>
              <w:bottom w:val="single" w:sz="8" w:space="0" w:color="auto"/>
              <w:right w:val="nil"/>
            </w:tcBorders>
            <w:shd w:val="clear" w:color="auto" w:fill="auto"/>
            <w:noWrap/>
            <w:vAlign w:val="bottom"/>
            <w:hideMark/>
          </w:tcPr>
          <w:p w14:paraId="1E596DBF" w14:textId="77777777" w:rsidR="006F02AC" w:rsidRPr="00163159" w:rsidRDefault="006F02AC" w:rsidP="00AE7A6A">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State of California</w:t>
            </w:r>
          </w:p>
          <w:p w14:paraId="67D3FAEC" w14:textId="77777777" w:rsidR="006F02AC" w:rsidRPr="00163159" w:rsidRDefault="006F02AC" w:rsidP="00AE7A6A">
            <w:pPr>
              <w:spacing w:line="240" w:lineRule="auto"/>
              <w:jc w:val="right"/>
              <w:rPr>
                <w:rFonts w:eastAsia="Times New Roman" w:cs="Times New Roman"/>
                <w:b/>
                <w:bCs/>
                <w:color w:val="000000"/>
                <w:sz w:val="14"/>
                <w:szCs w:val="18"/>
              </w:rPr>
            </w:pPr>
          </w:p>
        </w:tc>
      </w:tr>
      <w:tr w:rsidR="00164D19" w:rsidRPr="00163159" w14:paraId="48447FF3" w14:textId="77777777" w:rsidTr="00164D19">
        <w:trPr>
          <w:trHeight w:val="300"/>
        </w:trPr>
        <w:tc>
          <w:tcPr>
            <w:tcW w:w="2576" w:type="dxa"/>
            <w:tcBorders>
              <w:top w:val="nil"/>
              <w:left w:val="nil"/>
              <w:bottom w:val="single" w:sz="4" w:space="0" w:color="808080"/>
              <w:right w:val="nil"/>
            </w:tcBorders>
            <w:shd w:val="clear" w:color="auto" w:fill="auto"/>
            <w:noWrap/>
            <w:vAlign w:val="bottom"/>
            <w:hideMark/>
          </w:tcPr>
          <w:p w14:paraId="30870A6B"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Single family detached</w:t>
            </w:r>
          </w:p>
        </w:tc>
        <w:tc>
          <w:tcPr>
            <w:tcW w:w="1289" w:type="dxa"/>
            <w:tcBorders>
              <w:top w:val="nil"/>
              <w:left w:val="nil"/>
              <w:bottom w:val="single" w:sz="4" w:space="0" w:color="808080"/>
              <w:right w:val="nil"/>
            </w:tcBorders>
            <w:shd w:val="clear" w:color="auto" w:fill="auto"/>
            <w:noWrap/>
            <w:vAlign w:val="bottom"/>
            <w:hideMark/>
          </w:tcPr>
          <w:p w14:paraId="47A777AC" w14:textId="034F6D7A"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98%</w:t>
            </w:r>
          </w:p>
        </w:tc>
        <w:tc>
          <w:tcPr>
            <w:tcW w:w="1201" w:type="dxa"/>
            <w:tcBorders>
              <w:top w:val="nil"/>
              <w:left w:val="nil"/>
              <w:bottom w:val="single" w:sz="4" w:space="0" w:color="808080"/>
              <w:right w:val="nil"/>
            </w:tcBorders>
            <w:shd w:val="clear" w:color="auto" w:fill="auto"/>
            <w:noWrap/>
            <w:vAlign w:val="bottom"/>
            <w:hideMark/>
          </w:tcPr>
          <w:p w14:paraId="7EA6E24A"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57%</w:t>
            </w:r>
          </w:p>
        </w:tc>
        <w:tc>
          <w:tcPr>
            <w:tcW w:w="1144" w:type="dxa"/>
            <w:tcBorders>
              <w:top w:val="nil"/>
              <w:left w:val="nil"/>
              <w:bottom w:val="single" w:sz="4" w:space="0" w:color="808080"/>
              <w:right w:val="nil"/>
            </w:tcBorders>
            <w:shd w:val="clear" w:color="auto" w:fill="auto"/>
            <w:noWrap/>
            <w:vAlign w:val="bottom"/>
            <w:hideMark/>
          </w:tcPr>
          <w:p w14:paraId="634424CC"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58%</w:t>
            </w:r>
          </w:p>
        </w:tc>
      </w:tr>
      <w:tr w:rsidR="00164D19" w:rsidRPr="00163159" w14:paraId="3CE6DCF8" w14:textId="77777777" w:rsidTr="00164D19">
        <w:trPr>
          <w:trHeight w:val="300"/>
        </w:trPr>
        <w:tc>
          <w:tcPr>
            <w:tcW w:w="2576" w:type="dxa"/>
            <w:tcBorders>
              <w:top w:val="nil"/>
              <w:left w:val="nil"/>
              <w:bottom w:val="single" w:sz="4" w:space="0" w:color="808080"/>
              <w:right w:val="nil"/>
            </w:tcBorders>
            <w:shd w:val="clear" w:color="auto" w:fill="auto"/>
            <w:noWrap/>
            <w:vAlign w:val="bottom"/>
            <w:hideMark/>
          </w:tcPr>
          <w:p w14:paraId="06ED5EF4"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Single family attached</w:t>
            </w:r>
          </w:p>
        </w:tc>
        <w:tc>
          <w:tcPr>
            <w:tcW w:w="1289" w:type="dxa"/>
            <w:tcBorders>
              <w:top w:val="nil"/>
              <w:left w:val="nil"/>
              <w:bottom w:val="single" w:sz="4" w:space="0" w:color="808080"/>
              <w:right w:val="nil"/>
            </w:tcBorders>
            <w:shd w:val="clear" w:color="auto" w:fill="auto"/>
            <w:noWrap/>
            <w:vAlign w:val="bottom"/>
            <w:hideMark/>
          </w:tcPr>
          <w:p w14:paraId="5B6069AA" w14:textId="1CE91A48"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2%</w:t>
            </w:r>
          </w:p>
        </w:tc>
        <w:tc>
          <w:tcPr>
            <w:tcW w:w="1201" w:type="dxa"/>
            <w:tcBorders>
              <w:top w:val="nil"/>
              <w:left w:val="nil"/>
              <w:bottom w:val="single" w:sz="4" w:space="0" w:color="808080"/>
              <w:right w:val="nil"/>
            </w:tcBorders>
            <w:shd w:val="clear" w:color="auto" w:fill="auto"/>
            <w:noWrap/>
            <w:vAlign w:val="bottom"/>
            <w:hideMark/>
          </w:tcPr>
          <w:p w14:paraId="1CC29359"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9%</w:t>
            </w:r>
          </w:p>
        </w:tc>
        <w:tc>
          <w:tcPr>
            <w:tcW w:w="1144" w:type="dxa"/>
            <w:tcBorders>
              <w:top w:val="nil"/>
              <w:left w:val="nil"/>
              <w:bottom w:val="single" w:sz="4" w:space="0" w:color="808080"/>
              <w:right w:val="nil"/>
            </w:tcBorders>
            <w:shd w:val="clear" w:color="auto" w:fill="auto"/>
            <w:noWrap/>
            <w:vAlign w:val="bottom"/>
            <w:hideMark/>
          </w:tcPr>
          <w:p w14:paraId="6F9B8915"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7%</w:t>
            </w:r>
          </w:p>
        </w:tc>
      </w:tr>
      <w:tr w:rsidR="00164D19" w:rsidRPr="00163159" w14:paraId="1D45F12D" w14:textId="77777777" w:rsidTr="00164D19">
        <w:trPr>
          <w:trHeight w:val="300"/>
        </w:trPr>
        <w:tc>
          <w:tcPr>
            <w:tcW w:w="2576" w:type="dxa"/>
            <w:tcBorders>
              <w:top w:val="nil"/>
              <w:left w:val="nil"/>
              <w:bottom w:val="single" w:sz="4" w:space="0" w:color="808080"/>
              <w:right w:val="nil"/>
            </w:tcBorders>
            <w:shd w:val="clear" w:color="auto" w:fill="auto"/>
            <w:noWrap/>
            <w:vAlign w:val="bottom"/>
            <w:hideMark/>
          </w:tcPr>
          <w:p w14:paraId="7FB7F71F"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2 units</w:t>
            </w:r>
          </w:p>
        </w:tc>
        <w:tc>
          <w:tcPr>
            <w:tcW w:w="1289" w:type="dxa"/>
            <w:tcBorders>
              <w:top w:val="nil"/>
              <w:left w:val="nil"/>
              <w:bottom w:val="single" w:sz="4" w:space="0" w:color="808080"/>
              <w:right w:val="nil"/>
            </w:tcBorders>
            <w:shd w:val="clear" w:color="auto" w:fill="auto"/>
            <w:noWrap/>
            <w:vAlign w:val="bottom"/>
            <w:hideMark/>
          </w:tcPr>
          <w:p w14:paraId="4F906915" w14:textId="20282EE3"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201" w:type="dxa"/>
            <w:tcBorders>
              <w:top w:val="nil"/>
              <w:left w:val="nil"/>
              <w:bottom w:val="single" w:sz="4" w:space="0" w:color="808080"/>
              <w:right w:val="nil"/>
            </w:tcBorders>
            <w:shd w:val="clear" w:color="auto" w:fill="auto"/>
            <w:noWrap/>
            <w:vAlign w:val="bottom"/>
            <w:hideMark/>
          </w:tcPr>
          <w:p w14:paraId="721C182D"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2%</w:t>
            </w:r>
          </w:p>
        </w:tc>
        <w:tc>
          <w:tcPr>
            <w:tcW w:w="1144" w:type="dxa"/>
            <w:tcBorders>
              <w:top w:val="nil"/>
              <w:left w:val="nil"/>
              <w:bottom w:val="single" w:sz="4" w:space="0" w:color="808080"/>
              <w:right w:val="nil"/>
            </w:tcBorders>
            <w:shd w:val="clear" w:color="auto" w:fill="auto"/>
            <w:noWrap/>
            <w:vAlign w:val="bottom"/>
            <w:hideMark/>
          </w:tcPr>
          <w:p w14:paraId="3AD8767A"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3%</w:t>
            </w:r>
          </w:p>
        </w:tc>
      </w:tr>
      <w:tr w:rsidR="00164D19" w:rsidRPr="00163159" w14:paraId="5441F1AC" w14:textId="77777777" w:rsidTr="00164D19">
        <w:trPr>
          <w:trHeight w:val="300"/>
        </w:trPr>
        <w:tc>
          <w:tcPr>
            <w:tcW w:w="2576" w:type="dxa"/>
            <w:tcBorders>
              <w:top w:val="nil"/>
              <w:left w:val="nil"/>
              <w:bottom w:val="single" w:sz="4" w:space="0" w:color="808080"/>
              <w:right w:val="nil"/>
            </w:tcBorders>
            <w:shd w:val="clear" w:color="auto" w:fill="auto"/>
            <w:noWrap/>
            <w:vAlign w:val="bottom"/>
            <w:hideMark/>
          </w:tcPr>
          <w:p w14:paraId="1F42106F"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3 or 4 units</w:t>
            </w:r>
          </w:p>
        </w:tc>
        <w:tc>
          <w:tcPr>
            <w:tcW w:w="1289" w:type="dxa"/>
            <w:tcBorders>
              <w:top w:val="nil"/>
              <w:left w:val="nil"/>
              <w:bottom w:val="single" w:sz="4" w:space="0" w:color="808080"/>
              <w:right w:val="nil"/>
            </w:tcBorders>
            <w:shd w:val="clear" w:color="auto" w:fill="auto"/>
            <w:noWrap/>
            <w:vAlign w:val="bottom"/>
            <w:hideMark/>
          </w:tcPr>
          <w:p w14:paraId="447D37EF" w14:textId="2A53547E"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201" w:type="dxa"/>
            <w:tcBorders>
              <w:top w:val="nil"/>
              <w:left w:val="nil"/>
              <w:bottom w:val="single" w:sz="4" w:space="0" w:color="808080"/>
              <w:right w:val="nil"/>
            </w:tcBorders>
            <w:shd w:val="clear" w:color="auto" w:fill="auto"/>
            <w:noWrap/>
            <w:vAlign w:val="bottom"/>
            <w:hideMark/>
          </w:tcPr>
          <w:p w14:paraId="12D79BDA"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5%</w:t>
            </w:r>
          </w:p>
        </w:tc>
        <w:tc>
          <w:tcPr>
            <w:tcW w:w="1144" w:type="dxa"/>
            <w:tcBorders>
              <w:top w:val="nil"/>
              <w:left w:val="nil"/>
              <w:bottom w:val="single" w:sz="4" w:space="0" w:color="808080"/>
              <w:right w:val="nil"/>
            </w:tcBorders>
            <w:shd w:val="clear" w:color="auto" w:fill="auto"/>
            <w:noWrap/>
            <w:vAlign w:val="bottom"/>
            <w:hideMark/>
          </w:tcPr>
          <w:p w14:paraId="7482AD5E"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6%</w:t>
            </w:r>
          </w:p>
        </w:tc>
      </w:tr>
      <w:tr w:rsidR="00164D19" w:rsidRPr="00163159" w14:paraId="26B43861" w14:textId="77777777" w:rsidTr="00164D19">
        <w:trPr>
          <w:trHeight w:val="300"/>
        </w:trPr>
        <w:tc>
          <w:tcPr>
            <w:tcW w:w="2576" w:type="dxa"/>
            <w:tcBorders>
              <w:top w:val="nil"/>
              <w:left w:val="nil"/>
              <w:bottom w:val="single" w:sz="4" w:space="0" w:color="808080"/>
              <w:right w:val="nil"/>
            </w:tcBorders>
            <w:shd w:val="clear" w:color="auto" w:fill="auto"/>
            <w:noWrap/>
            <w:vAlign w:val="bottom"/>
            <w:hideMark/>
          </w:tcPr>
          <w:p w14:paraId="00E13D83"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5 to 9 units</w:t>
            </w:r>
          </w:p>
        </w:tc>
        <w:tc>
          <w:tcPr>
            <w:tcW w:w="1289" w:type="dxa"/>
            <w:tcBorders>
              <w:top w:val="nil"/>
              <w:left w:val="nil"/>
              <w:bottom w:val="single" w:sz="4" w:space="0" w:color="808080"/>
              <w:right w:val="nil"/>
            </w:tcBorders>
            <w:shd w:val="clear" w:color="auto" w:fill="auto"/>
            <w:noWrap/>
            <w:vAlign w:val="bottom"/>
            <w:hideMark/>
          </w:tcPr>
          <w:p w14:paraId="5C017EE3" w14:textId="17FAFA6B"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201" w:type="dxa"/>
            <w:tcBorders>
              <w:top w:val="nil"/>
              <w:left w:val="nil"/>
              <w:bottom w:val="single" w:sz="4" w:space="0" w:color="808080"/>
              <w:right w:val="nil"/>
            </w:tcBorders>
            <w:shd w:val="clear" w:color="auto" w:fill="auto"/>
            <w:noWrap/>
            <w:vAlign w:val="bottom"/>
            <w:hideMark/>
          </w:tcPr>
          <w:p w14:paraId="406DC26D"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6%</w:t>
            </w:r>
          </w:p>
        </w:tc>
        <w:tc>
          <w:tcPr>
            <w:tcW w:w="1144" w:type="dxa"/>
            <w:tcBorders>
              <w:top w:val="nil"/>
              <w:left w:val="nil"/>
              <w:bottom w:val="single" w:sz="4" w:space="0" w:color="808080"/>
              <w:right w:val="nil"/>
            </w:tcBorders>
            <w:shd w:val="clear" w:color="auto" w:fill="auto"/>
            <w:noWrap/>
            <w:vAlign w:val="bottom"/>
            <w:hideMark/>
          </w:tcPr>
          <w:p w14:paraId="4DC8AD7B"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6%</w:t>
            </w:r>
          </w:p>
        </w:tc>
      </w:tr>
      <w:tr w:rsidR="00164D19" w:rsidRPr="00163159" w14:paraId="6833F04E" w14:textId="77777777" w:rsidTr="00164D19">
        <w:trPr>
          <w:trHeight w:val="300"/>
        </w:trPr>
        <w:tc>
          <w:tcPr>
            <w:tcW w:w="2576" w:type="dxa"/>
            <w:tcBorders>
              <w:top w:val="nil"/>
              <w:left w:val="nil"/>
              <w:bottom w:val="single" w:sz="4" w:space="0" w:color="808080"/>
              <w:right w:val="nil"/>
            </w:tcBorders>
            <w:shd w:val="clear" w:color="auto" w:fill="auto"/>
            <w:noWrap/>
            <w:vAlign w:val="bottom"/>
            <w:hideMark/>
          </w:tcPr>
          <w:p w14:paraId="6AE39BE8"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10 to 19 units</w:t>
            </w:r>
          </w:p>
        </w:tc>
        <w:tc>
          <w:tcPr>
            <w:tcW w:w="1289" w:type="dxa"/>
            <w:tcBorders>
              <w:top w:val="nil"/>
              <w:left w:val="nil"/>
              <w:bottom w:val="single" w:sz="4" w:space="0" w:color="808080"/>
              <w:right w:val="nil"/>
            </w:tcBorders>
            <w:shd w:val="clear" w:color="auto" w:fill="auto"/>
            <w:noWrap/>
            <w:vAlign w:val="bottom"/>
            <w:hideMark/>
          </w:tcPr>
          <w:p w14:paraId="38E0F5BD" w14:textId="5C9443B1"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201" w:type="dxa"/>
            <w:tcBorders>
              <w:top w:val="nil"/>
              <w:left w:val="nil"/>
              <w:bottom w:val="single" w:sz="4" w:space="0" w:color="808080"/>
              <w:right w:val="nil"/>
            </w:tcBorders>
            <w:shd w:val="clear" w:color="auto" w:fill="auto"/>
            <w:noWrap/>
            <w:vAlign w:val="bottom"/>
            <w:hideMark/>
          </w:tcPr>
          <w:p w14:paraId="29402136"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6%</w:t>
            </w:r>
          </w:p>
        </w:tc>
        <w:tc>
          <w:tcPr>
            <w:tcW w:w="1144" w:type="dxa"/>
            <w:tcBorders>
              <w:top w:val="nil"/>
              <w:left w:val="nil"/>
              <w:bottom w:val="single" w:sz="4" w:space="0" w:color="808080"/>
              <w:right w:val="nil"/>
            </w:tcBorders>
            <w:shd w:val="clear" w:color="auto" w:fill="auto"/>
            <w:noWrap/>
            <w:vAlign w:val="bottom"/>
            <w:hideMark/>
          </w:tcPr>
          <w:p w14:paraId="1C46EE62"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5%</w:t>
            </w:r>
          </w:p>
        </w:tc>
      </w:tr>
      <w:tr w:rsidR="00164D19" w:rsidRPr="00163159" w14:paraId="3433A185" w14:textId="77777777" w:rsidTr="00164D19">
        <w:trPr>
          <w:trHeight w:val="300"/>
        </w:trPr>
        <w:tc>
          <w:tcPr>
            <w:tcW w:w="2576" w:type="dxa"/>
            <w:tcBorders>
              <w:top w:val="nil"/>
              <w:left w:val="nil"/>
              <w:bottom w:val="single" w:sz="4" w:space="0" w:color="808080"/>
              <w:right w:val="nil"/>
            </w:tcBorders>
            <w:shd w:val="clear" w:color="auto" w:fill="auto"/>
            <w:noWrap/>
            <w:vAlign w:val="bottom"/>
            <w:hideMark/>
          </w:tcPr>
          <w:p w14:paraId="2B96BDD9"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20 or more units</w:t>
            </w:r>
          </w:p>
        </w:tc>
        <w:tc>
          <w:tcPr>
            <w:tcW w:w="1289" w:type="dxa"/>
            <w:tcBorders>
              <w:top w:val="nil"/>
              <w:left w:val="nil"/>
              <w:bottom w:val="single" w:sz="4" w:space="0" w:color="808080"/>
              <w:right w:val="nil"/>
            </w:tcBorders>
            <w:shd w:val="clear" w:color="auto" w:fill="auto"/>
            <w:noWrap/>
            <w:vAlign w:val="bottom"/>
            <w:hideMark/>
          </w:tcPr>
          <w:p w14:paraId="50FDFBAF" w14:textId="779BC26A"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201" w:type="dxa"/>
            <w:tcBorders>
              <w:top w:val="nil"/>
              <w:left w:val="nil"/>
              <w:bottom w:val="single" w:sz="4" w:space="0" w:color="808080"/>
              <w:right w:val="nil"/>
            </w:tcBorders>
            <w:shd w:val="clear" w:color="auto" w:fill="auto"/>
            <w:noWrap/>
            <w:vAlign w:val="bottom"/>
            <w:hideMark/>
          </w:tcPr>
          <w:p w14:paraId="3AAD37D9"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14%</w:t>
            </w:r>
          </w:p>
        </w:tc>
        <w:tc>
          <w:tcPr>
            <w:tcW w:w="1144" w:type="dxa"/>
            <w:tcBorders>
              <w:top w:val="nil"/>
              <w:left w:val="nil"/>
              <w:bottom w:val="single" w:sz="4" w:space="0" w:color="808080"/>
              <w:right w:val="nil"/>
            </w:tcBorders>
            <w:shd w:val="clear" w:color="auto" w:fill="auto"/>
            <w:noWrap/>
            <w:vAlign w:val="bottom"/>
            <w:hideMark/>
          </w:tcPr>
          <w:p w14:paraId="2244606B"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11%</w:t>
            </w:r>
          </w:p>
        </w:tc>
      </w:tr>
      <w:tr w:rsidR="00164D19" w:rsidRPr="00163159" w14:paraId="790317F1" w14:textId="77777777" w:rsidTr="00164D19">
        <w:trPr>
          <w:trHeight w:val="300"/>
        </w:trPr>
        <w:tc>
          <w:tcPr>
            <w:tcW w:w="2576" w:type="dxa"/>
            <w:tcBorders>
              <w:top w:val="nil"/>
              <w:left w:val="nil"/>
              <w:bottom w:val="single" w:sz="4" w:space="0" w:color="auto"/>
              <w:right w:val="nil"/>
            </w:tcBorders>
            <w:shd w:val="clear" w:color="auto" w:fill="auto"/>
            <w:noWrap/>
            <w:vAlign w:val="bottom"/>
            <w:hideMark/>
          </w:tcPr>
          <w:p w14:paraId="3BC82B15"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Mobile home or other</w:t>
            </w:r>
          </w:p>
        </w:tc>
        <w:tc>
          <w:tcPr>
            <w:tcW w:w="1289" w:type="dxa"/>
            <w:tcBorders>
              <w:top w:val="nil"/>
              <w:left w:val="nil"/>
              <w:bottom w:val="single" w:sz="4" w:space="0" w:color="auto"/>
              <w:right w:val="nil"/>
            </w:tcBorders>
            <w:shd w:val="clear" w:color="auto" w:fill="auto"/>
            <w:noWrap/>
            <w:vAlign w:val="bottom"/>
            <w:hideMark/>
          </w:tcPr>
          <w:p w14:paraId="09298E36" w14:textId="61D4999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201" w:type="dxa"/>
            <w:tcBorders>
              <w:top w:val="nil"/>
              <w:left w:val="nil"/>
              <w:bottom w:val="single" w:sz="4" w:space="0" w:color="auto"/>
              <w:right w:val="nil"/>
            </w:tcBorders>
            <w:shd w:val="clear" w:color="auto" w:fill="auto"/>
            <w:noWrap/>
            <w:vAlign w:val="bottom"/>
            <w:hideMark/>
          </w:tcPr>
          <w:p w14:paraId="1A416F55"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w:t>
            </w:r>
          </w:p>
        </w:tc>
        <w:tc>
          <w:tcPr>
            <w:tcW w:w="1144" w:type="dxa"/>
            <w:tcBorders>
              <w:top w:val="nil"/>
              <w:left w:val="nil"/>
              <w:bottom w:val="single" w:sz="4" w:space="0" w:color="auto"/>
              <w:right w:val="nil"/>
            </w:tcBorders>
            <w:shd w:val="clear" w:color="auto" w:fill="auto"/>
            <w:noWrap/>
            <w:vAlign w:val="bottom"/>
            <w:hideMark/>
          </w:tcPr>
          <w:p w14:paraId="5B58CED1"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4%</w:t>
            </w:r>
          </w:p>
        </w:tc>
      </w:tr>
      <w:tr w:rsidR="00164D19" w:rsidRPr="00163159" w14:paraId="4E7E842C" w14:textId="77777777" w:rsidTr="00164D19">
        <w:trPr>
          <w:trHeight w:val="300"/>
        </w:trPr>
        <w:tc>
          <w:tcPr>
            <w:tcW w:w="2576" w:type="dxa"/>
            <w:tcBorders>
              <w:top w:val="nil"/>
              <w:left w:val="nil"/>
              <w:bottom w:val="single" w:sz="4" w:space="0" w:color="auto"/>
              <w:right w:val="nil"/>
            </w:tcBorders>
            <w:shd w:val="clear" w:color="auto" w:fill="auto"/>
            <w:noWrap/>
            <w:vAlign w:val="bottom"/>
            <w:hideMark/>
          </w:tcPr>
          <w:p w14:paraId="06BA6799" w14:textId="16A05B8F"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Total Housing Units</w:t>
            </w:r>
          </w:p>
        </w:tc>
        <w:tc>
          <w:tcPr>
            <w:tcW w:w="1289" w:type="dxa"/>
            <w:tcBorders>
              <w:top w:val="nil"/>
              <w:left w:val="nil"/>
              <w:bottom w:val="single" w:sz="4" w:space="0" w:color="auto"/>
              <w:right w:val="nil"/>
            </w:tcBorders>
            <w:shd w:val="clear" w:color="auto" w:fill="auto"/>
            <w:noWrap/>
            <w:vAlign w:val="bottom"/>
            <w:hideMark/>
          </w:tcPr>
          <w:p w14:paraId="3825138D" w14:textId="5B28C55F" w:rsidR="00164D19" w:rsidRPr="00163159" w:rsidRDefault="00BC79C7" w:rsidP="00AE7A6A">
            <w:pPr>
              <w:jc w:val="right"/>
              <w:rPr>
                <w:rFonts w:eastAsia="Times New Roman" w:cs="Times New Roman"/>
                <w:color w:val="000000"/>
                <w:sz w:val="18"/>
                <w:szCs w:val="18"/>
              </w:rPr>
            </w:pPr>
            <w:r w:rsidRPr="00163159">
              <w:rPr>
                <w:rFonts w:eastAsia="Times New Roman" w:cs="Times New Roman"/>
                <w:color w:val="000000"/>
                <w:sz w:val="18"/>
                <w:szCs w:val="18"/>
              </w:rPr>
              <w:t>3,801</w:t>
            </w:r>
          </w:p>
        </w:tc>
        <w:tc>
          <w:tcPr>
            <w:tcW w:w="1201" w:type="dxa"/>
            <w:tcBorders>
              <w:top w:val="nil"/>
              <w:left w:val="nil"/>
              <w:bottom w:val="single" w:sz="4" w:space="0" w:color="auto"/>
              <w:right w:val="nil"/>
            </w:tcBorders>
            <w:shd w:val="clear" w:color="auto" w:fill="auto"/>
            <w:noWrap/>
            <w:vAlign w:val="bottom"/>
            <w:hideMark/>
          </w:tcPr>
          <w:p w14:paraId="016BE031"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271,140</w:t>
            </w:r>
          </w:p>
        </w:tc>
        <w:tc>
          <w:tcPr>
            <w:tcW w:w="1144" w:type="dxa"/>
            <w:tcBorders>
              <w:top w:val="nil"/>
              <w:left w:val="nil"/>
              <w:bottom w:val="single" w:sz="4" w:space="0" w:color="auto"/>
              <w:right w:val="nil"/>
            </w:tcBorders>
            <w:shd w:val="clear" w:color="auto" w:fill="auto"/>
            <w:noWrap/>
            <w:vAlign w:val="bottom"/>
            <w:hideMark/>
          </w:tcPr>
          <w:p w14:paraId="228474B8"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13,688,351</w:t>
            </w:r>
          </w:p>
        </w:tc>
      </w:tr>
      <w:tr w:rsidR="006F02AC" w:rsidRPr="00163159" w14:paraId="576081B8" w14:textId="77777777" w:rsidTr="00164D19">
        <w:trPr>
          <w:trHeight w:val="300"/>
        </w:trPr>
        <w:tc>
          <w:tcPr>
            <w:tcW w:w="6210" w:type="dxa"/>
            <w:gridSpan w:val="4"/>
            <w:tcBorders>
              <w:top w:val="single" w:sz="4" w:space="0" w:color="auto"/>
              <w:left w:val="nil"/>
              <w:bottom w:val="nil"/>
              <w:right w:val="nil"/>
            </w:tcBorders>
            <w:shd w:val="clear" w:color="auto" w:fill="auto"/>
            <w:noWrap/>
            <w:vAlign w:val="bottom"/>
            <w:hideMark/>
          </w:tcPr>
          <w:p w14:paraId="7A392051" w14:textId="77777777" w:rsidR="006F02AC" w:rsidRPr="00163159" w:rsidRDefault="006F02AC" w:rsidP="006F02AC">
            <w:pPr>
              <w:spacing w:line="240" w:lineRule="auto"/>
              <w:rPr>
                <w:rFonts w:eastAsia="Times New Roman" w:cs="Times New Roman"/>
                <w:iCs/>
                <w:color w:val="000000"/>
                <w:sz w:val="12"/>
                <w:szCs w:val="18"/>
              </w:rPr>
            </w:pPr>
          </w:p>
          <w:p w14:paraId="66A15C58" w14:textId="3636DA8E" w:rsidR="006F02AC" w:rsidRPr="00163159" w:rsidRDefault="006F02AC" w:rsidP="006F02AC">
            <w:pPr>
              <w:spacing w:line="240" w:lineRule="auto"/>
              <w:rPr>
                <w:rFonts w:eastAsia="Times New Roman" w:cs="Times New Roman"/>
                <w:iCs/>
                <w:color w:val="000000"/>
                <w:sz w:val="18"/>
                <w:szCs w:val="18"/>
              </w:rPr>
            </w:pPr>
            <w:r w:rsidRPr="00163159">
              <w:rPr>
                <w:rFonts w:eastAsia="Times New Roman" w:cs="Times New Roman"/>
                <w:iCs/>
                <w:color w:val="000000"/>
                <w:sz w:val="18"/>
                <w:szCs w:val="18"/>
              </w:rPr>
              <w:t xml:space="preserve">Source: </w:t>
            </w:r>
            <w:r w:rsidR="0020362E">
              <w:rPr>
                <w:rFonts w:eastAsia="Times New Roman" w:cs="Times New Roman"/>
                <w:iCs/>
                <w:color w:val="000000"/>
                <w:sz w:val="18"/>
                <w:szCs w:val="18"/>
              </w:rPr>
              <w:t>2007-2011</w:t>
            </w:r>
            <w:r w:rsidRPr="00163159">
              <w:rPr>
                <w:rFonts w:eastAsia="Times New Roman" w:cs="Times New Roman"/>
                <w:iCs/>
                <w:color w:val="000000"/>
                <w:sz w:val="18"/>
                <w:szCs w:val="18"/>
              </w:rPr>
              <w:t xml:space="preserve"> American Community Survey</w:t>
            </w:r>
          </w:p>
        </w:tc>
      </w:tr>
    </w:tbl>
    <w:p w14:paraId="4485C0A0" w14:textId="77777777" w:rsidR="006F02AC" w:rsidRPr="00163159" w:rsidRDefault="006F02AC" w:rsidP="006F02AC"/>
    <w:tbl>
      <w:tblPr>
        <w:tblW w:w="6126" w:type="dxa"/>
        <w:tblInd w:w="93" w:type="dxa"/>
        <w:tblLayout w:type="fixed"/>
        <w:tblLook w:val="04A0" w:firstRow="1" w:lastRow="0" w:firstColumn="1" w:lastColumn="0" w:noHBand="0" w:noVBand="1"/>
      </w:tblPr>
      <w:tblGrid>
        <w:gridCol w:w="2166"/>
        <w:gridCol w:w="1359"/>
        <w:gridCol w:w="1341"/>
        <w:gridCol w:w="819"/>
        <w:gridCol w:w="441"/>
      </w:tblGrid>
      <w:tr w:rsidR="006F02AC" w:rsidRPr="00163159" w14:paraId="411C10E2" w14:textId="77777777" w:rsidTr="00164D19">
        <w:trPr>
          <w:trHeight w:val="300"/>
        </w:trPr>
        <w:tc>
          <w:tcPr>
            <w:tcW w:w="6126" w:type="dxa"/>
            <w:gridSpan w:val="5"/>
            <w:tcBorders>
              <w:top w:val="nil"/>
              <w:left w:val="nil"/>
              <w:bottom w:val="nil"/>
              <w:right w:val="nil"/>
            </w:tcBorders>
            <w:shd w:val="clear" w:color="000000" w:fill="000000"/>
            <w:noWrap/>
            <w:vAlign w:val="bottom"/>
            <w:hideMark/>
          </w:tcPr>
          <w:p w14:paraId="15B7A405" w14:textId="612ADA16" w:rsidR="006F02AC" w:rsidRPr="00163159" w:rsidRDefault="006F02AC" w:rsidP="006F02AC">
            <w:pPr>
              <w:rPr>
                <w:rFonts w:eastAsia="Times New Roman" w:cs="Times New Roman"/>
                <w:b/>
                <w:bCs/>
                <w:color w:val="FFFFFF"/>
                <w:sz w:val="20"/>
                <w:szCs w:val="20"/>
              </w:rPr>
            </w:pPr>
            <w:r w:rsidRPr="00163159">
              <w:rPr>
                <w:rFonts w:eastAsia="Times New Roman" w:cs="Times New Roman"/>
                <w:b/>
                <w:bCs/>
                <w:color w:val="FFFFFF"/>
                <w:sz w:val="20"/>
                <w:szCs w:val="20"/>
              </w:rPr>
              <w:t>Number of Bedrooms Per Unit Comparison (2011)</w:t>
            </w:r>
          </w:p>
        </w:tc>
      </w:tr>
      <w:tr w:rsidR="006F02AC" w:rsidRPr="00163159" w14:paraId="5B0BA75A" w14:textId="77777777" w:rsidTr="00164D19">
        <w:trPr>
          <w:trHeight w:val="320"/>
        </w:trPr>
        <w:tc>
          <w:tcPr>
            <w:tcW w:w="2166" w:type="dxa"/>
            <w:tcBorders>
              <w:top w:val="nil"/>
              <w:left w:val="nil"/>
              <w:bottom w:val="single" w:sz="8" w:space="0" w:color="auto"/>
              <w:right w:val="nil"/>
            </w:tcBorders>
            <w:shd w:val="clear" w:color="auto" w:fill="auto"/>
            <w:noWrap/>
            <w:vAlign w:val="bottom"/>
            <w:hideMark/>
          </w:tcPr>
          <w:p w14:paraId="6CC0895D" w14:textId="77777777" w:rsidR="006F02AC" w:rsidRPr="00163159" w:rsidRDefault="006F02AC" w:rsidP="006F02AC">
            <w:pPr>
              <w:spacing w:line="240" w:lineRule="auto"/>
              <w:rPr>
                <w:rFonts w:eastAsia="Times New Roman" w:cs="Times New Roman"/>
                <w:color w:val="000000"/>
                <w:sz w:val="18"/>
                <w:szCs w:val="18"/>
              </w:rPr>
            </w:pPr>
            <w:r w:rsidRPr="00163159">
              <w:rPr>
                <w:rFonts w:eastAsia="Times New Roman" w:cs="Times New Roman"/>
                <w:color w:val="000000"/>
                <w:sz w:val="18"/>
                <w:szCs w:val="18"/>
              </w:rPr>
              <w:t> </w:t>
            </w:r>
          </w:p>
        </w:tc>
        <w:tc>
          <w:tcPr>
            <w:tcW w:w="1359" w:type="dxa"/>
            <w:tcBorders>
              <w:top w:val="nil"/>
              <w:left w:val="nil"/>
              <w:bottom w:val="single" w:sz="8" w:space="0" w:color="auto"/>
              <w:right w:val="nil"/>
            </w:tcBorders>
            <w:shd w:val="clear" w:color="auto" w:fill="auto"/>
            <w:noWrap/>
            <w:vAlign w:val="bottom"/>
            <w:hideMark/>
          </w:tcPr>
          <w:p w14:paraId="43FD7714" w14:textId="77777777" w:rsidR="006F02AC" w:rsidRPr="00163159" w:rsidRDefault="006F02AC" w:rsidP="006F02AC">
            <w:pPr>
              <w:spacing w:line="240" w:lineRule="auto"/>
              <w:jc w:val="right"/>
              <w:rPr>
                <w:rFonts w:eastAsia="Times New Roman" w:cs="Times New Roman"/>
                <w:b/>
                <w:bCs/>
                <w:color w:val="000000"/>
                <w:sz w:val="18"/>
                <w:szCs w:val="18"/>
              </w:rPr>
            </w:pPr>
          </w:p>
          <w:p w14:paraId="142C955A" w14:textId="09EE7222" w:rsidR="006F02AC" w:rsidRPr="00163159" w:rsidRDefault="003B70CF" w:rsidP="006F02AC">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 xml:space="preserve">Town of </w:t>
            </w:r>
            <w:r w:rsidR="00853231" w:rsidRPr="00163159">
              <w:rPr>
                <w:rFonts w:eastAsia="Times New Roman" w:cs="Times New Roman"/>
                <w:b/>
                <w:bCs/>
                <w:color w:val="000000"/>
                <w:sz w:val="18"/>
                <w:szCs w:val="18"/>
              </w:rPr>
              <w:t>Hillsborough</w:t>
            </w:r>
          </w:p>
          <w:p w14:paraId="316297C4" w14:textId="6DCE021F" w:rsidR="006F02AC" w:rsidRPr="00163159" w:rsidRDefault="006F02AC" w:rsidP="006F02AC">
            <w:pPr>
              <w:spacing w:line="240" w:lineRule="auto"/>
              <w:jc w:val="right"/>
              <w:rPr>
                <w:rFonts w:eastAsia="Times New Roman" w:cs="Times New Roman"/>
                <w:b/>
                <w:bCs/>
                <w:color w:val="000000"/>
                <w:sz w:val="10"/>
                <w:szCs w:val="18"/>
              </w:rPr>
            </w:pPr>
          </w:p>
        </w:tc>
        <w:tc>
          <w:tcPr>
            <w:tcW w:w="1341" w:type="dxa"/>
            <w:tcBorders>
              <w:top w:val="nil"/>
              <w:left w:val="nil"/>
              <w:bottom w:val="single" w:sz="8" w:space="0" w:color="auto"/>
              <w:right w:val="nil"/>
            </w:tcBorders>
            <w:shd w:val="clear" w:color="auto" w:fill="auto"/>
            <w:noWrap/>
            <w:vAlign w:val="bottom"/>
            <w:hideMark/>
          </w:tcPr>
          <w:p w14:paraId="3F114263" w14:textId="77777777" w:rsidR="006F02AC" w:rsidRPr="00163159" w:rsidRDefault="006F02AC" w:rsidP="006F02AC">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San Mateo County</w:t>
            </w:r>
          </w:p>
          <w:p w14:paraId="2E651218" w14:textId="13344086" w:rsidR="006F02AC" w:rsidRPr="00163159" w:rsidRDefault="006F02AC" w:rsidP="006F02AC">
            <w:pPr>
              <w:spacing w:line="240" w:lineRule="auto"/>
              <w:jc w:val="right"/>
              <w:rPr>
                <w:rFonts w:eastAsia="Times New Roman" w:cs="Times New Roman"/>
                <w:b/>
                <w:bCs/>
                <w:color w:val="000000"/>
                <w:sz w:val="10"/>
                <w:szCs w:val="18"/>
              </w:rPr>
            </w:pPr>
          </w:p>
        </w:tc>
        <w:tc>
          <w:tcPr>
            <w:tcW w:w="1260" w:type="dxa"/>
            <w:gridSpan w:val="2"/>
            <w:tcBorders>
              <w:top w:val="nil"/>
              <w:left w:val="nil"/>
              <w:bottom w:val="single" w:sz="8" w:space="0" w:color="auto"/>
              <w:right w:val="nil"/>
            </w:tcBorders>
            <w:shd w:val="clear" w:color="auto" w:fill="auto"/>
            <w:noWrap/>
            <w:vAlign w:val="bottom"/>
            <w:hideMark/>
          </w:tcPr>
          <w:p w14:paraId="06A690E5" w14:textId="77777777" w:rsidR="006F02AC" w:rsidRPr="00163159" w:rsidRDefault="006F02AC" w:rsidP="006F02AC">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State of California</w:t>
            </w:r>
          </w:p>
          <w:p w14:paraId="7673FF07" w14:textId="569BFF76" w:rsidR="006F02AC" w:rsidRPr="00163159" w:rsidRDefault="006F02AC" w:rsidP="006F02AC">
            <w:pPr>
              <w:spacing w:line="240" w:lineRule="auto"/>
              <w:jc w:val="right"/>
              <w:rPr>
                <w:rFonts w:eastAsia="Times New Roman" w:cs="Times New Roman"/>
                <w:b/>
                <w:bCs/>
                <w:color w:val="000000"/>
                <w:sz w:val="10"/>
                <w:szCs w:val="18"/>
              </w:rPr>
            </w:pPr>
          </w:p>
        </w:tc>
      </w:tr>
      <w:tr w:rsidR="00164D19" w:rsidRPr="00163159" w14:paraId="08F37EAE" w14:textId="77777777" w:rsidTr="00164D19">
        <w:trPr>
          <w:trHeight w:val="300"/>
        </w:trPr>
        <w:tc>
          <w:tcPr>
            <w:tcW w:w="2166" w:type="dxa"/>
            <w:tcBorders>
              <w:top w:val="single" w:sz="4" w:space="0" w:color="808080"/>
              <w:left w:val="nil"/>
              <w:bottom w:val="single" w:sz="4" w:space="0" w:color="808080"/>
              <w:right w:val="nil"/>
            </w:tcBorders>
            <w:shd w:val="clear" w:color="auto" w:fill="auto"/>
            <w:noWrap/>
            <w:vAlign w:val="bottom"/>
            <w:hideMark/>
          </w:tcPr>
          <w:p w14:paraId="6920129E"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No bedroom</w:t>
            </w:r>
          </w:p>
        </w:tc>
        <w:tc>
          <w:tcPr>
            <w:tcW w:w="1359" w:type="dxa"/>
            <w:tcBorders>
              <w:top w:val="single" w:sz="4" w:space="0" w:color="808080"/>
              <w:left w:val="nil"/>
              <w:bottom w:val="single" w:sz="4" w:space="0" w:color="808080"/>
              <w:right w:val="nil"/>
            </w:tcBorders>
            <w:shd w:val="clear" w:color="auto" w:fill="auto"/>
            <w:noWrap/>
            <w:vAlign w:val="bottom"/>
            <w:hideMark/>
          </w:tcPr>
          <w:p w14:paraId="0E7718F5" w14:textId="1FA4BB94"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341" w:type="dxa"/>
            <w:tcBorders>
              <w:top w:val="single" w:sz="4" w:space="0" w:color="808080"/>
              <w:left w:val="nil"/>
              <w:bottom w:val="single" w:sz="4" w:space="0" w:color="808080"/>
              <w:right w:val="nil"/>
            </w:tcBorders>
            <w:shd w:val="clear" w:color="auto" w:fill="auto"/>
            <w:noWrap/>
            <w:vAlign w:val="bottom"/>
            <w:hideMark/>
          </w:tcPr>
          <w:p w14:paraId="0A053584"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4%</w:t>
            </w:r>
          </w:p>
        </w:tc>
        <w:tc>
          <w:tcPr>
            <w:tcW w:w="1260" w:type="dxa"/>
            <w:gridSpan w:val="2"/>
            <w:tcBorders>
              <w:top w:val="single" w:sz="4" w:space="0" w:color="808080"/>
              <w:left w:val="nil"/>
              <w:bottom w:val="single" w:sz="4" w:space="0" w:color="808080"/>
              <w:right w:val="nil"/>
            </w:tcBorders>
            <w:shd w:val="clear" w:color="auto" w:fill="auto"/>
            <w:noWrap/>
            <w:vAlign w:val="bottom"/>
            <w:hideMark/>
          </w:tcPr>
          <w:p w14:paraId="04E2B983"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4%</w:t>
            </w:r>
          </w:p>
        </w:tc>
      </w:tr>
      <w:tr w:rsidR="00164D19" w:rsidRPr="00163159" w14:paraId="2E35141F" w14:textId="77777777" w:rsidTr="00164D19">
        <w:trPr>
          <w:trHeight w:val="300"/>
        </w:trPr>
        <w:tc>
          <w:tcPr>
            <w:tcW w:w="2166" w:type="dxa"/>
            <w:tcBorders>
              <w:top w:val="nil"/>
              <w:left w:val="nil"/>
              <w:bottom w:val="single" w:sz="4" w:space="0" w:color="808080"/>
              <w:right w:val="nil"/>
            </w:tcBorders>
            <w:shd w:val="clear" w:color="auto" w:fill="auto"/>
            <w:noWrap/>
            <w:vAlign w:val="bottom"/>
            <w:hideMark/>
          </w:tcPr>
          <w:p w14:paraId="004F9382"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1 bedroom</w:t>
            </w:r>
          </w:p>
        </w:tc>
        <w:tc>
          <w:tcPr>
            <w:tcW w:w="1359" w:type="dxa"/>
            <w:tcBorders>
              <w:top w:val="nil"/>
              <w:left w:val="nil"/>
              <w:bottom w:val="single" w:sz="4" w:space="0" w:color="808080"/>
              <w:right w:val="nil"/>
            </w:tcBorders>
            <w:shd w:val="clear" w:color="auto" w:fill="auto"/>
            <w:noWrap/>
            <w:vAlign w:val="bottom"/>
            <w:hideMark/>
          </w:tcPr>
          <w:p w14:paraId="07DAA1D8" w14:textId="233C81C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0%</w:t>
            </w:r>
          </w:p>
        </w:tc>
        <w:tc>
          <w:tcPr>
            <w:tcW w:w="1341" w:type="dxa"/>
            <w:tcBorders>
              <w:top w:val="nil"/>
              <w:left w:val="nil"/>
              <w:bottom w:val="single" w:sz="4" w:space="0" w:color="808080"/>
              <w:right w:val="nil"/>
            </w:tcBorders>
            <w:shd w:val="clear" w:color="auto" w:fill="auto"/>
            <w:noWrap/>
            <w:vAlign w:val="bottom"/>
            <w:hideMark/>
          </w:tcPr>
          <w:p w14:paraId="697F971C"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16%</w:t>
            </w:r>
          </w:p>
        </w:tc>
        <w:tc>
          <w:tcPr>
            <w:tcW w:w="1260" w:type="dxa"/>
            <w:gridSpan w:val="2"/>
            <w:tcBorders>
              <w:top w:val="nil"/>
              <w:left w:val="nil"/>
              <w:bottom w:val="single" w:sz="4" w:space="0" w:color="808080"/>
              <w:right w:val="nil"/>
            </w:tcBorders>
            <w:shd w:val="clear" w:color="auto" w:fill="auto"/>
            <w:noWrap/>
            <w:vAlign w:val="bottom"/>
            <w:hideMark/>
          </w:tcPr>
          <w:p w14:paraId="5ED50BDD"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14%</w:t>
            </w:r>
          </w:p>
        </w:tc>
      </w:tr>
      <w:tr w:rsidR="00164D19" w:rsidRPr="00163159" w14:paraId="143A424C" w14:textId="77777777" w:rsidTr="00164D19">
        <w:trPr>
          <w:trHeight w:val="300"/>
        </w:trPr>
        <w:tc>
          <w:tcPr>
            <w:tcW w:w="2166" w:type="dxa"/>
            <w:tcBorders>
              <w:top w:val="nil"/>
              <w:left w:val="nil"/>
              <w:bottom w:val="single" w:sz="4" w:space="0" w:color="808080"/>
              <w:right w:val="nil"/>
            </w:tcBorders>
            <w:shd w:val="clear" w:color="auto" w:fill="auto"/>
            <w:noWrap/>
            <w:vAlign w:val="bottom"/>
            <w:hideMark/>
          </w:tcPr>
          <w:p w14:paraId="4551C63F"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2 bedrooms</w:t>
            </w:r>
          </w:p>
        </w:tc>
        <w:tc>
          <w:tcPr>
            <w:tcW w:w="1359" w:type="dxa"/>
            <w:tcBorders>
              <w:top w:val="nil"/>
              <w:left w:val="nil"/>
              <w:bottom w:val="single" w:sz="4" w:space="0" w:color="808080"/>
              <w:right w:val="nil"/>
            </w:tcBorders>
            <w:shd w:val="clear" w:color="auto" w:fill="auto"/>
            <w:noWrap/>
            <w:vAlign w:val="bottom"/>
            <w:hideMark/>
          </w:tcPr>
          <w:p w14:paraId="6D2F48AF" w14:textId="626E7F51"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2%</w:t>
            </w:r>
          </w:p>
        </w:tc>
        <w:tc>
          <w:tcPr>
            <w:tcW w:w="1341" w:type="dxa"/>
            <w:tcBorders>
              <w:top w:val="nil"/>
              <w:left w:val="nil"/>
              <w:bottom w:val="single" w:sz="4" w:space="0" w:color="808080"/>
              <w:right w:val="nil"/>
            </w:tcBorders>
            <w:shd w:val="clear" w:color="auto" w:fill="auto"/>
            <w:noWrap/>
            <w:vAlign w:val="bottom"/>
            <w:hideMark/>
          </w:tcPr>
          <w:p w14:paraId="4A044DB2"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26%</w:t>
            </w:r>
          </w:p>
        </w:tc>
        <w:tc>
          <w:tcPr>
            <w:tcW w:w="1260" w:type="dxa"/>
            <w:gridSpan w:val="2"/>
            <w:tcBorders>
              <w:top w:val="nil"/>
              <w:left w:val="nil"/>
              <w:bottom w:val="single" w:sz="4" w:space="0" w:color="808080"/>
              <w:right w:val="nil"/>
            </w:tcBorders>
            <w:shd w:val="clear" w:color="auto" w:fill="auto"/>
            <w:noWrap/>
            <w:vAlign w:val="bottom"/>
            <w:hideMark/>
          </w:tcPr>
          <w:p w14:paraId="222583B4"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28%</w:t>
            </w:r>
          </w:p>
        </w:tc>
      </w:tr>
      <w:tr w:rsidR="00164D19" w:rsidRPr="00163159" w14:paraId="6FA4547D" w14:textId="77777777" w:rsidTr="00164D19">
        <w:trPr>
          <w:trHeight w:val="300"/>
        </w:trPr>
        <w:tc>
          <w:tcPr>
            <w:tcW w:w="2166" w:type="dxa"/>
            <w:tcBorders>
              <w:top w:val="nil"/>
              <w:left w:val="nil"/>
              <w:bottom w:val="single" w:sz="4" w:space="0" w:color="808080"/>
              <w:right w:val="nil"/>
            </w:tcBorders>
            <w:shd w:val="clear" w:color="auto" w:fill="auto"/>
            <w:noWrap/>
            <w:vAlign w:val="bottom"/>
            <w:hideMark/>
          </w:tcPr>
          <w:p w14:paraId="1A0E100A"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3 bedrooms</w:t>
            </w:r>
          </w:p>
        </w:tc>
        <w:tc>
          <w:tcPr>
            <w:tcW w:w="1359" w:type="dxa"/>
            <w:tcBorders>
              <w:top w:val="nil"/>
              <w:left w:val="nil"/>
              <w:bottom w:val="single" w:sz="4" w:space="0" w:color="808080"/>
              <w:right w:val="nil"/>
            </w:tcBorders>
            <w:shd w:val="clear" w:color="auto" w:fill="auto"/>
            <w:noWrap/>
            <w:vAlign w:val="bottom"/>
            <w:hideMark/>
          </w:tcPr>
          <w:p w14:paraId="288A0C7A" w14:textId="493FFFB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18%</w:t>
            </w:r>
          </w:p>
        </w:tc>
        <w:tc>
          <w:tcPr>
            <w:tcW w:w="1341" w:type="dxa"/>
            <w:tcBorders>
              <w:top w:val="nil"/>
              <w:left w:val="nil"/>
              <w:bottom w:val="single" w:sz="4" w:space="0" w:color="808080"/>
              <w:right w:val="nil"/>
            </w:tcBorders>
            <w:shd w:val="clear" w:color="auto" w:fill="auto"/>
            <w:noWrap/>
            <w:vAlign w:val="bottom"/>
            <w:hideMark/>
          </w:tcPr>
          <w:p w14:paraId="530D6AAD"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34%</w:t>
            </w:r>
          </w:p>
        </w:tc>
        <w:tc>
          <w:tcPr>
            <w:tcW w:w="1260" w:type="dxa"/>
            <w:gridSpan w:val="2"/>
            <w:tcBorders>
              <w:top w:val="nil"/>
              <w:left w:val="nil"/>
              <w:bottom w:val="single" w:sz="4" w:space="0" w:color="808080"/>
              <w:right w:val="nil"/>
            </w:tcBorders>
            <w:shd w:val="clear" w:color="auto" w:fill="auto"/>
            <w:noWrap/>
            <w:vAlign w:val="bottom"/>
            <w:hideMark/>
          </w:tcPr>
          <w:p w14:paraId="44C25E31"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33%</w:t>
            </w:r>
          </w:p>
        </w:tc>
      </w:tr>
      <w:tr w:rsidR="00164D19" w:rsidRPr="00163159" w14:paraId="3D8E8DC3" w14:textId="77777777" w:rsidTr="00164D19">
        <w:trPr>
          <w:trHeight w:val="300"/>
        </w:trPr>
        <w:tc>
          <w:tcPr>
            <w:tcW w:w="2166" w:type="dxa"/>
            <w:tcBorders>
              <w:top w:val="nil"/>
              <w:left w:val="nil"/>
              <w:bottom w:val="single" w:sz="4" w:space="0" w:color="808080"/>
              <w:right w:val="nil"/>
            </w:tcBorders>
            <w:shd w:val="clear" w:color="auto" w:fill="auto"/>
            <w:noWrap/>
            <w:vAlign w:val="bottom"/>
            <w:hideMark/>
          </w:tcPr>
          <w:p w14:paraId="0E4A45AF"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4 bedrooms</w:t>
            </w:r>
          </w:p>
        </w:tc>
        <w:tc>
          <w:tcPr>
            <w:tcW w:w="1359" w:type="dxa"/>
            <w:tcBorders>
              <w:top w:val="nil"/>
              <w:left w:val="nil"/>
              <w:bottom w:val="single" w:sz="4" w:space="0" w:color="808080"/>
              <w:right w:val="nil"/>
            </w:tcBorders>
            <w:shd w:val="clear" w:color="auto" w:fill="auto"/>
            <w:noWrap/>
            <w:vAlign w:val="bottom"/>
            <w:hideMark/>
          </w:tcPr>
          <w:p w14:paraId="5260113B" w14:textId="77C5F344"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48%</w:t>
            </w:r>
          </w:p>
        </w:tc>
        <w:tc>
          <w:tcPr>
            <w:tcW w:w="1341" w:type="dxa"/>
            <w:tcBorders>
              <w:top w:val="nil"/>
              <w:left w:val="nil"/>
              <w:bottom w:val="single" w:sz="4" w:space="0" w:color="808080"/>
              <w:right w:val="nil"/>
            </w:tcBorders>
            <w:shd w:val="clear" w:color="auto" w:fill="auto"/>
            <w:noWrap/>
            <w:vAlign w:val="bottom"/>
            <w:hideMark/>
          </w:tcPr>
          <w:p w14:paraId="4A81E949"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16%</w:t>
            </w:r>
          </w:p>
        </w:tc>
        <w:tc>
          <w:tcPr>
            <w:tcW w:w="1260" w:type="dxa"/>
            <w:gridSpan w:val="2"/>
            <w:tcBorders>
              <w:top w:val="nil"/>
              <w:left w:val="nil"/>
              <w:bottom w:val="single" w:sz="4" w:space="0" w:color="808080"/>
              <w:right w:val="nil"/>
            </w:tcBorders>
            <w:shd w:val="clear" w:color="auto" w:fill="auto"/>
            <w:noWrap/>
            <w:vAlign w:val="bottom"/>
            <w:hideMark/>
          </w:tcPr>
          <w:p w14:paraId="74DF8216"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16%</w:t>
            </w:r>
          </w:p>
        </w:tc>
      </w:tr>
      <w:tr w:rsidR="00164D19" w:rsidRPr="00163159" w14:paraId="7D322EB6" w14:textId="77777777" w:rsidTr="00164D19">
        <w:trPr>
          <w:trHeight w:val="300"/>
        </w:trPr>
        <w:tc>
          <w:tcPr>
            <w:tcW w:w="2166" w:type="dxa"/>
            <w:tcBorders>
              <w:top w:val="nil"/>
              <w:left w:val="nil"/>
              <w:bottom w:val="single" w:sz="4" w:space="0" w:color="auto"/>
              <w:right w:val="nil"/>
            </w:tcBorders>
            <w:shd w:val="clear" w:color="auto" w:fill="auto"/>
            <w:noWrap/>
            <w:vAlign w:val="bottom"/>
            <w:hideMark/>
          </w:tcPr>
          <w:p w14:paraId="20E150C7"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5 or more bedrooms</w:t>
            </w:r>
          </w:p>
        </w:tc>
        <w:tc>
          <w:tcPr>
            <w:tcW w:w="1359" w:type="dxa"/>
            <w:tcBorders>
              <w:top w:val="nil"/>
              <w:left w:val="nil"/>
              <w:bottom w:val="single" w:sz="4" w:space="0" w:color="808080"/>
              <w:right w:val="nil"/>
            </w:tcBorders>
            <w:shd w:val="clear" w:color="auto" w:fill="auto"/>
            <w:noWrap/>
            <w:vAlign w:val="bottom"/>
            <w:hideMark/>
          </w:tcPr>
          <w:p w14:paraId="7EE49B16" w14:textId="5FBCCEF5"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32%</w:t>
            </w:r>
          </w:p>
        </w:tc>
        <w:tc>
          <w:tcPr>
            <w:tcW w:w="1341" w:type="dxa"/>
            <w:tcBorders>
              <w:top w:val="nil"/>
              <w:left w:val="nil"/>
              <w:bottom w:val="single" w:sz="4" w:space="0" w:color="808080"/>
              <w:right w:val="nil"/>
            </w:tcBorders>
            <w:shd w:val="clear" w:color="auto" w:fill="auto"/>
            <w:noWrap/>
            <w:vAlign w:val="bottom"/>
            <w:hideMark/>
          </w:tcPr>
          <w:p w14:paraId="231E8F0F"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5%</w:t>
            </w:r>
          </w:p>
        </w:tc>
        <w:tc>
          <w:tcPr>
            <w:tcW w:w="1260" w:type="dxa"/>
            <w:gridSpan w:val="2"/>
            <w:tcBorders>
              <w:top w:val="nil"/>
              <w:left w:val="nil"/>
              <w:bottom w:val="single" w:sz="4" w:space="0" w:color="808080"/>
              <w:right w:val="nil"/>
            </w:tcBorders>
            <w:shd w:val="clear" w:color="auto" w:fill="auto"/>
            <w:noWrap/>
            <w:vAlign w:val="bottom"/>
            <w:hideMark/>
          </w:tcPr>
          <w:p w14:paraId="6662F3DC"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4%</w:t>
            </w:r>
          </w:p>
        </w:tc>
      </w:tr>
      <w:tr w:rsidR="00164D19" w:rsidRPr="00163159" w14:paraId="46CCF952" w14:textId="77777777" w:rsidTr="00164D19">
        <w:trPr>
          <w:trHeight w:val="300"/>
        </w:trPr>
        <w:tc>
          <w:tcPr>
            <w:tcW w:w="2166" w:type="dxa"/>
            <w:tcBorders>
              <w:top w:val="nil"/>
              <w:left w:val="nil"/>
              <w:bottom w:val="single" w:sz="4" w:space="0" w:color="auto"/>
              <w:right w:val="nil"/>
            </w:tcBorders>
            <w:shd w:val="clear" w:color="auto" w:fill="auto"/>
            <w:noWrap/>
            <w:vAlign w:val="bottom"/>
            <w:hideMark/>
          </w:tcPr>
          <w:p w14:paraId="0936FC9F" w14:textId="77777777" w:rsidR="00164D19" w:rsidRPr="00163159" w:rsidRDefault="00164D19" w:rsidP="00AE7A6A">
            <w:pPr>
              <w:rPr>
                <w:rFonts w:eastAsia="Times New Roman" w:cs="Times New Roman"/>
                <w:color w:val="000000"/>
                <w:sz w:val="18"/>
                <w:szCs w:val="18"/>
              </w:rPr>
            </w:pPr>
            <w:r w:rsidRPr="00163159">
              <w:rPr>
                <w:rFonts w:eastAsia="Times New Roman" w:cs="Times New Roman"/>
                <w:color w:val="000000"/>
                <w:sz w:val="18"/>
                <w:szCs w:val="18"/>
              </w:rPr>
              <w:t>Total</w:t>
            </w:r>
          </w:p>
        </w:tc>
        <w:tc>
          <w:tcPr>
            <w:tcW w:w="1359" w:type="dxa"/>
            <w:tcBorders>
              <w:top w:val="single" w:sz="4" w:space="0" w:color="auto"/>
              <w:left w:val="nil"/>
              <w:bottom w:val="single" w:sz="4" w:space="0" w:color="auto"/>
              <w:right w:val="nil"/>
            </w:tcBorders>
            <w:shd w:val="clear" w:color="auto" w:fill="auto"/>
            <w:noWrap/>
            <w:vAlign w:val="bottom"/>
            <w:hideMark/>
          </w:tcPr>
          <w:p w14:paraId="1D862705" w14:textId="1B7A4DE8"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3,801</w:t>
            </w:r>
          </w:p>
        </w:tc>
        <w:tc>
          <w:tcPr>
            <w:tcW w:w="1341" w:type="dxa"/>
            <w:tcBorders>
              <w:top w:val="single" w:sz="4" w:space="0" w:color="auto"/>
              <w:left w:val="nil"/>
              <w:bottom w:val="single" w:sz="4" w:space="0" w:color="auto"/>
              <w:right w:val="nil"/>
            </w:tcBorders>
            <w:shd w:val="clear" w:color="auto" w:fill="auto"/>
            <w:noWrap/>
            <w:vAlign w:val="bottom"/>
            <w:hideMark/>
          </w:tcPr>
          <w:p w14:paraId="3E93BAB1"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271,140</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446DE3E7" w14:textId="77777777" w:rsidR="00164D19" w:rsidRPr="00163159" w:rsidRDefault="00164D19" w:rsidP="00AE7A6A">
            <w:pPr>
              <w:jc w:val="right"/>
              <w:rPr>
                <w:rFonts w:eastAsia="Times New Roman" w:cs="Times New Roman"/>
                <w:color w:val="000000"/>
                <w:sz w:val="18"/>
                <w:szCs w:val="18"/>
              </w:rPr>
            </w:pPr>
            <w:r w:rsidRPr="00163159">
              <w:rPr>
                <w:rFonts w:eastAsia="Times New Roman" w:cs="Times New Roman"/>
                <w:color w:val="000000"/>
                <w:sz w:val="18"/>
                <w:szCs w:val="18"/>
              </w:rPr>
              <w:t>13,688,351</w:t>
            </w:r>
          </w:p>
        </w:tc>
      </w:tr>
      <w:tr w:rsidR="006F02AC" w:rsidRPr="00163159" w14:paraId="62878FC7" w14:textId="77777777" w:rsidTr="00164D19">
        <w:trPr>
          <w:gridAfter w:val="1"/>
          <w:wAfter w:w="441" w:type="dxa"/>
          <w:trHeight w:val="300"/>
        </w:trPr>
        <w:tc>
          <w:tcPr>
            <w:tcW w:w="5685" w:type="dxa"/>
            <w:gridSpan w:val="4"/>
            <w:tcBorders>
              <w:top w:val="single" w:sz="4" w:space="0" w:color="auto"/>
              <w:left w:val="nil"/>
              <w:bottom w:val="nil"/>
              <w:right w:val="nil"/>
            </w:tcBorders>
            <w:shd w:val="clear" w:color="auto" w:fill="auto"/>
            <w:noWrap/>
            <w:vAlign w:val="bottom"/>
            <w:hideMark/>
          </w:tcPr>
          <w:p w14:paraId="3E0B79AD" w14:textId="77777777" w:rsidR="00164D19" w:rsidRPr="00163159" w:rsidRDefault="00164D19" w:rsidP="00AE7A6A">
            <w:pPr>
              <w:rPr>
                <w:rFonts w:eastAsia="Times New Roman" w:cs="Times New Roman"/>
                <w:iCs/>
                <w:color w:val="000000"/>
                <w:sz w:val="10"/>
                <w:szCs w:val="16"/>
              </w:rPr>
            </w:pPr>
          </w:p>
          <w:p w14:paraId="4085A7EA" w14:textId="3B5E45F0" w:rsidR="006F02AC" w:rsidRPr="00163159" w:rsidRDefault="006F02AC" w:rsidP="00AE7A6A">
            <w:pPr>
              <w:rPr>
                <w:rFonts w:eastAsia="Times New Roman" w:cs="Times New Roman"/>
                <w:i/>
                <w:iCs/>
                <w:color w:val="000000"/>
                <w:sz w:val="16"/>
                <w:szCs w:val="16"/>
              </w:rPr>
            </w:pPr>
            <w:r w:rsidRPr="00163159">
              <w:rPr>
                <w:rFonts w:eastAsia="Times New Roman" w:cs="Times New Roman"/>
                <w:i/>
                <w:iCs/>
                <w:color w:val="000000"/>
                <w:sz w:val="18"/>
                <w:szCs w:val="16"/>
              </w:rPr>
              <w:t xml:space="preserve">Source: </w:t>
            </w:r>
            <w:r w:rsidR="0020362E">
              <w:rPr>
                <w:rFonts w:eastAsia="Times New Roman" w:cs="Times New Roman"/>
                <w:i/>
                <w:iCs/>
                <w:color w:val="000000"/>
                <w:sz w:val="18"/>
                <w:szCs w:val="16"/>
              </w:rPr>
              <w:t>2007-2011</w:t>
            </w:r>
            <w:r w:rsidRPr="00163159">
              <w:rPr>
                <w:rFonts w:eastAsia="Times New Roman" w:cs="Times New Roman"/>
                <w:i/>
                <w:iCs/>
                <w:color w:val="000000"/>
                <w:sz w:val="18"/>
                <w:szCs w:val="16"/>
              </w:rPr>
              <w:t xml:space="preserve"> American Community Survey</w:t>
            </w:r>
          </w:p>
        </w:tc>
      </w:tr>
    </w:tbl>
    <w:p w14:paraId="05A3A1FC" w14:textId="77777777" w:rsidR="006F02AC" w:rsidRPr="00163159" w:rsidRDefault="006F02AC" w:rsidP="006F02AC"/>
    <w:p w14:paraId="292EBFE0" w14:textId="7E0F3937" w:rsidR="00A22844" w:rsidRPr="00163159" w:rsidRDefault="001D7056" w:rsidP="009F35D2">
      <w:pPr>
        <w:rPr>
          <w:b/>
          <w:color w:val="0B5095"/>
          <w:sz w:val="24"/>
          <w:szCs w:val="28"/>
        </w:rPr>
      </w:pPr>
      <w:r w:rsidRPr="00163159">
        <w:rPr>
          <w:b/>
          <w:color w:val="0B5095"/>
          <w:sz w:val="24"/>
          <w:szCs w:val="28"/>
        </w:rPr>
        <w:t xml:space="preserve">Occupancy Characteristics </w:t>
      </w:r>
    </w:p>
    <w:p w14:paraId="4EAC8D88" w14:textId="66293C48" w:rsidR="00E9222B" w:rsidRPr="00163159" w:rsidRDefault="005976A1" w:rsidP="003C454C">
      <w:pPr>
        <w:pStyle w:val="21ElementsText"/>
      </w:pPr>
      <w:r w:rsidRPr="00163159">
        <w:t>Similar</w:t>
      </w:r>
      <w:r w:rsidR="0020362E">
        <w:t xml:space="preserve"> to</w:t>
      </w:r>
      <w:r w:rsidRPr="00163159">
        <w:t xml:space="preserve"> the rest of San Mateo County and the Bay Area as a whole, the demand for both rental and ownership housing in </w:t>
      </w:r>
      <w:r w:rsidR="00853231" w:rsidRPr="00163159">
        <w:t>Hillsborough</w:t>
      </w:r>
      <w:r w:rsidRPr="00163159">
        <w:t xml:space="preserve"> is strong</w:t>
      </w:r>
      <w:r w:rsidR="0037327B" w:rsidRPr="00163159">
        <w:t xml:space="preserve">. </w:t>
      </w:r>
      <w:r w:rsidR="00853231" w:rsidRPr="00163159">
        <w:t>Hillsborough</w:t>
      </w:r>
      <w:r w:rsidR="0037327B" w:rsidRPr="00163159">
        <w:t xml:space="preserve">’s vacancy </w:t>
      </w:r>
      <w:r w:rsidRPr="00163159">
        <w:t>rate for owner-occupied homes was</w:t>
      </w:r>
      <w:r w:rsidR="0037327B" w:rsidRPr="00163159">
        <w:t xml:space="preserve"> </w:t>
      </w:r>
      <w:r w:rsidR="00A22844" w:rsidRPr="00163159">
        <w:t>non-existent</w:t>
      </w:r>
      <w:r w:rsidRPr="00163159">
        <w:t xml:space="preserve"> </w:t>
      </w:r>
      <w:r w:rsidR="0037327B" w:rsidRPr="00163159">
        <w:t>according to data from the ACS</w:t>
      </w:r>
      <w:r w:rsidRPr="00163159">
        <w:t xml:space="preserve"> in 2011</w:t>
      </w:r>
      <w:r w:rsidR="0020362E">
        <w:t>, although there are probably some vacant homes waiting to be sold</w:t>
      </w:r>
      <w:r w:rsidR="0037327B" w:rsidRPr="00163159">
        <w:t xml:space="preserve">. </w:t>
      </w:r>
      <w:r w:rsidR="009D71AA" w:rsidRPr="00163159">
        <w:t>Hillsborough has a much higher vacancy rate, 29 percent, for its few rental homes. This vacancy rate has increased from four percent in 2000</w:t>
      </w:r>
      <w:r w:rsidRPr="00163159">
        <w:t xml:space="preserve">. According to information from the California DOF, the overall vacancy rate in </w:t>
      </w:r>
      <w:r w:rsidR="00853231" w:rsidRPr="00163159">
        <w:t>Hillsborough</w:t>
      </w:r>
      <w:r w:rsidR="009D71AA" w:rsidRPr="00163159">
        <w:t xml:space="preserve"> was 5.6</w:t>
      </w:r>
      <w:r w:rsidRPr="00163159">
        <w:t xml:space="preserve">% as of January 2013, although this figure includes </w:t>
      </w:r>
      <w:r w:rsidR="00E9222B" w:rsidRPr="00163159">
        <w:t>all housing, including vacant housing unavailable for</w:t>
      </w:r>
      <w:r w:rsidRPr="00163159">
        <w:t xml:space="preserve"> </w:t>
      </w:r>
      <w:r w:rsidR="00E9222B" w:rsidRPr="00163159">
        <w:t>rent or sale.</w:t>
      </w:r>
      <w:r w:rsidRPr="00163159">
        <w:t xml:space="preserve"> A housing </w:t>
      </w:r>
      <w:r w:rsidR="0037327B" w:rsidRPr="00163159">
        <w:t>market with a vacancy rate under five</w:t>
      </w:r>
      <w:r w:rsidRPr="00163159">
        <w:t xml:space="preserve"> percent</w:t>
      </w:r>
      <w:r w:rsidR="0037327B" w:rsidRPr="00163159">
        <w:t xml:space="preserve"> is considered to be tight and contribute</w:t>
      </w:r>
      <w:r w:rsidRPr="00163159">
        <w:t>s</w:t>
      </w:r>
      <w:r w:rsidR="0037327B" w:rsidRPr="00163159">
        <w:t xml:space="preserve"> to concerns about overcrowding</w:t>
      </w:r>
      <w:r w:rsidRPr="00163159">
        <w:t>, housing availability and choice,</w:t>
      </w:r>
      <w:r w:rsidR="0037327B" w:rsidRPr="00163159">
        <w:t xml:space="preserve"> and </w:t>
      </w:r>
      <w:r w:rsidRPr="00163159">
        <w:t xml:space="preserve">housing </w:t>
      </w:r>
      <w:r w:rsidR="0037327B" w:rsidRPr="00163159">
        <w:t xml:space="preserve">affordability. </w:t>
      </w:r>
      <w:r w:rsidR="009A5ACA" w:rsidRPr="00163159">
        <w:t>The recent increases in rents and construction of new rental housing in San Mateo County are indicative of the high demand for rental housing relative to the supply of available rental units.</w:t>
      </w:r>
    </w:p>
    <w:p w14:paraId="426FDBB2" w14:textId="77777777" w:rsidR="00E9222B" w:rsidRPr="00163159" w:rsidRDefault="00E9222B" w:rsidP="00E9222B">
      <w:pPr>
        <w:rPr>
          <w:i/>
        </w:rPr>
      </w:pPr>
    </w:p>
    <w:tbl>
      <w:tblPr>
        <w:tblW w:w="6602" w:type="dxa"/>
        <w:tblInd w:w="93" w:type="dxa"/>
        <w:tblLayout w:type="fixed"/>
        <w:tblLook w:val="04A0" w:firstRow="1" w:lastRow="0" w:firstColumn="1" w:lastColumn="0" w:noHBand="0" w:noVBand="1"/>
      </w:tblPr>
      <w:tblGrid>
        <w:gridCol w:w="740"/>
        <w:gridCol w:w="1061"/>
        <w:gridCol w:w="1634"/>
        <w:gridCol w:w="1727"/>
        <w:gridCol w:w="1063"/>
        <w:gridCol w:w="377"/>
      </w:tblGrid>
      <w:tr w:rsidR="00E9222B" w:rsidRPr="00163159" w14:paraId="79AE09DC" w14:textId="77777777" w:rsidTr="00DD200D">
        <w:trPr>
          <w:trHeight w:val="300"/>
        </w:trPr>
        <w:tc>
          <w:tcPr>
            <w:tcW w:w="6602" w:type="dxa"/>
            <w:gridSpan w:val="6"/>
            <w:tcBorders>
              <w:top w:val="nil"/>
              <w:left w:val="nil"/>
              <w:bottom w:val="nil"/>
              <w:right w:val="nil"/>
            </w:tcBorders>
            <w:shd w:val="clear" w:color="000000" w:fill="000000"/>
            <w:noWrap/>
            <w:vAlign w:val="bottom"/>
            <w:hideMark/>
          </w:tcPr>
          <w:p w14:paraId="584C1427" w14:textId="1D57276D" w:rsidR="00E9222B" w:rsidRPr="00163159" w:rsidRDefault="00E9222B" w:rsidP="00E9222B">
            <w:pPr>
              <w:rPr>
                <w:rFonts w:eastAsia="Times New Roman" w:cs="Times New Roman"/>
                <w:b/>
                <w:bCs/>
                <w:color w:val="FFFFFF"/>
                <w:sz w:val="20"/>
                <w:szCs w:val="20"/>
              </w:rPr>
            </w:pPr>
            <w:r w:rsidRPr="00163159">
              <w:rPr>
                <w:rFonts w:eastAsia="Times New Roman" w:cs="Times New Roman"/>
                <w:b/>
                <w:bCs/>
                <w:color w:val="FFFFFF"/>
                <w:sz w:val="20"/>
                <w:szCs w:val="20"/>
              </w:rPr>
              <w:t>Vacancy Rates (2000 and 2011)</w:t>
            </w:r>
          </w:p>
        </w:tc>
      </w:tr>
      <w:tr w:rsidR="00E9222B" w:rsidRPr="00163159" w14:paraId="3BD76EBE" w14:textId="77777777" w:rsidTr="00DD200D">
        <w:trPr>
          <w:trHeight w:val="320"/>
        </w:trPr>
        <w:tc>
          <w:tcPr>
            <w:tcW w:w="740" w:type="dxa"/>
            <w:tcBorders>
              <w:top w:val="nil"/>
              <w:left w:val="nil"/>
              <w:bottom w:val="single" w:sz="8" w:space="0" w:color="auto"/>
              <w:right w:val="nil"/>
            </w:tcBorders>
            <w:shd w:val="clear" w:color="auto" w:fill="auto"/>
            <w:noWrap/>
            <w:vAlign w:val="bottom"/>
            <w:hideMark/>
          </w:tcPr>
          <w:p w14:paraId="24BD3A21" w14:textId="77777777" w:rsidR="00E9222B" w:rsidRPr="00163159" w:rsidRDefault="00E9222B" w:rsidP="00E9222B">
            <w:pPr>
              <w:spacing w:line="240" w:lineRule="auto"/>
              <w:rPr>
                <w:rFonts w:eastAsia="Times New Roman" w:cs="Times New Roman"/>
                <w:color w:val="000000"/>
                <w:sz w:val="18"/>
                <w:szCs w:val="18"/>
              </w:rPr>
            </w:pPr>
            <w:r w:rsidRPr="00163159">
              <w:rPr>
                <w:rFonts w:eastAsia="Times New Roman" w:cs="Times New Roman"/>
                <w:color w:val="000000"/>
                <w:sz w:val="18"/>
                <w:szCs w:val="18"/>
              </w:rPr>
              <w:t> </w:t>
            </w:r>
          </w:p>
        </w:tc>
        <w:tc>
          <w:tcPr>
            <w:tcW w:w="1061" w:type="dxa"/>
            <w:tcBorders>
              <w:top w:val="nil"/>
              <w:left w:val="nil"/>
              <w:bottom w:val="single" w:sz="8" w:space="0" w:color="auto"/>
              <w:right w:val="nil"/>
            </w:tcBorders>
            <w:shd w:val="clear" w:color="auto" w:fill="auto"/>
            <w:noWrap/>
            <w:vAlign w:val="bottom"/>
            <w:hideMark/>
          </w:tcPr>
          <w:p w14:paraId="0A6BCB8C" w14:textId="77777777" w:rsidR="00E9222B" w:rsidRPr="00163159" w:rsidRDefault="00E9222B" w:rsidP="00E9222B">
            <w:pPr>
              <w:spacing w:line="240" w:lineRule="auto"/>
              <w:rPr>
                <w:rFonts w:eastAsia="Times New Roman" w:cs="Times New Roman"/>
                <w:color w:val="000000"/>
                <w:sz w:val="18"/>
                <w:szCs w:val="18"/>
              </w:rPr>
            </w:pPr>
            <w:r w:rsidRPr="00163159">
              <w:rPr>
                <w:rFonts w:eastAsia="Times New Roman" w:cs="Times New Roman"/>
                <w:color w:val="000000"/>
                <w:sz w:val="18"/>
                <w:szCs w:val="18"/>
              </w:rPr>
              <w:t> </w:t>
            </w:r>
          </w:p>
        </w:tc>
        <w:tc>
          <w:tcPr>
            <w:tcW w:w="1634" w:type="dxa"/>
            <w:tcBorders>
              <w:top w:val="nil"/>
              <w:left w:val="nil"/>
              <w:bottom w:val="single" w:sz="8" w:space="0" w:color="auto"/>
              <w:right w:val="nil"/>
            </w:tcBorders>
            <w:shd w:val="clear" w:color="auto" w:fill="auto"/>
            <w:noWrap/>
            <w:vAlign w:val="bottom"/>
            <w:hideMark/>
          </w:tcPr>
          <w:p w14:paraId="2FAE9288" w14:textId="77777777" w:rsidR="00E9222B" w:rsidRPr="00163159" w:rsidRDefault="00E9222B" w:rsidP="00E9222B">
            <w:pPr>
              <w:spacing w:line="240" w:lineRule="auto"/>
              <w:jc w:val="right"/>
              <w:rPr>
                <w:rFonts w:eastAsia="Times New Roman" w:cs="Times New Roman"/>
                <w:b/>
                <w:bCs/>
                <w:color w:val="000000"/>
                <w:sz w:val="8"/>
                <w:szCs w:val="18"/>
              </w:rPr>
            </w:pPr>
          </w:p>
          <w:p w14:paraId="65FEAD8D" w14:textId="77777777" w:rsidR="00E9222B" w:rsidRPr="00163159" w:rsidRDefault="003B70CF" w:rsidP="00E9222B">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 xml:space="preserve">Town of </w:t>
            </w:r>
            <w:r w:rsidR="00853231" w:rsidRPr="00163159">
              <w:rPr>
                <w:rFonts w:eastAsia="Times New Roman" w:cs="Times New Roman"/>
                <w:b/>
                <w:bCs/>
                <w:color w:val="000000"/>
                <w:sz w:val="18"/>
                <w:szCs w:val="18"/>
              </w:rPr>
              <w:t>Hillsborough</w:t>
            </w:r>
          </w:p>
          <w:p w14:paraId="646C7F3E" w14:textId="5FFCC5A9" w:rsidR="00CE1ACC" w:rsidRPr="00163159" w:rsidRDefault="00CE1ACC" w:rsidP="00E9222B">
            <w:pPr>
              <w:spacing w:line="240" w:lineRule="auto"/>
              <w:jc w:val="right"/>
              <w:rPr>
                <w:rFonts w:eastAsia="Times New Roman" w:cs="Times New Roman"/>
                <w:b/>
                <w:bCs/>
                <w:color w:val="000000"/>
                <w:sz w:val="10"/>
                <w:szCs w:val="18"/>
              </w:rPr>
            </w:pPr>
          </w:p>
        </w:tc>
        <w:tc>
          <w:tcPr>
            <w:tcW w:w="1727" w:type="dxa"/>
            <w:tcBorders>
              <w:top w:val="nil"/>
              <w:left w:val="nil"/>
              <w:bottom w:val="single" w:sz="8" w:space="0" w:color="auto"/>
              <w:right w:val="nil"/>
            </w:tcBorders>
            <w:shd w:val="clear" w:color="auto" w:fill="auto"/>
            <w:noWrap/>
            <w:vAlign w:val="bottom"/>
            <w:hideMark/>
          </w:tcPr>
          <w:p w14:paraId="4F7210E3" w14:textId="77777777" w:rsidR="00E9222B" w:rsidRPr="00163159" w:rsidRDefault="00E9222B" w:rsidP="00E9222B">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San Mateo County</w:t>
            </w:r>
          </w:p>
          <w:p w14:paraId="315A4F02" w14:textId="2072A55A" w:rsidR="00CE1ACC" w:rsidRPr="00163159" w:rsidRDefault="00CE1ACC" w:rsidP="00E9222B">
            <w:pPr>
              <w:spacing w:line="240" w:lineRule="auto"/>
              <w:jc w:val="right"/>
              <w:rPr>
                <w:rFonts w:eastAsia="Times New Roman" w:cs="Times New Roman"/>
                <w:b/>
                <w:bCs/>
                <w:color w:val="000000"/>
                <w:sz w:val="10"/>
                <w:szCs w:val="18"/>
              </w:rPr>
            </w:pPr>
          </w:p>
        </w:tc>
        <w:tc>
          <w:tcPr>
            <w:tcW w:w="1440" w:type="dxa"/>
            <w:gridSpan w:val="2"/>
            <w:tcBorders>
              <w:top w:val="nil"/>
              <w:left w:val="nil"/>
              <w:bottom w:val="single" w:sz="8" w:space="0" w:color="auto"/>
              <w:right w:val="nil"/>
            </w:tcBorders>
            <w:shd w:val="clear" w:color="auto" w:fill="auto"/>
            <w:noWrap/>
            <w:vAlign w:val="bottom"/>
            <w:hideMark/>
          </w:tcPr>
          <w:p w14:paraId="642736E6" w14:textId="77777777" w:rsidR="00CE1ACC" w:rsidRPr="00163159" w:rsidRDefault="00CE1ACC" w:rsidP="00E9222B">
            <w:pPr>
              <w:spacing w:line="240" w:lineRule="auto"/>
              <w:jc w:val="right"/>
              <w:rPr>
                <w:rFonts w:eastAsia="Times New Roman" w:cs="Times New Roman"/>
                <w:b/>
                <w:bCs/>
                <w:color w:val="000000"/>
                <w:sz w:val="18"/>
                <w:szCs w:val="18"/>
              </w:rPr>
            </w:pPr>
          </w:p>
          <w:p w14:paraId="138B5ACD" w14:textId="77777777" w:rsidR="00E9222B" w:rsidRPr="00163159" w:rsidRDefault="00E9222B" w:rsidP="00E9222B">
            <w:pPr>
              <w:spacing w:line="240" w:lineRule="auto"/>
              <w:jc w:val="right"/>
              <w:rPr>
                <w:rFonts w:eastAsia="Times New Roman" w:cs="Times New Roman"/>
                <w:b/>
                <w:bCs/>
                <w:color w:val="000000"/>
                <w:sz w:val="18"/>
                <w:szCs w:val="18"/>
              </w:rPr>
            </w:pPr>
            <w:r w:rsidRPr="00163159">
              <w:rPr>
                <w:rFonts w:eastAsia="Times New Roman" w:cs="Times New Roman"/>
                <w:b/>
                <w:bCs/>
                <w:color w:val="000000"/>
                <w:sz w:val="18"/>
                <w:szCs w:val="18"/>
              </w:rPr>
              <w:t>State of California</w:t>
            </w:r>
          </w:p>
          <w:p w14:paraId="7095BF43" w14:textId="693E2E6E" w:rsidR="00CE1ACC" w:rsidRPr="00163159" w:rsidRDefault="00CE1ACC" w:rsidP="00E9222B">
            <w:pPr>
              <w:spacing w:line="240" w:lineRule="auto"/>
              <w:jc w:val="right"/>
              <w:rPr>
                <w:rFonts w:eastAsia="Times New Roman" w:cs="Times New Roman"/>
                <w:b/>
                <w:bCs/>
                <w:color w:val="000000"/>
                <w:sz w:val="10"/>
                <w:szCs w:val="18"/>
              </w:rPr>
            </w:pPr>
          </w:p>
        </w:tc>
      </w:tr>
      <w:tr w:rsidR="00DD200D" w:rsidRPr="00163159" w14:paraId="33C6F033" w14:textId="77777777" w:rsidTr="00DD200D">
        <w:trPr>
          <w:trHeight w:val="300"/>
        </w:trPr>
        <w:tc>
          <w:tcPr>
            <w:tcW w:w="740" w:type="dxa"/>
            <w:tcBorders>
              <w:top w:val="nil"/>
              <w:left w:val="nil"/>
              <w:bottom w:val="nil"/>
              <w:right w:val="nil"/>
            </w:tcBorders>
            <w:shd w:val="clear" w:color="auto" w:fill="auto"/>
            <w:noWrap/>
            <w:vAlign w:val="bottom"/>
            <w:hideMark/>
          </w:tcPr>
          <w:p w14:paraId="52C03D2C" w14:textId="77777777" w:rsidR="00DD200D" w:rsidRPr="00163159" w:rsidRDefault="00DD200D" w:rsidP="00E9222B">
            <w:pPr>
              <w:rPr>
                <w:rFonts w:eastAsia="Times New Roman" w:cs="Times New Roman"/>
                <w:b/>
                <w:color w:val="000000"/>
                <w:sz w:val="18"/>
                <w:szCs w:val="18"/>
              </w:rPr>
            </w:pPr>
            <w:r w:rsidRPr="00163159">
              <w:rPr>
                <w:rFonts w:eastAsia="Times New Roman" w:cs="Times New Roman"/>
                <w:b/>
                <w:color w:val="000000"/>
                <w:sz w:val="18"/>
                <w:szCs w:val="18"/>
              </w:rPr>
              <w:t>2000</w:t>
            </w:r>
          </w:p>
        </w:tc>
        <w:tc>
          <w:tcPr>
            <w:tcW w:w="1061" w:type="dxa"/>
            <w:tcBorders>
              <w:top w:val="nil"/>
              <w:left w:val="nil"/>
              <w:bottom w:val="single" w:sz="4" w:space="0" w:color="808080"/>
              <w:right w:val="nil"/>
            </w:tcBorders>
            <w:shd w:val="clear" w:color="auto" w:fill="auto"/>
            <w:noWrap/>
            <w:vAlign w:val="bottom"/>
            <w:hideMark/>
          </w:tcPr>
          <w:p w14:paraId="33F7AC22" w14:textId="77777777" w:rsidR="00DD200D" w:rsidRPr="00163159" w:rsidRDefault="00DD200D" w:rsidP="00E9222B">
            <w:pPr>
              <w:rPr>
                <w:rFonts w:eastAsia="Times New Roman" w:cs="Times New Roman"/>
                <w:color w:val="000000"/>
                <w:sz w:val="18"/>
                <w:szCs w:val="18"/>
              </w:rPr>
            </w:pPr>
            <w:r w:rsidRPr="00163159">
              <w:rPr>
                <w:rFonts w:eastAsia="Times New Roman" w:cs="Times New Roman"/>
                <w:color w:val="000000"/>
                <w:sz w:val="18"/>
                <w:szCs w:val="18"/>
              </w:rPr>
              <w:t>Owner</w:t>
            </w:r>
          </w:p>
        </w:tc>
        <w:tc>
          <w:tcPr>
            <w:tcW w:w="1634" w:type="dxa"/>
            <w:tcBorders>
              <w:top w:val="nil"/>
              <w:left w:val="nil"/>
              <w:bottom w:val="single" w:sz="4" w:space="0" w:color="808080"/>
              <w:right w:val="nil"/>
            </w:tcBorders>
            <w:shd w:val="clear" w:color="auto" w:fill="auto"/>
            <w:noWrap/>
            <w:vAlign w:val="bottom"/>
            <w:hideMark/>
          </w:tcPr>
          <w:p w14:paraId="3F936473" w14:textId="7F7437BC"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0.4%</w:t>
            </w:r>
          </w:p>
        </w:tc>
        <w:tc>
          <w:tcPr>
            <w:tcW w:w="1727" w:type="dxa"/>
            <w:tcBorders>
              <w:top w:val="nil"/>
              <w:left w:val="nil"/>
              <w:bottom w:val="single" w:sz="4" w:space="0" w:color="808080"/>
              <w:right w:val="nil"/>
            </w:tcBorders>
            <w:shd w:val="clear" w:color="auto" w:fill="auto"/>
            <w:noWrap/>
            <w:vAlign w:val="bottom"/>
            <w:hideMark/>
          </w:tcPr>
          <w:p w14:paraId="1481704A"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0.5%</w:t>
            </w:r>
          </w:p>
        </w:tc>
        <w:tc>
          <w:tcPr>
            <w:tcW w:w="1440" w:type="dxa"/>
            <w:gridSpan w:val="2"/>
            <w:tcBorders>
              <w:top w:val="nil"/>
              <w:left w:val="nil"/>
              <w:bottom w:val="single" w:sz="4" w:space="0" w:color="808080"/>
              <w:right w:val="nil"/>
            </w:tcBorders>
            <w:shd w:val="clear" w:color="auto" w:fill="auto"/>
            <w:noWrap/>
            <w:vAlign w:val="bottom"/>
            <w:hideMark/>
          </w:tcPr>
          <w:p w14:paraId="44BD788F"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1.4%</w:t>
            </w:r>
          </w:p>
        </w:tc>
      </w:tr>
      <w:tr w:rsidR="00DD200D" w:rsidRPr="00163159" w14:paraId="56CB248A" w14:textId="77777777" w:rsidTr="00DD200D">
        <w:trPr>
          <w:trHeight w:val="300"/>
        </w:trPr>
        <w:tc>
          <w:tcPr>
            <w:tcW w:w="740" w:type="dxa"/>
            <w:tcBorders>
              <w:top w:val="nil"/>
              <w:left w:val="nil"/>
              <w:bottom w:val="single" w:sz="4" w:space="0" w:color="auto"/>
              <w:right w:val="nil"/>
            </w:tcBorders>
            <w:shd w:val="clear" w:color="auto" w:fill="auto"/>
            <w:noWrap/>
            <w:vAlign w:val="bottom"/>
            <w:hideMark/>
          </w:tcPr>
          <w:p w14:paraId="71F99DBB" w14:textId="77777777" w:rsidR="00DD200D" w:rsidRPr="00163159" w:rsidRDefault="00DD200D" w:rsidP="00E9222B">
            <w:pPr>
              <w:rPr>
                <w:rFonts w:eastAsia="Times New Roman" w:cs="Times New Roman"/>
                <w:color w:val="000000"/>
                <w:sz w:val="18"/>
                <w:szCs w:val="18"/>
              </w:rPr>
            </w:pPr>
            <w:r w:rsidRPr="00163159">
              <w:rPr>
                <w:rFonts w:eastAsia="Times New Roman" w:cs="Times New Roman"/>
                <w:color w:val="000000"/>
                <w:sz w:val="18"/>
                <w:szCs w:val="18"/>
              </w:rPr>
              <w:t> </w:t>
            </w:r>
          </w:p>
        </w:tc>
        <w:tc>
          <w:tcPr>
            <w:tcW w:w="1061" w:type="dxa"/>
            <w:tcBorders>
              <w:top w:val="nil"/>
              <w:left w:val="nil"/>
              <w:bottom w:val="single" w:sz="4" w:space="0" w:color="auto"/>
              <w:right w:val="nil"/>
            </w:tcBorders>
            <w:shd w:val="clear" w:color="auto" w:fill="auto"/>
            <w:noWrap/>
            <w:vAlign w:val="bottom"/>
            <w:hideMark/>
          </w:tcPr>
          <w:p w14:paraId="1024FA89" w14:textId="77777777" w:rsidR="00DD200D" w:rsidRPr="00163159" w:rsidRDefault="00DD200D" w:rsidP="00E9222B">
            <w:pPr>
              <w:rPr>
                <w:rFonts w:eastAsia="Times New Roman" w:cs="Times New Roman"/>
                <w:color w:val="000000"/>
                <w:sz w:val="18"/>
                <w:szCs w:val="18"/>
              </w:rPr>
            </w:pPr>
            <w:r w:rsidRPr="00163159">
              <w:rPr>
                <w:rFonts w:eastAsia="Times New Roman" w:cs="Times New Roman"/>
                <w:color w:val="000000"/>
                <w:sz w:val="18"/>
                <w:szCs w:val="18"/>
              </w:rPr>
              <w:t>Renter</w:t>
            </w:r>
          </w:p>
        </w:tc>
        <w:tc>
          <w:tcPr>
            <w:tcW w:w="1634" w:type="dxa"/>
            <w:tcBorders>
              <w:top w:val="nil"/>
              <w:left w:val="nil"/>
              <w:bottom w:val="single" w:sz="4" w:space="0" w:color="auto"/>
              <w:right w:val="nil"/>
            </w:tcBorders>
            <w:shd w:val="clear" w:color="auto" w:fill="auto"/>
            <w:noWrap/>
            <w:vAlign w:val="bottom"/>
            <w:hideMark/>
          </w:tcPr>
          <w:p w14:paraId="75AC06F3" w14:textId="7F5455C6"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4.2%</w:t>
            </w:r>
          </w:p>
        </w:tc>
        <w:tc>
          <w:tcPr>
            <w:tcW w:w="1727" w:type="dxa"/>
            <w:tcBorders>
              <w:top w:val="nil"/>
              <w:left w:val="nil"/>
              <w:bottom w:val="single" w:sz="4" w:space="0" w:color="auto"/>
              <w:right w:val="nil"/>
            </w:tcBorders>
            <w:shd w:val="clear" w:color="auto" w:fill="auto"/>
            <w:noWrap/>
            <w:vAlign w:val="bottom"/>
            <w:hideMark/>
          </w:tcPr>
          <w:p w14:paraId="6393866C"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1.8%</w:t>
            </w:r>
          </w:p>
        </w:tc>
        <w:tc>
          <w:tcPr>
            <w:tcW w:w="1440" w:type="dxa"/>
            <w:gridSpan w:val="2"/>
            <w:tcBorders>
              <w:top w:val="nil"/>
              <w:left w:val="nil"/>
              <w:bottom w:val="single" w:sz="4" w:space="0" w:color="auto"/>
              <w:right w:val="nil"/>
            </w:tcBorders>
            <w:shd w:val="clear" w:color="auto" w:fill="auto"/>
            <w:noWrap/>
            <w:vAlign w:val="bottom"/>
            <w:hideMark/>
          </w:tcPr>
          <w:p w14:paraId="2D98B7AD"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3.7%</w:t>
            </w:r>
          </w:p>
        </w:tc>
      </w:tr>
      <w:tr w:rsidR="00DD200D" w:rsidRPr="00163159" w14:paraId="1339E03E" w14:textId="77777777" w:rsidTr="00DD200D">
        <w:trPr>
          <w:trHeight w:val="300"/>
        </w:trPr>
        <w:tc>
          <w:tcPr>
            <w:tcW w:w="740" w:type="dxa"/>
            <w:tcBorders>
              <w:top w:val="nil"/>
              <w:left w:val="nil"/>
              <w:bottom w:val="nil"/>
              <w:right w:val="nil"/>
            </w:tcBorders>
            <w:shd w:val="clear" w:color="auto" w:fill="auto"/>
            <w:noWrap/>
            <w:vAlign w:val="bottom"/>
            <w:hideMark/>
          </w:tcPr>
          <w:p w14:paraId="4A45A0EB" w14:textId="77777777" w:rsidR="00DD200D" w:rsidRPr="00163159" w:rsidRDefault="00DD200D" w:rsidP="00E9222B">
            <w:pPr>
              <w:rPr>
                <w:rFonts w:eastAsia="Times New Roman" w:cs="Times New Roman"/>
                <w:b/>
                <w:color w:val="000000"/>
                <w:sz w:val="18"/>
                <w:szCs w:val="18"/>
              </w:rPr>
            </w:pPr>
            <w:r w:rsidRPr="00163159">
              <w:rPr>
                <w:rFonts w:eastAsia="Times New Roman" w:cs="Times New Roman"/>
                <w:b/>
                <w:color w:val="000000"/>
                <w:sz w:val="18"/>
                <w:szCs w:val="18"/>
              </w:rPr>
              <w:t>2011</w:t>
            </w:r>
          </w:p>
        </w:tc>
        <w:tc>
          <w:tcPr>
            <w:tcW w:w="1061" w:type="dxa"/>
            <w:tcBorders>
              <w:top w:val="nil"/>
              <w:left w:val="nil"/>
              <w:bottom w:val="single" w:sz="4" w:space="0" w:color="808080"/>
              <w:right w:val="nil"/>
            </w:tcBorders>
            <w:shd w:val="clear" w:color="auto" w:fill="auto"/>
            <w:noWrap/>
            <w:vAlign w:val="bottom"/>
            <w:hideMark/>
          </w:tcPr>
          <w:p w14:paraId="6C3B2897" w14:textId="77777777" w:rsidR="00DD200D" w:rsidRPr="00163159" w:rsidRDefault="00DD200D" w:rsidP="00E9222B">
            <w:pPr>
              <w:rPr>
                <w:rFonts w:eastAsia="Times New Roman" w:cs="Times New Roman"/>
                <w:color w:val="000000"/>
                <w:sz w:val="18"/>
                <w:szCs w:val="18"/>
              </w:rPr>
            </w:pPr>
            <w:r w:rsidRPr="00163159">
              <w:rPr>
                <w:rFonts w:eastAsia="Times New Roman" w:cs="Times New Roman"/>
                <w:color w:val="000000"/>
                <w:sz w:val="18"/>
                <w:szCs w:val="18"/>
              </w:rPr>
              <w:t>Owner</w:t>
            </w:r>
          </w:p>
        </w:tc>
        <w:tc>
          <w:tcPr>
            <w:tcW w:w="1634" w:type="dxa"/>
            <w:tcBorders>
              <w:top w:val="nil"/>
              <w:left w:val="nil"/>
              <w:bottom w:val="single" w:sz="4" w:space="0" w:color="808080"/>
              <w:right w:val="nil"/>
            </w:tcBorders>
            <w:shd w:val="clear" w:color="auto" w:fill="auto"/>
            <w:noWrap/>
            <w:vAlign w:val="bottom"/>
            <w:hideMark/>
          </w:tcPr>
          <w:p w14:paraId="3491252A" w14:textId="78036CA6"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0.0%</w:t>
            </w:r>
          </w:p>
        </w:tc>
        <w:tc>
          <w:tcPr>
            <w:tcW w:w="1727" w:type="dxa"/>
            <w:tcBorders>
              <w:top w:val="nil"/>
              <w:left w:val="nil"/>
              <w:bottom w:val="single" w:sz="4" w:space="0" w:color="808080"/>
              <w:right w:val="nil"/>
            </w:tcBorders>
            <w:shd w:val="clear" w:color="auto" w:fill="auto"/>
            <w:noWrap/>
            <w:vAlign w:val="bottom"/>
            <w:hideMark/>
          </w:tcPr>
          <w:p w14:paraId="3F4B7CEC"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1.2%</w:t>
            </w:r>
          </w:p>
        </w:tc>
        <w:tc>
          <w:tcPr>
            <w:tcW w:w="1440" w:type="dxa"/>
            <w:gridSpan w:val="2"/>
            <w:tcBorders>
              <w:top w:val="nil"/>
              <w:left w:val="nil"/>
              <w:bottom w:val="single" w:sz="4" w:space="0" w:color="808080"/>
              <w:right w:val="nil"/>
            </w:tcBorders>
            <w:shd w:val="clear" w:color="auto" w:fill="auto"/>
            <w:noWrap/>
            <w:vAlign w:val="bottom"/>
            <w:hideMark/>
          </w:tcPr>
          <w:p w14:paraId="4E043A35"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2.2%</w:t>
            </w:r>
          </w:p>
        </w:tc>
      </w:tr>
      <w:tr w:rsidR="00DD200D" w:rsidRPr="00163159" w14:paraId="3EFCA614" w14:textId="77777777" w:rsidTr="00DD200D">
        <w:trPr>
          <w:trHeight w:val="300"/>
        </w:trPr>
        <w:tc>
          <w:tcPr>
            <w:tcW w:w="740" w:type="dxa"/>
            <w:tcBorders>
              <w:top w:val="nil"/>
              <w:left w:val="nil"/>
              <w:bottom w:val="single" w:sz="4" w:space="0" w:color="auto"/>
              <w:right w:val="nil"/>
            </w:tcBorders>
            <w:shd w:val="clear" w:color="auto" w:fill="auto"/>
            <w:noWrap/>
            <w:vAlign w:val="bottom"/>
            <w:hideMark/>
          </w:tcPr>
          <w:p w14:paraId="2E5C6DF6" w14:textId="77777777" w:rsidR="00DD200D" w:rsidRPr="00163159" w:rsidRDefault="00DD200D" w:rsidP="00E9222B">
            <w:pPr>
              <w:rPr>
                <w:rFonts w:eastAsia="Times New Roman" w:cs="Times New Roman"/>
                <w:color w:val="000000"/>
                <w:sz w:val="18"/>
                <w:szCs w:val="18"/>
              </w:rPr>
            </w:pPr>
            <w:r w:rsidRPr="00163159">
              <w:rPr>
                <w:rFonts w:eastAsia="Times New Roman" w:cs="Times New Roman"/>
                <w:color w:val="000000"/>
                <w:sz w:val="18"/>
                <w:szCs w:val="18"/>
              </w:rPr>
              <w:t> </w:t>
            </w:r>
          </w:p>
        </w:tc>
        <w:tc>
          <w:tcPr>
            <w:tcW w:w="1061" w:type="dxa"/>
            <w:tcBorders>
              <w:top w:val="nil"/>
              <w:left w:val="nil"/>
              <w:bottom w:val="single" w:sz="4" w:space="0" w:color="auto"/>
              <w:right w:val="nil"/>
            </w:tcBorders>
            <w:shd w:val="clear" w:color="auto" w:fill="auto"/>
            <w:noWrap/>
            <w:vAlign w:val="bottom"/>
            <w:hideMark/>
          </w:tcPr>
          <w:p w14:paraId="2AF33C21" w14:textId="77777777" w:rsidR="00DD200D" w:rsidRPr="00163159" w:rsidRDefault="00DD200D" w:rsidP="00E9222B">
            <w:pPr>
              <w:rPr>
                <w:rFonts w:eastAsia="Times New Roman" w:cs="Times New Roman"/>
                <w:color w:val="000000"/>
                <w:sz w:val="18"/>
                <w:szCs w:val="18"/>
              </w:rPr>
            </w:pPr>
            <w:r w:rsidRPr="00163159">
              <w:rPr>
                <w:rFonts w:eastAsia="Times New Roman" w:cs="Times New Roman"/>
                <w:color w:val="000000"/>
                <w:sz w:val="18"/>
                <w:szCs w:val="18"/>
              </w:rPr>
              <w:t>Renter</w:t>
            </w:r>
          </w:p>
        </w:tc>
        <w:tc>
          <w:tcPr>
            <w:tcW w:w="1634" w:type="dxa"/>
            <w:tcBorders>
              <w:top w:val="nil"/>
              <w:left w:val="nil"/>
              <w:bottom w:val="single" w:sz="4" w:space="0" w:color="auto"/>
              <w:right w:val="nil"/>
            </w:tcBorders>
            <w:shd w:val="clear" w:color="auto" w:fill="auto"/>
            <w:noWrap/>
            <w:vAlign w:val="bottom"/>
            <w:hideMark/>
          </w:tcPr>
          <w:p w14:paraId="50567596" w14:textId="6921C07E"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28.7%</w:t>
            </w:r>
          </w:p>
        </w:tc>
        <w:tc>
          <w:tcPr>
            <w:tcW w:w="1727" w:type="dxa"/>
            <w:tcBorders>
              <w:top w:val="nil"/>
              <w:left w:val="nil"/>
              <w:bottom w:val="single" w:sz="4" w:space="0" w:color="auto"/>
              <w:right w:val="nil"/>
            </w:tcBorders>
            <w:shd w:val="clear" w:color="auto" w:fill="auto"/>
            <w:noWrap/>
            <w:vAlign w:val="bottom"/>
            <w:hideMark/>
          </w:tcPr>
          <w:p w14:paraId="1FE9CCCB"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4.0%</w:t>
            </w:r>
          </w:p>
        </w:tc>
        <w:tc>
          <w:tcPr>
            <w:tcW w:w="1440" w:type="dxa"/>
            <w:gridSpan w:val="2"/>
            <w:tcBorders>
              <w:top w:val="nil"/>
              <w:left w:val="nil"/>
              <w:bottom w:val="single" w:sz="4" w:space="0" w:color="auto"/>
              <w:right w:val="nil"/>
            </w:tcBorders>
            <w:shd w:val="clear" w:color="auto" w:fill="auto"/>
            <w:noWrap/>
            <w:vAlign w:val="bottom"/>
            <w:hideMark/>
          </w:tcPr>
          <w:p w14:paraId="67623E4B" w14:textId="77777777" w:rsidR="00DD200D" w:rsidRPr="00163159" w:rsidRDefault="00DD200D" w:rsidP="00E9222B">
            <w:pPr>
              <w:jc w:val="right"/>
              <w:rPr>
                <w:rFonts w:eastAsia="Times New Roman" w:cs="Times New Roman"/>
                <w:color w:val="000000"/>
                <w:sz w:val="18"/>
                <w:szCs w:val="18"/>
              </w:rPr>
            </w:pPr>
            <w:r w:rsidRPr="00163159">
              <w:rPr>
                <w:rFonts w:eastAsia="Times New Roman" w:cs="Times New Roman"/>
                <w:color w:val="000000"/>
                <w:sz w:val="18"/>
                <w:szCs w:val="18"/>
              </w:rPr>
              <w:t>5.5%</w:t>
            </w:r>
          </w:p>
        </w:tc>
      </w:tr>
      <w:tr w:rsidR="00E9222B" w:rsidRPr="00163159" w14:paraId="1C90C408" w14:textId="77777777" w:rsidTr="00DD200D">
        <w:trPr>
          <w:gridAfter w:val="1"/>
          <w:wAfter w:w="377" w:type="dxa"/>
          <w:trHeight w:val="300"/>
        </w:trPr>
        <w:tc>
          <w:tcPr>
            <w:tcW w:w="6225" w:type="dxa"/>
            <w:gridSpan w:val="5"/>
            <w:tcBorders>
              <w:top w:val="single" w:sz="4" w:space="0" w:color="auto"/>
              <w:left w:val="nil"/>
              <w:bottom w:val="nil"/>
              <w:right w:val="nil"/>
            </w:tcBorders>
            <w:shd w:val="clear" w:color="auto" w:fill="auto"/>
            <w:noWrap/>
            <w:vAlign w:val="bottom"/>
            <w:hideMark/>
          </w:tcPr>
          <w:p w14:paraId="301EE947" w14:textId="77777777" w:rsidR="00E9222B" w:rsidRPr="00163159" w:rsidRDefault="00E9222B" w:rsidP="00E9222B">
            <w:pPr>
              <w:spacing w:line="240" w:lineRule="auto"/>
              <w:rPr>
                <w:rFonts w:eastAsia="Times New Roman" w:cs="Times New Roman"/>
                <w:iCs/>
                <w:color w:val="000000"/>
                <w:sz w:val="18"/>
                <w:szCs w:val="18"/>
              </w:rPr>
            </w:pPr>
          </w:p>
          <w:p w14:paraId="7D7C1724" w14:textId="69BF8F7E" w:rsidR="00E9222B" w:rsidRPr="00163159" w:rsidRDefault="00E9222B" w:rsidP="00E9222B">
            <w:pPr>
              <w:spacing w:line="240" w:lineRule="auto"/>
              <w:rPr>
                <w:rFonts w:eastAsia="Times New Roman" w:cs="Times New Roman"/>
                <w:iCs/>
                <w:color w:val="000000"/>
                <w:sz w:val="18"/>
                <w:szCs w:val="18"/>
              </w:rPr>
            </w:pPr>
            <w:r w:rsidRPr="00163159">
              <w:rPr>
                <w:rFonts w:eastAsia="Times New Roman" w:cs="Times New Roman"/>
                <w:iCs/>
                <w:color w:val="000000"/>
                <w:sz w:val="18"/>
                <w:szCs w:val="18"/>
              </w:rPr>
              <w:t xml:space="preserve">Source: </w:t>
            </w:r>
            <w:r w:rsidR="0020362E">
              <w:rPr>
                <w:rFonts w:eastAsia="Times New Roman" w:cs="Times New Roman"/>
                <w:iCs/>
                <w:color w:val="000000"/>
                <w:sz w:val="18"/>
                <w:szCs w:val="18"/>
              </w:rPr>
              <w:t>2007-2011</w:t>
            </w:r>
            <w:r w:rsidRPr="00163159">
              <w:rPr>
                <w:rFonts w:eastAsia="Times New Roman" w:cs="Times New Roman"/>
                <w:iCs/>
                <w:color w:val="000000"/>
                <w:sz w:val="18"/>
                <w:szCs w:val="18"/>
              </w:rPr>
              <w:t xml:space="preserve"> American Community Survey, 2000 US Census </w:t>
            </w:r>
          </w:p>
        </w:tc>
      </w:tr>
    </w:tbl>
    <w:p w14:paraId="4CBE7A8A" w14:textId="77777777" w:rsidR="00E9222B" w:rsidRPr="00163159" w:rsidRDefault="00E9222B" w:rsidP="0037327B">
      <w:pPr>
        <w:pStyle w:val="21ElementsText"/>
      </w:pPr>
    </w:p>
    <w:p w14:paraId="14F5C003" w14:textId="0871A122" w:rsidR="009D71AA" w:rsidRPr="00163159" w:rsidRDefault="009F66DF" w:rsidP="009D71AA">
      <w:r w:rsidRPr="00163159">
        <w:t xml:space="preserve">The pie chart below shows that </w:t>
      </w:r>
      <w:r w:rsidR="009D71AA" w:rsidRPr="00163159">
        <w:t xml:space="preserve">almost all the homes (96 percent) in Hillsborough are owner-occupied. There are only approximately 150 rental homes in the city. </w:t>
      </w:r>
    </w:p>
    <w:p w14:paraId="4EC97C4E" w14:textId="0CA9C918" w:rsidR="00A22844" w:rsidRDefault="009F66DF" w:rsidP="0037327B">
      <w:pPr>
        <w:pStyle w:val="21ElementsText"/>
      </w:pPr>
      <w:r w:rsidRPr="00163159">
        <w:t>By comparison, the occupied housing units in San Mateo County as a whole are 59 percent owner-occupied.</w:t>
      </w:r>
    </w:p>
    <w:p w14:paraId="49171CD5" w14:textId="16B9F3B2" w:rsidR="00DD200D" w:rsidRDefault="00DD200D" w:rsidP="00DD200D">
      <w:pPr>
        <w:pStyle w:val="21ElementsText"/>
        <w:ind w:left="-630"/>
      </w:pPr>
      <w:r>
        <w:rPr>
          <w:noProof/>
        </w:rPr>
        <w:drawing>
          <wp:inline distT="0" distB="0" distL="0" distR="0" wp14:anchorId="76C69EBF" wp14:editId="1FEF5AA2">
            <wp:extent cx="6159500" cy="3695700"/>
            <wp:effectExtent l="0" t="0" r="0" b="0"/>
            <wp:docPr id="5" name="Chart 5" title="Tenure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1537CB" w14:textId="5244B93D" w:rsidR="00F50779" w:rsidRPr="00C433BE" w:rsidRDefault="00F50779" w:rsidP="00F50779">
      <w:pPr>
        <w:tabs>
          <w:tab w:val="right" w:pos="7740"/>
        </w:tabs>
        <w:spacing w:line="240" w:lineRule="auto"/>
        <w:ind w:right="1620"/>
        <w:jc w:val="center"/>
        <w:rPr>
          <w:sz w:val="24"/>
        </w:rPr>
      </w:pPr>
      <w:r w:rsidRPr="00C433BE">
        <w:rPr>
          <w:rFonts w:cs="Century Gothic"/>
          <w:iCs/>
          <w:color w:val="000000"/>
          <w:sz w:val="18"/>
          <w:szCs w:val="16"/>
        </w:rPr>
        <w:t xml:space="preserve">Source: </w:t>
      </w:r>
      <w:r w:rsidR="0020362E">
        <w:rPr>
          <w:rFonts w:eastAsia="Times New Roman" w:cs="Times New Roman"/>
          <w:iCs/>
          <w:color w:val="000000"/>
          <w:sz w:val="18"/>
          <w:szCs w:val="16"/>
        </w:rPr>
        <w:t>2007-2011</w:t>
      </w:r>
      <w:r w:rsidRPr="001759FD">
        <w:rPr>
          <w:rFonts w:eastAsia="Times New Roman" w:cs="Times New Roman"/>
          <w:iCs/>
          <w:color w:val="000000"/>
          <w:sz w:val="18"/>
          <w:szCs w:val="16"/>
        </w:rPr>
        <w:t xml:space="preserve"> American Community Survey</w:t>
      </w:r>
    </w:p>
    <w:p w14:paraId="20302633" w14:textId="77777777" w:rsidR="00BE77C6" w:rsidRPr="00BE77C6" w:rsidRDefault="00BE77C6" w:rsidP="00BE77C6">
      <w:pPr>
        <w:rPr>
          <w:szCs w:val="22"/>
        </w:rPr>
      </w:pPr>
    </w:p>
    <w:p w14:paraId="72362A0C" w14:textId="17CE344E" w:rsidR="00BE77C6" w:rsidRPr="00BE77C6" w:rsidRDefault="00BE77C6" w:rsidP="00BE77C6">
      <w:pPr>
        <w:rPr>
          <w:szCs w:val="22"/>
        </w:rPr>
      </w:pPr>
      <w:r w:rsidRPr="00BE77C6">
        <w:rPr>
          <w:szCs w:val="22"/>
        </w:rPr>
        <w:t>The</w:t>
      </w:r>
      <w:r>
        <w:rPr>
          <w:szCs w:val="22"/>
        </w:rPr>
        <w:t xml:space="preserve"> table below compares the distribution of owner and renter housing in 2000 and 2011 with San Mateo County as a whole and the State of California.</w:t>
      </w:r>
    </w:p>
    <w:p w14:paraId="4D634CF2" w14:textId="0BCE83FA" w:rsidR="00BE77C6" w:rsidRPr="00163159" w:rsidRDefault="00BE77C6" w:rsidP="009F66DF">
      <w:pPr>
        <w:spacing w:line="240" w:lineRule="auto"/>
        <w:rPr>
          <w:szCs w:val="22"/>
        </w:rPr>
      </w:pPr>
    </w:p>
    <w:tbl>
      <w:tblPr>
        <w:tblW w:w="7085" w:type="dxa"/>
        <w:tblInd w:w="108" w:type="dxa"/>
        <w:tblLayout w:type="fixed"/>
        <w:tblLook w:val="04A0" w:firstRow="1" w:lastRow="0" w:firstColumn="1" w:lastColumn="0" w:noHBand="0" w:noVBand="1"/>
      </w:tblPr>
      <w:tblGrid>
        <w:gridCol w:w="754"/>
        <w:gridCol w:w="2036"/>
        <w:gridCol w:w="1350"/>
        <w:gridCol w:w="1530"/>
        <w:gridCol w:w="360"/>
        <w:gridCol w:w="968"/>
        <w:gridCol w:w="22"/>
        <w:gridCol w:w="65"/>
      </w:tblGrid>
      <w:tr w:rsidR="00D12632" w:rsidRPr="00D33473" w14:paraId="6B8B806D" w14:textId="77777777" w:rsidTr="00D12632">
        <w:trPr>
          <w:gridAfter w:val="2"/>
          <w:wAfter w:w="87" w:type="dxa"/>
          <w:trHeight w:val="300"/>
        </w:trPr>
        <w:tc>
          <w:tcPr>
            <w:tcW w:w="6998" w:type="dxa"/>
            <w:gridSpan w:val="6"/>
            <w:tcBorders>
              <w:top w:val="nil"/>
              <w:left w:val="nil"/>
              <w:bottom w:val="nil"/>
              <w:right w:val="nil"/>
            </w:tcBorders>
            <w:shd w:val="clear" w:color="000000" w:fill="000000"/>
            <w:noWrap/>
            <w:vAlign w:val="center"/>
            <w:hideMark/>
          </w:tcPr>
          <w:p w14:paraId="29959BEC" w14:textId="30F1D471" w:rsidR="00D33473" w:rsidRPr="00D33473" w:rsidRDefault="00D33473" w:rsidP="00AE7A6A">
            <w:pPr>
              <w:ind w:right="-43"/>
              <w:rPr>
                <w:rFonts w:eastAsia="Times New Roman" w:cs="Times New Roman"/>
                <w:b/>
                <w:bCs/>
                <w:color w:val="FFFFFF"/>
                <w:sz w:val="20"/>
                <w:szCs w:val="20"/>
              </w:rPr>
            </w:pPr>
            <w:r w:rsidRPr="00D33473">
              <w:rPr>
                <w:rFonts w:eastAsia="Times New Roman" w:cs="Times New Roman"/>
                <w:b/>
                <w:bCs/>
                <w:color w:val="FFFFFF"/>
                <w:sz w:val="20"/>
                <w:szCs w:val="20"/>
              </w:rPr>
              <w:t xml:space="preserve">Tenure </w:t>
            </w:r>
            <w:r w:rsidR="00D12632">
              <w:rPr>
                <w:rFonts w:eastAsia="Times New Roman" w:cs="Times New Roman"/>
                <w:b/>
                <w:bCs/>
                <w:color w:val="FFFFFF"/>
                <w:sz w:val="20"/>
                <w:szCs w:val="20"/>
              </w:rPr>
              <w:t>of Housing (2000 and 2011)</w:t>
            </w:r>
          </w:p>
        </w:tc>
      </w:tr>
      <w:tr w:rsidR="00D12632" w:rsidRPr="00D33473" w14:paraId="2B840FF0" w14:textId="77777777" w:rsidTr="00D12632">
        <w:trPr>
          <w:gridAfter w:val="1"/>
          <w:wAfter w:w="65" w:type="dxa"/>
          <w:trHeight w:val="320"/>
        </w:trPr>
        <w:tc>
          <w:tcPr>
            <w:tcW w:w="754" w:type="dxa"/>
            <w:tcBorders>
              <w:top w:val="nil"/>
              <w:left w:val="nil"/>
              <w:bottom w:val="single" w:sz="8" w:space="0" w:color="auto"/>
              <w:right w:val="nil"/>
            </w:tcBorders>
            <w:shd w:val="clear" w:color="auto" w:fill="auto"/>
            <w:noWrap/>
            <w:vAlign w:val="center"/>
            <w:hideMark/>
          </w:tcPr>
          <w:p w14:paraId="61CAD1AD" w14:textId="77777777" w:rsidR="00D33473" w:rsidRPr="00D33473" w:rsidRDefault="00D33473" w:rsidP="00067077">
            <w:pPr>
              <w:rPr>
                <w:rFonts w:eastAsia="Times New Roman" w:cs="Times New Roman"/>
                <w:color w:val="000000"/>
                <w:sz w:val="18"/>
                <w:szCs w:val="18"/>
              </w:rPr>
            </w:pPr>
            <w:r w:rsidRPr="00D33473">
              <w:rPr>
                <w:rFonts w:eastAsia="Times New Roman" w:cs="Times New Roman"/>
                <w:color w:val="000000"/>
                <w:sz w:val="18"/>
                <w:szCs w:val="18"/>
              </w:rPr>
              <w:t> </w:t>
            </w:r>
          </w:p>
        </w:tc>
        <w:tc>
          <w:tcPr>
            <w:tcW w:w="2036" w:type="dxa"/>
            <w:tcBorders>
              <w:top w:val="nil"/>
              <w:left w:val="nil"/>
              <w:bottom w:val="single" w:sz="8" w:space="0" w:color="auto"/>
              <w:right w:val="nil"/>
            </w:tcBorders>
            <w:shd w:val="clear" w:color="auto" w:fill="auto"/>
            <w:noWrap/>
            <w:vAlign w:val="center"/>
            <w:hideMark/>
          </w:tcPr>
          <w:p w14:paraId="3CDAD242" w14:textId="77777777" w:rsidR="00D33473" w:rsidRPr="00D33473" w:rsidRDefault="00D33473" w:rsidP="00D12632">
            <w:pPr>
              <w:spacing w:line="240" w:lineRule="auto"/>
              <w:jc w:val="right"/>
              <w:rPr>
                <w:rFonts w:eastAsia="Times New Roman" w:cs="Times New Roman"/>
                <w:color w:val="000000"/>
                <w:sz w:val="18"/>
                <w:szCs w:val="18"/>
              </w:rPr>
            </w:pPr>
            <w:r w:rsidRPr="00D33473">
              <w:rPr>
                <w:rFonts w:eastAsia="Times New Roman" w:cs="Times New Roman"/>
                <w:color w:val="000000"/>
                <w:sz w:val="18"/>
                <w:szCs w:val="18"/>
              </w:rPr>
              <w:t> </w:t>
            </w:r>
          </w:p>
        </w:tc>
        <w:tc>
          <w:tcPr>
            <w:tcW w:w="1350" w:type="dxa"/>
            <w:tcBorders>
              <w:top w:val="nil"/>
              <w:left w:val="nil"/>
              <w:bottom w:val="single" w:sz="8" w:space="0" w:color="auto"/>
              <w:right w:val="nil"/>
            </w:tcBorders>
            <w:shd w:val="clear" w:color="auto" w:fill="auto"/>
            <w:noWrap/>
            <w:vAlign w:val="center"/>
            <w:hideMark/>
          </w:tcPr>
          <w:p w14:paraId="52425EF4" w14:textId="77777777" w:rsidR="00D12632" w:rsidRPr="00DD200D" w:rsidRDefault="00D12632" w:rsidP="00D12632">
            <w:pPr>
              <w:spacing w:line="240" w:lineRule="auto"/>
              <w:jc w:val="right"/>
              <w:rPr>
                <w:rFonts w:eastAsia="Times New Roman" w:cs="Times New Roman"/>
                <w:b/>
                <w:bCs/>
                <w:color w:val="000000"/>
                <w:sz w:val="10"/>
                <w:szCs w:val="18"/>
              </w:rPr>
            </w:pPr>
          </w:p>
          <w:p w14:paraId="0C52EDB3" w14:textId="34C0AD0F" w:rsidR="00E9222B" w:rsidRPr="00DD200D" w:rsidRDefault="003B70CF" w:rsidP="00D12632">
            <w:pPr>
              <w:spacing w:line="240" w:lineRule="auto"/>
              <w:jc w:val="right"/>
              <w:rPr>
                <w:rFonts w:eastAsia="Times New Roman" w:cs="Times New Roman"/>
                <w:b/>
                <w:bCs/>
                <w:color w:val="000000"/>
                <w:sz w:val="18"/>
                <w:szCs w:val="18"/>
              </w:rPr>
            </w:pPr>
            <w:r w:rsidRPr="00DD200D">
              <w:rPr>
                <w:rFonts w:eastAsia="Times New Roman" w:cs="Times New Roman"/>
                <w:b/>
                <w:bCs/>
                <w:color w:val="000000"/>
                <w:sz w:val="18"/>
                <w:szCs w:val="18"/>
              </w:rPr>
              <w:t xml:space="preserve">Town of </w:t>
            </w:r>
            <w:r w:rsidR="00853231" w:rsidRPr="00DD200D">
              <w:rPr>
                <w:rFonts w:eastAsia="Times New Roman" w:cs="Times New Roman"/>
                <w:b/>
                <w:bCs/>
                <w:color w:val="000000"/>
                <w:sz w:val="18"/>
                <w:szCs w:val="18"/>
              </w:rPr>
              <w:t>Hillsborough</w:t>
            </w:r>
          </w:p>
          <w:p w14:paraId="6475A725" w14:textId="77777777" w:rsidR="00D12632" w:rsidRPr="00DD200D" w:rsidRDefault="00D12632" w:rsidP="00D12632">
            <w:pPr>
              <w:spacing w:line="240" w:lineRule="auto"/>
              <w:jc w:val="right"/>
              <w:rPr>
                <w:rFonts w:eastAsia="Times New Roman" w:cs="Times New Roman"/>
                <w:b/>
                <w:bCs/>
                <w:color w:val="000000"/>
                <w:sz w:val="2"/>
                <w:szCs w:val="18"/>
              </w:rPr>
            </w:pPr>
          </w:p>
          <w:p w14:paraId="31C103D8" w14:textId="5741A48F" w:rsidR="00D12632" w:rsidRPr="00DD200D" w:rsidRDefault="00D12632" w:rsidP="00D12632">
            <w:pPr>
              <w:spacing w:line="240" w:lineRule="auto"/>
              <w:jc w:val="right"/>
              <w:rPr>
                <w:rFonts w:eastAsia="Times New Roman" w:cs="Times New Roman"/>
                <w:b/>
                <w:bCs/>
                <w:color w:val="000000"/>
                <w:sz w:val="6"/>
                <w:szCs w:val="18"/>
              </w:rPr>
            </w:pPr>
          </w:p>
        </w:tc>
        <w:tc>
          <w:tcPr>
            <w:tcW w:w="1530" w:type="dxa"/>
            <w:tcBorders>
              <w:top w:val="nil"/>
              <w:left w:val="nil"/>
              <w:bottom w:val="single" w:sz="8" w:space="0" w:color="auto"/>
              <w:right w:val="nil"/>
            </w:tcBorders>
            <w:shd w:val="clear" w:color="auto" w:fill="auto"/>
            <w:noWrap/>
            <w:vAlign w:val="center"/>
            <w:hideMark/>
          </w:tcPr>
          <w:p w14:paraId="69B4A9AC" w14:textId="77777777" w:rsidR="00D33473" w:rsidRPr="00DD200D" w:rsidRDefault="00D12632" w:rsidP="00D12632">
            <w:pPr>
              <w:spacing w:line="240" w:lineRule="auto"/>
              <w:jc w:val="right"/>
              <w:rPr>
                <w:rFonts w:eastAsia="Times New Roman" w:cs="Times New Roman"/>
                <w:b/>
                <w:bCs/>
                <w:color w:val="000000"/>
                <w:sz w:val="18"/>
                <w:szCs w:val="18"/>
              </w:rPr>
            </w:pPr>
            <w:r w:rsidRPr="00DD200D">
              <w:rPr>
                <w:rFonts w:eastAsia="Times New Roman" w:cs="Times New Roman"/>
                <w:b/>
                <w:bCs/>
                <w:color w:val="000000"/>
                <w:sz w:val="18"/>
                <w:szCs w:val="18"/>
              </w:rPr>
              <w:t xml:space="preserve">San Mateo </w:t>
            </w:r>
            <w:r w:rsidR="00D33473" w:rsidRPr="00DD200D">
              <w:rPr>
                <w:rFonts w:eastAsia="Times New Roman" w:cs="Times New Roman"/>
                <w:b/>
                <w:bCs/>
                <w:color w:val="000000"/>
                <w:sz w:val="18"/>
                <w:szCs w:val="18"/>
              </w:rPr>
              <w:t>County</w:t>
            </w:r>
          </w:p>
          <w:p w14:paraId="54BD5573" w14:textId="730657A3" w:rsidR="00D12632" w:rsidRPr="00DD200D" w:rsidRDefault="00D12632" w:rsidP="00D12632">
            <w:pPr>
              <w:spacing w:line="240" w:lineRule="auto"/>
              <w:jc w:val="right"/>
              <w:rPr>
                <w:rFonts w:eastAsia="Times New Roman" w:cs="Times New Roman"/>
                <w:b/>
                <w:bCs/>
                <w:color w:val="000000"/>
                <w:sz w:val="2"/>
                <w:szCs w:val="18"/>
              </w:rPr>
            </w:pPr>
          </w:p>
        </w:tc>
        <w:tc>
          <w:tcPr>
            <w:tcW w:w="1350" w:type="dxa"/>
            <w:gridSpan w:val="3"/>
            <w:tcBorders>
              <w:top w:val="nil"/>
              <w:left w:val="nil"/>
              <w:bottom w:val="single" w:sz="8" w:space="0" w:color="auto"/>
              <w:right w:val="nil"/>
            </w:tcBorders>
            <w:shd w:val="clear" w:color="auto" w:fill="auto"/>
            <w:noWrap/>
            <w:vAlign w:val="center"/>
            <w:hideMark/>
          </w:tcPr>
          <w:p w14:paraId="7E8410C3" w14:textId="555CF1CA" w:rsidR="00D33473" w:rsidRPr="00D33473" w:rsidRDefault="00D33473" w:rsidP="00D12632">
            <w:pPr>
              <w:spacing w:line="240" w:lineRule="auto"/>
              <w:jc w:val="right"/>
              <w:rPr>
                <w:rFonts w:eastAsia="Times New Roman" w:cs="Times New Roman"/>
                <w:b/>
                <w:bCs/>
                <w:color w:val="000000"/>
                <w:sz w:val="18"/>
                <w:szCs w:val="18"/>
              </w:rPr>
            </w:pPr>
            <w:r w:rsidRPr="00D33473">
              <w:rPr>
                <w:rFonts w:eastAsia="Times New Roman" w:cs="Times New Roman"/>
                <w:b/>
                <w:bCs/>
                <w:color w:val="000000"/>
                <w:sz w:val="18"/>
                <w:szCs w:val="18"/>
              </w:rPr>
              <w:t>State</w:t>
            </w:r>
            <w:r w:rsidR="00D12632">
              <w:rPr>
                <w:rFonts w:eastAsia="Times New Roman" w:cs="Times New Roman"/>
                <w:b/>
                <w:bCs/>
                <w:color w:val="000000"/>
                <w:sz w:val="18"/>
                <w:szCs w:val="18"/>
              </w:rPr>
              <w:t xml:space="preserve"> of California</w:t>
            </w:r>
          </w:p>
        </w:tc>
      </w:tr>
      <w:tr w:rsidR="00DD200D" w:rsidRPr="00D33473" w14:paraId="2DA32B70" w14:textId="77777777" w:rsidTr="00D12632">
        <w:trPr>
          <w:gridAfter w:val="1"/>
          <w:wAfter w:w="65" w:type="dxa"/>
          <w:trHeight w:val="300"/>
        </w:trPr>
        <w:tc>
          <w:tcPr>
            <w:tcW w:w="754" w:type="dxa"/>
            <w:tcBorders>
              <w:top w:val="nil"/>
              <w:left w:val="nil"/>
              <w:bottom w:val="nil"/>
              <w:right w:val="nil"/>
            </w:tcBorders>
            <w:shd w:val="clear" w:color="auto" w:fill="auto"/>
            <w:noWrap/>
            <w:vAlign w:val="center"/>
            <w:hideMark/>
          </w:tcPr>
          <w:p w14:paraId="046430D9" w14:textId="77777777" w:rsidR="00DD200D" w:rsidRPr="008D1973" w:rsidRDefault="00DD200D" w:rsidP="00067077">
            <w:pPr>
              <w:jc w:val="right"/>
              <w:rPr>
                <w:rFonts w:eastAsia="Times New Roman" w:cs="Times New Roman"/>
                <w:b/>
                <w:color w:val="000000"/>
                <w:sz w:val="18"/>
                <w:szCs w:val="18"/>
              </w:rPr>
            </w:pPr>
            <w:r w:rsidRPr="008D1973">
              <w:rPr>
                <w:rFonts w:eastAsia="Times New Roman" w:cs="Times New Roman"/>
                <w:b/>
                <w:color w:val="000000"/>
                <w:sz w:val="18"/>
                <w:szCs w:val="18"/>
              </w:rPr>
              <w:t>2000</w:t>
            </w:r>
          </w:p>
        </w:tc>
        <w:tc>
          <w:tcPr>
            <w:tcW w:w="2036" w:type="dxa"/>
            <w:tcBorders>
              <w:top w:val="single" w:sz="4" w:space="0" w:color="808080"/>
              <w:left w:val="nil"/>
              <w:bottom w:val="single" w:sz="4" w:space="0" w:color="808080"/>
              <w:right w:val="nil"/>
            </w:tcBorders>
            <w:shd w:val="clear" w:color="auto" w:fill="auto"/>
            <w:noWrap/>
            <w:vAlign w:val="bottom"/>
            <w:hideMark/>
          </w:tcPr>
          <w:p w14:paraId="12B2B353" w14:textId="77777777" w:rsidR="00DD200D" w:rsidRPr="00D33473" w:rsidRDefault="00DD200D" w:rsidP="00067077">
            <w:pPr>
              <w:rPr>
                <w:rFonts w:eastAsia="Times New Roman" w:cs="Times New Roman"/>
                <w:color w:val="000000"/>
                <w:sz w:val="18"/>
                <w:szCs w:val="18"/>
              </w:rPr>
            </w:pPr>
            <w:r w:rsidRPr="00D33473">
              <w:rPr>
                <w:rFonts w:eastAsia="Times New Roman" w:cs="Times New Roman"/>
                <w:color w:val="000000"/>
                <w:sz w:val="18"/>
                <w:szCs w:val="18"/>
              </w:rPr>
              <w:t>Percent Owners</w:t>
            </w:r>
          </w:p>
        </w:tc>
        <w:tc>
          <w:tcPr>
            <w:tcW w:w="1350" w:type="dxa"/>
            <w:tcBorders>
              <w:top w:val="single" w:sz="4" w:space="0" w:color="808080"/>
              <w:left w:val="nil"/>
              <w:bottom w:val="single" w:sz="4" w:space="0" w:color="808080"/>
              <w:right w:val="nil"/>
            </w:tcBorders>
            <w:shd w:val="clear" w:color="auto" w:fill="auto"/>
            <w:noWrap/>
            <w:vAlign w:val="bottom"/>
            <w:hideMark/>
          </w:tcPr>
          <w:p w14:paraId="6C963D5C" w14:textId="1C57719B" w:rsidR="00DD200D" w:rsidRPr="00DD200D" w:rsidRDefault="00DD200D" w:rsidP="00D12632">
            <w:pPr>
              <w:ind w:left="248"/>
              <w:jc w:val="right"/>
              <w:rPr>
                <w:rFonts w:eastAsia="Times New Roman" w:cs="Times New Roman"/>
                <w:color w:val="000000"/>
                <w:sz w:val="18"/>
                <w:szCs w:val="18"/>
              </w:rPr>
            </w:pPr>
            <w:r w:rsidRPr="00D26771">
              <w:rPr>
                <w:rFonts w:eastAsia="Times New Roman" w:cs="Times New Roman"/>
                <w:color w:val="000000"/>
                <w:sz w:val="18"/>
                <w:szCs w:val="18"/>
              </w:rPr>
              <w:t>96%</w:t>
            </w:r>
          </w:p>
        </w:tc>
        <w:tc>
          <w:tcPr>
            <w:tcW w:w="1530" w:type="dxa"/>
            <w:tcBorders>
              <w:top w:val="single" w:sz="4" w:space="0" w:color="808080"/>
              <w:left w:val="nil"/>
              <w:bottom w:val="single" w:sz="4" w:space="0" w:color="808080"/>
              <w:right w:val="nil"/>
            </w:tcBorders>
            <w:shd w:val="clear" w:color="auto" w:fill="auto"/>
            <w:noWrap/>
            <w:vAlign w:val="bottom"/>
            <w:hideMark/>
          </w:tcPr>
          <w:p w14:paraId="5ABCD3D4" w14:textId="77777777" w:rsidR="00DD200D" w:rsidRPr="00DD200D" w:rsidRDefault="00DD200D" w:rsidP="00067077">
            <w:pPr>
              <w:jc w:val="right"/>
              <w:rPr>
                <w:rFonts w:eastAsia="Times New Roman" w:cs="Times New Roman"/>
                <w:color w:val="000000"/>
                <w:sz w:val="18"/>
                <w:szCs w:val="18"/>
              </w:rPr>
            </w:pPr>
            <w:r w:rsidRPr="00DD200D">
              <w:rPr>
                <w:rFonts w:eastAsia="Times New Roman" w:cs="Times New Roman"/>
                <w:color w:val="000000"/>
                <w:sz w:val="18"/>
                <w:szCs w:val="18"/>
              </w:rPr>
              <w:t>61%</w:t>
            </w:r>
          </w:p>
        </w:tc>
        <w:tc>
          <w:tcPr>
            <w:tcW w:w="1350" w:type="dxa"/>
            <w:gridSpan w:val="3"/>
            <w:tcBorders>
              <w:top w:val="single" w:sz="4" w:space="0" w:color="808080"/>
              <w:left w:val="nil"/>
              <w:bottom w:val="single" w:sz="4" w:space="0" w:color="808080"/>
              <w:right w:val="nil"/>
            </w:tcBorders>
            <w:shd w:val="clear" w:color="auto" w:fill="auto"/>
            <w:noWrap/>
            <w:vAlign w:val="bottom"/>
            <w:hideMark/>
          </w:tcPr>
          <w:p w14:paraId="19174AF4" w14:textId="77777777" w:rsidR="00DD200D" w:rsidRPr="00D33473" w:rsidRDefault="00DD200D" w:rsidP="00067077">
            <w:pPr>
              <w:jc w:val="right"/>
              <w:rPr>
                <w:rFonts w:eastAsia="Times New Roman" w:cs="Times New Roman"/>
                <w:color w:val="000000"/>
                <w:sz w:val="18"/>
                <w:szCs w:val="18"/>
              </w:rPr>
            </w:pPr>
            <w:r w:rsidRPr="00D33473">
              <w:rPr>
                <w:rFonts w:eastAsia="Times New Roman" w:cs="Times New Roman"/>
                <w:color w:val="000000"/>
                <w:sz w:val="18"/>
                <w:szCs w:val="18"/>
              </w:rPr>
              <w:t>57%</w:t>
            </w:r>
          </w:p>
        </w:tc>
      </w:tr>
      <w:tr w:rsidR="00DD200D" w:rsidRPr="00D33473" w14:paraId="08172BE3" w14:textId="77777777" w:rsidTr="00D12632">
        <w:trPr>
          <w:gridAfter w:val="1"/>
          <w:wAfter w:w="65" w:type="dxa"/>
          <w:trHeight w:val="300"/>
        </w:trPr>
        <w:tc>
          <w:tcPr>
            <w:tcW w:w="754" w:type="dxa"/>
            <w:tcBorders>
              <w:top w:val="nil"/>
              <w:left w:val="nil"/>
              <w:bottom w:val="nil"/>
              <w:right w:val="nil"/>
            </w:tcBorders>
            <w:shd w:val="clear" w:color="auto" w:fill="auto"/>
            <w:noWrap/>
            <w:vAlign w:val="bottom"/>
            <w:hideMark/>
          </w:tcPr>
          <w:p w14:paraId="67C63563" w14:textId="77777777" w:rsidR="00DD200D" w:rsidRPr="00D33473" w:rsidRDefault="00DD200D" w:rsidP="00067077">
            <w:pPr>
              <w:rPr>
                <w:rFonts w:ascii="Cambria" w:eastAsia="Times New Roman" w:hAnsi="Cambria" w:cs="Times New Roman"/>
                <w:color w:val="000000"/>
              </w:rPr>
            </w:pPr>
          </w:p>
        </w:tc>
        <w:tc>
          <w:tcPr>
            <w:tcW w:w="2036" w:type="dxa"/>
            <w:tcBorders>
              <w:top w:val="nil"/>
              <w:left w:val="nil"/>
              <w:bottom w:val="single" w:sz="4" w:space="0" w:color="auto"/>
              <w:right w:val="nil"/>
            </w:tcBorders>
            <w:shd w:val="clear" w:color="auto" w:fill="auto"/>
            <w:noWrap/>
            <w:vAlign w:val="bottom"/>
            <w:hideMark/>
          </w:tcPr>
          <w:p w14:paraId="39FAFEAB" w14:textId="77777777" w:rsidR="00DD200D" w:rsidRPr="00D33473" w:rsidRDefault="00DD200D" w:rsidP="00067077">
            <w:pPr>
              <w:rPr>
                <w:rFonts w:eastAsia="Times New Roman" w:cs="Times New Roman"/>
                <w:color w:val="000000"/>
                <w:sz w:val="18"/>
                <w:szCs w:val="18"/>
              </w:rPr>
            </w:pPr>
            <w:r w:rsidRPr="00D33473">
              <w:rPr>
                <w:rFonts w:eastAsia="Times New Roman" w:cs="Times New Roman"/>
                <w:color w:val="000000"/>
                <w:sz w:val="18"/>
                <w:szCs w:val="18"/>
              </w:rPr>
              <w:t>Percent Renters</w:t>
            </w:r>
          </w:p>
        </w:tc>
        <w:tc>
          <w:tcPr>
            <w:tcW w:w="1350" w:type="dxa"/>
            <w:tcBorders>
              <w:top w:val="nil"/>
              <w:left w:val="nil"/>
              <w:bottom w:val="single" w:sz="4" w:space="0" w:color="auto"/>
              <w:right w:val="nil"/>
            </w:tcBorders>
            <w:shd w:val="clear" w:color="auto" w:fill="auto"/>
            <w:noWrap/>
            <w:vAlign w:val="bottom"/>
            <w:hideMark/>
          </w:tcPr>
          <w:p w14:paraId="6D08A894" w14:textId="6A5E03FB" w:rsidR="00DD200D" w:rsidRPr="00DD200D" w:rsidRDefault="00DD200D" w:rsidP="00D12632">
            <w:pPr>
              <w:ind w:left="248"/>
              <w:jc w:val="right"/>
              <w:rPr>
                <w:rFonts w:eastAsia="Times New Roman" w:cs="Times New Roman"/>
                <w:color w:val="000000"/>
                <w:sz w:val="18"/>
                <w:szCs w:val="18"/>
              </w:rPr>
            </w:pPr>
            <w:r w:rsidRPr="00D26771">
              <w:rPr>
                <w:rFonts w:eastAsia="Times New Roman" w:cs="Times New Roman"/>
                <w:color w:val="000000"/>
                <w:sz w:val="18"/>
                <w:szCs w:val="18"/>
              </w:rPr>
              <w:t>4%</w:t>
            </w:r>
          </w:p>
        </w:tc>
        <w:tc>
          <w:tcPr>
            <w:tcW w:w="1530" w:type="dxa"/>
            <w:tcBorders>
              <w:top w:val="nil"/>
              <w:left w:val="nil"/>
              <w:bottom w:val="single" w:sz="4" w:space="0" w:color="auto"/>
              <w:right w:val="nil"/>
            </w:tcBorders>
            <w:shd w:val="clear" w:color="auto" w:fill="auto"/>
            <w:noWrap/>
            <w:vAlign w:val="bottom"/>
            <w:hideMark/>
          </w:tcPr>
          <w:p w14:paraId="00383A65" w14:textId="77777777" w:rsidR="00DD200D" w:rsidRPr="00DD200D" w:rsidRDefault="00DD200D" w:rsidP="00067077">
            <w:pPr>
              <w:jc w:val="right"/>
              <w:rPr>
                <w:rFonts w:eastAsia="Times New Roman" w:cs="Times New Roman"/>
                <w:color w:val="000000"/>
                <w:sz w:val="18"/>
                <w:szCs w:val="18"/>
              </w:rPr>
            </w:pPr>
            <w:r w:rsidRPr="00DD200D">
              <w:rPr>
                <w:rFonts w:eastAsia="Times New Roman" w:cs="Times New Roman"/>
                <w:color w:val="000000"/>
                <w:sz w:val="18"/>
                <w:szCs w:val="18"/>
              </w:rPr>
              <w:t>39%</w:t>
            </w:r>
          </w:p>
        </w:tc>
        <w:tc>
          <w:tcPr>
            <w:tcW w:w="1350" w:type="dxa"/>
            <w:gridSpan w:val="3"/>
            <w:tcBorders>
              <w:top w:val="nil"/>
              <w:left w:val="nil"/>
              <w:bottom w:val="single" w:sz="4" w:space="0" w:color="auto"/>
              <w:right w:val="nil"/>
            </w:tcBorders>
            <w:shd w:val="clear" w:color="auto" w:fill="auto"/>
            <w:noWrap/>
            <w:vAlign w:val="bottom"/>
            <w:hideMark/>
          </w:tcPr>
          <w:p w14:paraId="0824D54A" w14:textId="77777777" w:rsidR="00DD200D" w:rsidRPr="00D33473" w:rsidRDefault="00DD200D" w:rsidP="00067077">
            <w:pPr>
              <w:jc w:val="right"/>
              <w:rPr>
                <w:rFonts w:eastAsia="Times New Roman" w:cs="Times New Roman"/>
                <w:color w:val="000000"/>
                <w:sz w:val="18"/>
                <w:szCs w:val="18"/>
              </w:rPr>
            </w:pPr>
            <w:r w:rsidRPr="00D33473">
              <w:rPr>
                <w:rFonts w:eastAsia="Times New Roman" w:cs="Times New Roman"/>
                <w:color w:val="000000"/>
                <w:sz w:val="18"/>
                <w:szCs w:val="18"/>
              </w:rPr>
              <w:t>43%</w:t>
            </w:r>
          </w:p>
        </w:tc>
      </w:tr>
      <w:tr w:rsidR="00DD200D" w:rsidRPr="00D33473" w14:paraId="634FEF1A" w14:textId="77777777" w:rsidTr="00D12632">
        <w:trPr>
          <w:gridAfter w:val="1"/>
          <w:wAfter w:w="65" w:type="dxa"/>
          <w:trHeight w:val="300"/>
        </w:trPr>
        <w:tc>
          <w:tcPr>
            <w:tcW w:w="754" w:type="dxa"/>
            <w:tcBorders>
              <w:top w:val="nil"/>
              <w:left w:val="nil"/>
              <w:bottom w:val="nil"/>
              <w:right w:val="nil"/>
            </w:tcBorders>
            <w:shd w:val="clear" w:color="auto" w:fill="auto"/>
            <w:noWrap/>
            <w:vAlign w:val="center"/>
            <w:hideMark/>
          </w:tcPr>
          <w:p w14:paraId="7BFB6790" w14:textId="77777777" w:rsidR="00DD200D" w:rsidRPr="008D1973" w:rsidRDefault="00DD200D" w:rsidP="00067077">
            <w:pPr>
              <w:jc w:val="right"/>
              <w:rPr>
                <w:rFonts w:eastAsia="Times New Roman" w:cs="Times New Roman"/>
                <w:b/>
                <w:color w:val="000000"/>
                <w:sz w:val="18"/>
                <w:szCs w:val="18"/>
              </w:rPr>
            </w:pPr>
            <w:r w:rsidRPr="008D1973">
              <w:rPr>
                <w:rFonts w:eastAsia="Times New Roman" w:cs="Times New Roman"/>
                <w:b/>
                <w:color w:val="000000"/>
                <w:sz w:val="18"/>
                <w:szCs w:val="18"/>
              </w:rPr>
              <w:t>2011</w:t>
            </w:r>
          </w:p>
        </w:tc>
        <w:tc>
          <w:tcPr>
            <w:tcW w:w="2036" w:type="dxa"/>
            <w:tcBorders>
              <w:top w:val="single" w:sz="4" w:space="0" w:color="808080"/>
              <w:left w:val="nil"/>
              <w:bottom w:val="single" w:sz="4" w:space="0" w:color="808080"/>
              <w:right w:val="nil"/>
            </w:tcBorders>
            <w:shd w:val="clear" w:color="auto" w:fill="auto"/>
            <w:noWrap/>
            <w:vAlign w:val="bottom"/>
            <w:hideMark/>
          </w:tcPr>
          <w:p w14:paraId="76C0F487" w14:textId="77777777" w:rsidR="00DD200D" w:rsidRPr="00D33473" w:rsidRDefault="00DD200D" w:rsidP="00067077">
            <w:pPr>
              <w:rPr>
                <w:rFonts w:eastAsia="Times New Roman" w:cs="Times New Roman"/>
                <w:color w:val="000000"/>
                <w:sz w:val="18"/>
                <w:szCs w:val="18"/>
              </w:rPr>
            </w:pPr>
            <w:r w:rsidRPr="00D33473">
              <w:rPr>
                <w:rFonts w:eastAsia="Times New Roman" w:cs="Times New Roman"/>
                <w:color w:val="000000"/>
                <w:sz w:val="18"/>
                <w:szCs w:val="18"/>
              </w:rPr>
              <w:t>Percent Owners</w:t>
            </w:r>
          </w:p>
        </w:tc>
        <w:tc>
          <w:tcPr>
            <w:tcW w:w="1350" w:type="dxa"/>
            <w:tcBorders>
              <w:top w:val="single" w:sz="4" w:space="0" w:color="808080"/>
              <w:left w:val="nil"/>
              <w:bottom w:val="single" w:sz="4" w:space="0" w:color="808080"/>
              <w:right w:val="nil"/>
            </w:tcBorders>
            <w:shd w:val="clear" w:color="auto" w:fill="auto"/>
            <w:noWrap/>
            <w:vAlign w:val="bottom"/>
            <w:hideMark/>
          </w:tcPr>
          <w:p w14:paraId="6371C3AB" w14:textId="29300780" w:rsidR="00DD200D" w:rsidRPr="00DD200D" w:rsidRDefault="00DD200D" w:rsidP="00D12632">
            <w:pPr>
              <w:ind w:left="248"/>
              <w:jc w:val="right"/>
              <w:rPr>
                <w:rFonts w:eastAsia="Times New Roman" w:cs="Times New Roman"/>
                <w:color w:val="000000"/>
                <w:sz w:val="18"/>
                <w:szCs w:val="18"/>
              </w:rPr>
            </w:pPr>
            <w:r w:rsidRPr="00D26771">
              <w:rPr>
                <w:rFonts w:eastAsia="Times New Roman" w:cs="Times New Roman"/>
                <w:color w:val="000000"/>
                <w:sz w:val="18"/>
                <w:szCs w:val="18"/>
              </w:rPr>
              <w:t>96%</w:t>
            </w:r>
          </w:p>
        </w:tc>
        <w:tc>
          <w:tcPr>
            <w:tcW w:w="1530" w:type="dxa"/>
            <w:tcBorders>
              <w:top w:val="single" w:sz="4" w:space="0" w:color="808080"/>
              <w:left w:val="nil"/>
              <w:bottom w:val="single" w:sz="4" w:space="0" w:color="808080"/>
              <w:right w:val="nil"/>
            </w:tcBorders>
            <w:shd w:val="clear" w:color="auto" w:fill="auto"/>
            <w:noWrap/>
            <w:vAlign w:val="bottom"/>
            <w:hideMark/>
          </w:tcPr>
          <w:p w14:paraId="1E6C753A" w14:textId="77777777" w:rsidR="00DD200D" w:rsidRPr="00DD200D" w:rsidRDefault="00DD200D" w:rsidP="00067077">
            <w:pPr>
              <w:jc w:val="right"/>
              <w:rPr>
                <w:rFonts w:eastAsia="Times New Roman" w:cs="Times New Roman"/>
                <w:color w:val="000000"/>
                <w:sz w:val="18"/>
                <w:szCs w:val="18"/>
              </w:rPr>
            </w:pPr>
            <w:r w:rsidRPr="00DD200D">
              <w:rPr>
                <w:rFonts w:eastAsia="Times New Roman" w:cs="Times New Roman"/>
                <w:color w:val="000000"/>
                <w:sz w:val="18"/>
                <w:szCs w:val="18"/>
              </w:rPr>
              <w:t>59%</w:t>
            </w:r>
          </w:p>
        </w:tc>
        <w:tc>
          <w:tcPr>
            <w:tcW w:w="1350" w:type="dxa"/>
            <w:gridSpan w:val="3"/>
            <w:tcBorders>
              <w:top w:val="single" w:sz="4" w:space="0" w:color="808080"/>
              <w:left w:val="nil"/>
              <w:bottom w:val="single" w:sz="4" w:space="0" w:color="808080"/>
              <w:right w:val="nil"/>
            </w:tcBorders>
            <w:shd w:val="clear" w:color="auto" w:fill="auto"/>
            <w:noWrap/>
            <w:vAlign w:val="bottom"/>
            <w:hideMark/>
          </w:tcPr>
          <w:p w14:paraId="41DA0072" w14:textId="77777777" w:rsidR="00DD200D" w:rsidRPr="00D33473" w:rsidRDefault="00DD200D" w:rsidP="00067077">
            <w:pPr>
              <w:jc w:val="right"/>
              <w:rPr>
                <w:rFonts w:eastAsia="Times New Roman" w:cs="Times New Roman"/>
                <w:color w:val="000000"/>
                <w:sz w:val="18"/>
                <w:szCs w:val="18"/>
              </w:rPr>
            </w:pPr>
            <w:r w:rsidRPr="00D33473">
              <w:rPr>
                <w:rFonts w:eastAsia="Times New Roman" w:cs="Times New Roman"/>
                <w:color w:val="000000"/>
                <w:sz w:val="18"/>
                <w:szCs w:val="18"/>
              </w:rPr>
              <w:t>56%</w:t>
            </w:r>
          </w:p>
        </w:tc>
      </w:tr>
      <w:tr w:rsidR="00DD200D" w:rsidRPr="00D33473" w14:paraId="73A4953A" w14:textId="77777777" w:rsidTr="00D12632">
        <w:trPr>
          <w:gridAfter w:val="1"/>
          <w:wAfter w:w="65" w:type="dxa"/>
          <w:trHeight w:val="320"/>
        </w:trPr>
        <w:tc>
          <w:tcPr>
            <w:tcW w:w="754" w:type="dxa"/>
            <w:tcBorders>
              <w:top w:val="nil"/>
              <w:left w:val="nil"/>
              <w:bottom w:val="single" w:sz="8" w:space="0" w:color="auto"/>
              <w:right w:val="nil"/>
            </w:tcBorders>
            <w:shd w:val="clear" w:color="auto" w:fill="auto"/>
            <w:noWrap/>
            <w:vAlign w:val="center"/>
            <w:hideMark/>
          </w:tcPr>
          <w:p w14:paraId="0C94A28C" w14:textId="77777777" w:rsidR="00DD200D" w:rsidRPr="00D33473" w:rsidRDefault="00DD200D" w:rsidP="00067077">
            <w:pPr>
              <w:rPr>
                <w:rFonts w:eastAsia="Times New Roman" w:cs="Times New Roman"/>
                <w:color w:val="000000"/>
                <w:sz w:val="18"/>
                <w:szCs w:val="18"/>
              </w:rPr>
            </w:pPr>
            <w:r w:rsidRPr="00D33473">
              <w:rPr>
                <w:rFonts w:eastAsia="Times New Roman" w:cs="Times New Roman"/>
                <w:color w:val="000000"/>
                <w:sz w:val="18"/>
                <w:szCs w:val="18"/>
              </w:rPr>
              <w:t> </w:t>
            </w:r>
          </w:p>
        </w:tc>
        <w:tc>
          <w:tcPr>
            <w:tcW w:w="2036" w:type="dxa"/>
            <w:tcBorders>
              <w:top w:val="nil"/>
              <w:left w:val="nil"/>
              <w:bottom w:val="single" w:sz="4" w:space="0" w:color="auto"/>
              <w:right w:val="nil"/>
            </w:tcBorders>
            <w:shd w:val="clear" w:color="auto" w:fill="auto"/>
            <w:noWrap/>
            <w:vAlign w:val="bottom"/>
            <w:hideMark/>
          </w:tcPr>
          <w:p w14:paraId="3D2C9021" w14:textId="77777777" w:rsidR="00DD200D" w:rsidRPr="00D33473" w:rsidRDefault="00DD200D" w:rsidP="00067077">
            <w:pPr>
              <w:rPr>
                <w:rFonts w:eastAsia="Times New Roman" w:cs="Times New Roman"/>
                <w:color w:val="000000"/>
                <w:sz w:val="18"/>
                <w:szCs w:val="18"/>
              </w:rPr>
            </w:pPr>
            <w:r w:rsidRPr="00D33473">
              <w:rPr>
                <w:rFonts w:eastAsia="Times New Roman" w:cs="Times New Roman"/>
                <w:color w:val="000000"/>
                <w:sz w:val="18"/>
                <w:szCs w:val="18"/>
              </w:rPr>
              <w:t>Percent Renters</w:t>
            </w:r>
          </w:p>
        </w:tc>
        <w:tc>
          <w:tcPr>
            <w:tcW w:w="1350" w:type="dxa"/>
            <w:tcBorders>
              <w:top w:val="nil"/>
              <w:left w:val="nil"/>
              <w:bottom w:val="single" w:sz="4" w:space="0" w:color="auto"/>
              <w:right w:val="nil"/>
            </w:tcBorders>
            <w:shd w:val="clear" w:color="auto" w:fill="auto"/>
            <w:noWrap/>
            <w:vAlign w:val="bottom"/>
            <w:hideMark/>
          </w:tcPr>
          <w:p w14:paraId="71A20F76" w14:textId="39382006" w:rsidR="00DD200D" w:rsidRPr="00DD200D" w:rsidRDefault="00DD200D" w:rsidP="00D12632">
            <w:pPr>
              <w:ind w:left="248"/>
              <w:jc w:val="right"/>
              <w:rPr>
                <w:rFonts w:eastAsia="Times New Roman" w:cs="Times New Roman"/>
                <w:color w:val="000000"/>
                <w:sz w:val="18"/>
                <w:szCs w:val="18"/>
              </w:rPr>
            </w:pPr>
            <w:r w:rsidRPr="00D26771">
              <w:rPr>
                <w:rFonts w:eastAsia="Times New Roman" w:cs="Times New Roman"/>
                <w:color w:val="000000"/>
                <w:sz w:val="18"/>
                <w:szCs w:val="18"/>
              </w:rPr>
              <w:t>4%</w:t>
            </w:r>
          </w:p>
        </w:tc>
        <w:tc>
          <w:tcPr>
            <w:tcW w:w="1530" w:type="dxa"/>
            <w:tcBorders>
              <w:top w:val="nil"/>
              <w:left w:val="nil"/>
              <w:bottom w:val="single" w:sz="4" w:space="0" w:color="auto"/>
              <w:right w:val="nil"/>
            </w:tcBorders>
            <w:shd w:val="clear" w:color="auto" w:fill="auto"/>
            <w:noWrap/>
            <w:vAlign w:val="bottom"/>
            <w:hideMark/>
          </w:tcPr>
          <w:p w14:paraId="71381B06" w14:textId="77777777" w:rsidR="00DD200D" w:rsidRPr="00DD200D" w:rsidRDefault="00DD200D" w:rsidP="00067077">
            <w:pPr>
              <w:jc w:val="right"/>
              <w:rPr>
                <w:rFonts w:eastAsia="Times New Roman" w:cs="Times New Roman"/>
                <w:color w:val="000000"/>
                <w:sz w:val="18"/>
                <w:szCs w:val="18"/>
              </w:rPr>
            </w:pPr>
            <w:r w:rsidRPr="00DD200D">
              <w:rPr>
                <w:rFonts w:eastAsia="Times New Roman" w:cs="Times New Roman"/>
                <w:color w:val="000000"/>
                <w:sz w:val="18"/>
                <w:szCs w:val="18"/>
              </w:rPr>
              <w:t>41%</w:t>
            </w:r>
          </w:p>
        </w:tc>
        <w:tc>
          <w:tcPr>
            <w:tcW w:w="1350" w:type="dxa"/>
            <w:gridSpan w:val="3"/>
            <w:tcBorders>
              <w:top w:val="nil"/>
              <w:left w:val="nil"/>
              <w:bottom w:val="single" w:sz="4" w:space="0" w:color="auto"/>
              <w:right w:val="nil"/>
            </w:tcBorders>
            <w:shd w:val="clear" w:color="auto" w:fill="auto"/>
            <w:noWrap/>
            <w:vAlign w:val="bottom"/>
            <w:hideMark/>
          </w:tcPr>
          <w:p w14:paraId="1071AA72" w14:textId="77777777" w:rsidR="00DD200D" w:rsidRPr="00D33473" w:rsidRDefault="00DD200D" w:rsidP="00067077">
            <w:pPr>
              <w:jc w:val="right"/>
              <w:rPr>
                <w:rFonts w:eastAsia="Times New Roman" w:cs="Times New Roman"/>
                <w:color w:val="000000"/>
                <w:sz w:val="18"/>
                <w:szCs w:val="18"/>
              </w:rPr>
            </w:pPr>
            <w:r w:rsidRPr="00D33473">
              <w:rPr>
                <w:rFonts w:eastAsia="Times New Roman" w:cs="Times New Roman"/>
                <w:color w:val="000000"/>
                <w:sz w:val="18"/>
                <w:szCs w:val="18"/>
              </w:rPr>
              <w:t>44%</w:t>
            </w:r>
          </w:p>
        </w:tc>
      </w:tr>
      <w:tr w:rsidR="00D12632" w:rsidRPr="00D12632" w14:paraId="15F54E0A" w14:textId="77777777" w:rsidTr="00D12632">
        <w:trPr>
          <w:trHeight w:val="300"/>
        </w:trPr>
        <w:tc>
          <w:tcPr>
            <w:tcW w:w="6030" w:type="dxa"/>
            <w:gridSpan w:val="5"/>
            <w:tcBorders>
              <w:top w:val="single" w:sz="8" w:space="0" w:color="auto"/>
              <w:left w:val="nil"/>
              <w:bottom w:val="nil"/>
              <w:right w:val="nil"/>
            </w:tcBorders>
            <w:shd w:val="clear" w:color="auto" w:fill="auto"/>
            <w:noWrap/>
            <w:vAlign w:val="center"/>
            <w:hideMark/>
          </w:tcPr>
          <w:p w14:paraId="109A1C59" w14:textId="77777777" w:rsidR="00D12632" w:rsidRPr="00D12632" w:rsidRDefault="00D12632" w:rsidP="00D12632">
            <w:pPr>
              <w:spacing w:line="240" w:lineRule="auto"/>
              <w:rPr>
                <w:rFonts w:eastAsia="Times New Roman" w:cs="Times New Roman"/>
                <w:iCs/>
                <w:color w:val="000000"/>
                <w:sz w:val="12"/>
                <w:szCs w:val="18"/>
              </w:rPr>
            </w:pPr>
          </w:p>
          <w:p w14:paraId="0BFDCCA8" w14:textId="122E4E54" w:rsidR="00D33473" w:rsidRPr="00D12632" w:rsidRDefault="00D33473" w:rsidP="00D12632">
            <w:pPr>
              <w:spacing w:line="240" w:lineRule="auto"/>
              <w:ind w:right="-920"/>
              <w:rPr>
                <w:rFonts w:eastAsia="Times New Roman" w:cs="Times New Roman"/>
                <w:iCs/>
                <w:color w:val="000000"/>
                <w:sz w:val="18"/>
                <w:szCs w:val="18"/>
              </w:rPr>
            </w:pPr>
            <w:r w:rsidRPr="00D12632">
              <w:rPr>
                <w:rFonts w:eastAsia="Times New Roman" w:cs="Times New Roman"/>
                <w:iCs/>
                <w:color w:val="000000"/>
                <w:sz w:val="18"/>
                <w:szCs w:val="18"/>
              </w:rPr>
              <w:t xml:space="preserve">Source: 2010 US Census SF1, </w:t>
            </w:r>
            <w:r w:rsidR="0020362E">
              <w:rPr>
                <w:rFonts w:eastAsia="Times New Roman" w:cs="Times New Roman"/>
                <w:iCs/>
                <w:color w:val="000000"/>
                <w:sz w:val="18"/>
                <w:szCs w:val="18"/>
              </w:rPr>
              <w:t>2007-2011</w:t>
            </w:r>
            <w:r w:rsidRPr="00D12632">
              <w:rPr>
                <w:rFonts w:eastAsia="Times New Roman" w:cs="Times New Roman"/>
                <w:iCs/>
                <w:color w:val="000000"/>
                <w:sz w:val="18"/>
                <w:szCs w:val="18"/>
              </w:rPr>
              <w:t xml:space="preserve"> American Community Survey</w:t>
            </w:r>
          </w:p>
        </w:tc>
        <w:tc>
          <w:tcPr>
            <w:tcW w:w="1055" w:type="dxa"/>
            <w:gridSpan w:val="3"/>
            <w:tcBorders>
              <w:top w:val="nil"/>
              <w:left w:val="nil"/>
              <w:bottom w:val="nil"/>
              <w:right w:val="nil"/>
            </w:tcBorders>
            <w:shd w:val="clear" w:color="auto" w:fill="auto"/>
            <w:noWrap/>
            <w:vAlign w:val="bottom"/>
            <w:hideMark/>
          </w:tcPr>
          <w:p w14:paraId="22A102CE" w14:textId="77777777" w:rsidR="00D33473" w:rsidRPr="00D12632" w:rsidRDefault="00D33473" w:rsidP="00D12632">
            <w:pPr>
              <w:spacing w:line="240" w:lineRule="auto"/>
              <w:rPr>
                <w:rFonts w:ascii="Cambria" w:eastAsia="Times New Roman" w:hAnsi="Cambria" w:cs="Times New Roman"/>
                <w:color w:val="000000"/>
                <w:sz w:val="18"/>
                <w:szCs w:val="18"/>
              </w:rPr>
            </w:pPr>
          </w:p>
        </w:tc>
      </w:tr>
    </w:tbl>
    <w:p w14:paraId="364DDC00" w14:textId="77777777" w:rsidR="009D71AA" w:rsidRDefault="009D71AA" w:rsidP="00067077"/>
    <w:p w14:paraId="31FC705A" w14:textId="6825E489" w:rsidR="00157635" w:rsidRDefault="00853231" w:rsidP="00067077">
      <w:pPr>
        <w:pStyle w:val="21ElementsText"/>
      </w:pPr>
      <w:r w:rsidRPr="00163159">
        <w:t>Hillsborough</w:t>
      </w:r>
      <w:r w:rsidR="00F27D1E" w:rsidRPr="00163159">
        <w:t>’</w:t>
      </w:r>
      <w:r w:rsidR="00FB4927" w:rsidRPr="00163159">
        <w:t xml:space="preserve">s average household size </w:t>
      </w:r>
      <w:r w:rsidR="00F50779" w:rsidRPr="00163159">
        <w:t>was</w:t>
      </w:r>
      <w:r w:rsidR="009D71AA" w:rsidRPr="00163159">
        <w:t xml:space="preserve"> three</w:t>
      </w:r>
      <w:r w:rsidR="00F50779" w:rsidRPr="00163159">
        <w:t xml:space="preserve"> as of January 2013 (</w:t>
      </w:r>
      <w:r w:rsidR="00EE4FFD" w:rsidRPr="00163159">
        <w:t xml:space="preserve">California </w:t>
      </w:r>
      <w:r w:rsidR="00F50779" w:rsidRPr="00163159">
        <w:t>Department of Finance)</w:t>
      </w:r>
      <w:r w:rsidR="00D25635" w:rsidRPr="00163159">
        <w:t xml:space="preserve">. </w:t>
      </w:r>
      <w:r w:rsidR="00F50779" w:rsidRPr="00163159">
        <w:t>Based on the census, o</w:t>
      </w:r>
      <w:r w:rsidR="00D25635" w:rsidRPr="00163159">
        <w:t xml:space="preserve">wnership households are slightly </w:t>
      </w:r>
      <w:r w:rsidR="009D71AA" w:rsidRPr="00163159">
        <w:t>smaller</w:t>
      </w:r>
      <w:r w:rsidR="00D25635" w:rsidRPr="00163159">
        <w:t xml:space="preserve">, </w:t>
      </w:r>
      <w:r w:rsidR="00F50779" w:rsidRPr="00163159">
        <w:t>while</w:t>
      </w:r>
      <w:r w:rsidR="00D25635" w:rsidRPr="00163159">
        <w:t xml:space="preserve"> rental households are slightly </w:t>
      </w:r>
      <w:r w:rsidR="009D71AA" w:rsidRPr="00163159">
        <w:t>larger</w:t>
      </w:r>
      <w:r w:rsidR="009F66DF" w:rsidRPr="00163159">
        <w:t>.</w:t>
      </w:r>
    </w:p>
    <w:p w14:paraId="1C466BCD" w14:textId="77777777" w:rsidR="00D25635" w:rsidRDefault="00D25635" w:rsidP="00067077"/>
    <w:tbl>
      <w:tblPr>
        <w:tblW w:w="8757" w:type="dxa"/>
        <w:tblInd w:w="93" w:type="dxa"/>
        <w:tblLayout w:type="fixed"/>
        <w:tblLook w:val="04A0" w:firstRow="1" w:lastRow="0" w:firstColumn="1" w:lastColumn="0" w:noHBand="0" w:noVBand="1"/>
      </w:tblPr>
      <w:tblGrid>
        <w:gridCol w:w="627"/>
        <w:gridCol w:w="4146"/>
        <w:gridCol w:w="1362"/>
        <w:gridCol w:w="1350"/>
        <w:gridCol w:w="912"/>
        <w:gridCol w:w="323"/>
        <w:gridCol w:w="37"/>
      </w:tblGrid>
      <w:tr w:rsidR="00C0568E" w:rsidRPr="00735721" w14:paraId="57353B05" w14:textId="77777777" w:rsidTr="00DD200D">
        <w:trPr>
          <w:trHeight w:val="300"/>
        </w:trPr>
        <w:tc>
          <w:tcPr>
            <w:tcW w:w="8757" w:type="dxa"/>
            <w:gridSpan w:val="7"/>
            <w:tcBorders>
              <w:top w:val="nil"/>
              <w:left w:val="nil"/>
              <w:bottom w:val="nil"/>
              <w:right w:val="nil"/>
            </w:tcBorders>
            <w:shd w:val="clear" w:color="000000" w:fill="000000"/>
            <w:noWrap/>
            <w:vAlign w:val="bottom"/>
            <w:hideMark/>
          </w:tcPr>
          <w:p w14:paraId="677A3AF8" w14:textId="542BCBAC" w:rsidR="00735721" w:rsidRPr="00735721" w:rsidRDefault="00A43397" w:rsidP="00DD200D">
            <w:pPr>
              <w:rPr>
                <w:rFonts w:eastAsia="Times New Roman" w:cs="Times New Roman"/>
                <w:b/>
                <w:bCs/>
                <w:color w:val="FFFFFF"/>
                <w:sz w:val="20"/>
                <w:szCs w:val="20"/>
              </w:rPr>
            </w:pPr>
            <w:r>
              <w:rPr>
                <w:rFonts w:eastAsia="Times New Roman" w:cs="Times New Roman"/>
                <w:b/>
                <w:bCs/>
                <w:color w:val="FFFFFF"/>
                <w:sz w:val="20"/>
                <w:szCs w:val="20"/>
              </w:rPr>
              <w:t xml:space="preserve">Average </w:t>
            </w:r>
            <w:r w:rsidR="00097BD4" w:rsidRPr="00735721">
              <w:rPr>
                <w:rFonts w:eastAsia="Times New Roman" w:cs="Times New Roman"/>
                <w:b/>
                <w:bCs/>
                <w:color w:val="FFFFFF"/>
                <w:sz w:val="20"/>
                <w:szCs w:val="20"/>
              </w:rPr>
              <w:t xml:space="preserve">Household Size </w:t>
            </w:r>
            <w:r w:rsidR="00DD200D">
              <w:rPr>
                <w:rFonts w:eastAsia="Times New Roman" w:cs="Times New Roman"/>
                <w:b/>
                <w:bCs/>
                <w:color w:val="FFFFFF"/>
                <w:sz w:val="20"/>
                <w:szCs w:val="20"/>
              </w:rPr>
              <w:t>of</w:t>
            </w:r>
            <w:r w:rsidR="00097BD4" w:rsidRPr="00735721">
              <w:rPr>
                <w:rFonts w:eastAsia="Times New Roman" w:cs="Times New Roman"/>
                <w:b/>
                <w:bCs/>
                <w:color w:val="FFFFFF"/>
                <w:sz w:val="20"/>
                <w:szCs w:val="20"/>
              </w:rPr>
              <w:t xml:space="preserve"> Owners </w:t>
            </w:r>
            <w:r w:rsidR="00097BD4">
              <w:rPr>
                <w:rFonts w:eastAsia="Times New Roman" w:cs="Times New Roman"/>
                <w:b/>
                <w:bCs/>
                <w:color w:val="FFFFFF"/>
                <w:sz w:val="20"/>
                <w:szCs w:val="20"/>
              </w:rPr>
              <w:t>Compared to</w:t>
            </w:r>
            <w:r w:rsidR="00097BD4" w:rsidRPr="00735721">
              <w:rPr>
                <w:rFonts w:eastAsia="Times New Roman" w:cs="Times New Roman"/>
                <w:b/>
                <w:bCs/>
                <w:color w:val="FFFFFF"/>
                <w:sz w:val="20"/>
                <w:szCs w:val="20"/>
              </w:rPr>
              <w:t xml:space="preserve"> Renters</w:t>
            </w:r>
            <w:r w:rsidR="00097BD4">
              <w:rPr>
                <w:rFonts w:eastAsia="Times New Roman" w:cs="Times New Roman"/>
                <w:b/>
                <w:bCs/>
                <w:color w:val="FFFFFF"/>
                <w:sz w:val="20"/>
                <w:szCs w:val="20"/>
              </w:rPr>
              <w:t xml:space="preserve"> (2000 and 2011)</w:t>
            </w:r>
          </w:p>
        </w:tc>
      </w:tr>
      <w:tr w:rsidR="00C0568E" w:rsidRPr="00735721" w14:paraId="281EE90B" w14:textId="77777777" w:rsidTr="00DD200D">
        <w:trPr>
          <w:gridAfter w:val="1"/>
          <w:wAfter w:w="37" w:type="dxa"/>
          <w:trHeight w:val="320"/>
        </w:trPr>
        <w:tc>
          <w:tcPr>
            <w:tcW w:w="627" w:type="dxa"/>
            <w:tcBorders>
              <w:top w:val="nil"/>
              <w:left w:val="nil"/>
              <w:bottom w:val="single" w:sz="8" w:space="0" w:color="auto"/>
              <w:right w:val="nil"/>
            </w:tcBorders>
            <w:shd w:val="clear" w:color="auto" w:fill="auto"/>
            <w:noWrap/>
            <w:vAlign w:val="bottom"/>
            <w:hideMark/>
          </w:tcPr>
          <w:p w14:paraId="3026237B" w14:textId="77777777" w:rsidR="00735721" w:rsidRPr="00735721" w:rsidRDefault="00735721" w:rsidP="00C0568E">
            <w:pPr>
              <w:spacing w:line="240" w:lineRule="auto"/>
              <w:rPr>
                <w:rFonts w:eastAsia="Times New Roman" w:cs="Times New Roman"/>
                <w:color w:val="000000"/>
                <w:sz w:val="18"/>
                <w:szCs w:val="18"/>
              </w:rPr>
            </w:pPr>
            <w:r w:rsidRPr="00735721">
              <w:rPr>
                <w:rFonts w:eastAsia="Times New Roman" w:cs="Times New Roman"/>
                <w:color w:val="000000"/>
                <w:sz w:val="18"/>
                <w:szCs w:val="18"/>
              </w:rPr>
              <w:t> </w:t>
            </w:r>
          </w:p>
        </w:tc>
        <w:tc>
          <w:tcPr>
            <w:tcW w:w="4146" w:type="dxa"/>
            <w:tcBorders>
              <w:top w:val="nil"/>
              <w:left w:val="nil"/>
              <w:bottom w:val="single" w:sz="8" w:space="0" w:color="auto"/>
              <w:right w:val="nil"/>
            </w:tcBorders>
            <w:shd w:val="clear" w:color="auto" w:fill="auto"/>
            <w:noWrap/>
            <w:vAlign w:val="bottom"/>
            <w:hideMark/>
          </w:tcPr>
          <w:p w14:paraId="422BF868" w14:textId="77777777" w:rsidR="00735721" w:rsidRPr="00735721" w:rsidRDefault="00735721" w:rsidP="00C0568E">
            <w:pPr>
              <w:spacing w:line="240" w:lineRule="auto"/>
              <w:rPr>
                <w:rFonts w:eastAsia="Times New Roman" w:cs="Times New Roman"/>
                <w:color w:val="000000"/>
                <w:sz w:val="18"/>
                <w:szCs w:val="18"/>
              </w:rPr>
            </w:pPr>
            <w:r w:rsidRPr="00735721">
              <w:rPr>
                <w:rFonts w:eastAsia="Times New Roman" w:cs="Times New Roman"/>
                <w:color w:val="000000"/>
                <w:sz w:val="18"/>
                <w:szCs w:val="18"/>
              </w:rPr>
              <w:t> </w:t>
            </w:r>
          </w:p>
        </w:tc>
        <w:tc>
          <w:tcPr>
            <w:tcW w:w="1362" w:type="dxa"/>
            <w:tcBorders>
              <w:top w:val="nil"/>
              <w:left w:val="nil"/>
              <w:bottom w:val="nil"/>
              <w:right w:val="nil"/>
            </w:tcBorders>
            <w:shd w:val="clear" w:color="auto" w:fill="auto"/>
            <w:noWrap/>
            <w:vAlign w:val="bottom"/>
            <w:hideMark/>
          </w:tcPr>
          <w:p w14:paraId="594845A9" w14:textId="77777777" w:rsidR="00C0568E" w:rsidRPr="00A43397" w:rsidRDefault="00C0568E" w:rsidP="00C0568E">
            <w:pPr>
              <w:spacing w:line="240" w:lineRule="auto"/>
              <w:jc w:val="right"/>
              <w:rPr>
                <w:rFonts w:eastAsia="Times New Roman" w:cs="Times New Roman"/>
                <w:b/>
                <w:bCs/>
                <w:color w:val="000000"/>
                <w:sz w:val="18"/>
                <w:szCs w:val="18"/>
              </w:rPr>
            </w:pPr>
          </w:p>
          <w:p w14:paraId="62B51DE2" w14:textId="1B167604" w:rsidR="00735721" w:rsidRPr="00A43397" w:rsidRDefault="003B70CF" w:rsidP="00C0568E">
            <w:pPr>
              <w:spacing w:line="240" w:lineRule="auto"/>
              <w:jc w:val="right"/>
              <w:rPr>
                <w:rFonts w:eastAsia="Times New Roman" w:cs="Times New Roman"/>
                <w:b/>
                <w:bCs/>
                <w:color w:val="000000"/>
                <w:sz w:val="18"/>
                <w:szCs w:val="18"/>
              </w:rPr>
            </w:pPr>
            <w:r w:rsidRPr="00A43397">
              <w:rPr>
                <w:rFonts w:eastAsia="Times New Roman" w:cs="Times New Roman"/>
                <w:b/>
                <w:bCs/>
                <w:color w:val="000000"/>
                <w:sz w:val="18"/>
                <w:szCs w:val="18"/>
              </w:rPr>
              <w:t xml:space="preserve">Town of </w:t>
            </w:r>
            <w:r w:rsidR="00853231" w:rsidRPr="00A43397">
              <w:rPr>
                <w:rFonts w:eastAsia="Times New Roman" w:cs="Times New Roman"/>
                <w:b/>
                <w:bCs/>
                <w:color w:val="000000"/>
                <w:sz w:val="18"/>
                <w:szCs w:val="18"/>
              </w:rPr>
              <w:t>Hillsborough</w:t>
            </w:r>
          </w:p>
          <w:p w14:paraId="2BE575A4" w14:textId="559F7E17" w:rsidR="00C0568E" w:rsidRPr="00A43397" w:rsidRDefault="00C0568E" w:rsidP="00C0568E">
            <w:pPr>
              <w:spacing w:line="240" w:lineRule="auto"/>
              <w:jc w:val="right"/>
              <w:rPr>
                <w:rFonts w:eastAsia="Times New Roman" w:cs="Times New Roman"/>
                <w:b/>
                <w:bCs/>
                <w:color w:val="000000"/>
                <w:sz w:val="10"/>
                <w:szCs w:val="18"/>
              </w:rPr>
            </w:pPr>
          </w:p>
        </w:tc>
        <w:tc>
          <w:tcPr>
            <w:tcW w:w="1350" w:type="dxa"/>
            <w:tcBorders>
              <w:top w:val="nil"/>
              <w:left w:val="nil"/>
              <w:bottom w:val="nil"/>
              <w:right w:val="nil"/>
            </w:tcBorders>
            <w:shd w:val="clear" w:color="auto" w:fill="auto"/>
            <w:noWrap/>
            <w:vAlign w:val="bottom"/>
            <w:hideMark/>
          </w:tcPr>
          <w:p w14:paraId="13A48636" w14:textId="77777777" w:rsidR="00735721" w:rsidRPr="00A43397" w:rsidRDefault="00C0568E" w:rsidP="00C0568E">
            <w:pPr>
              <w:spacing w:line="240" w:lineRule="auto"/>
              <w:jc w:val="right"/>
              <w:rPr>
                <w:rFonts w:eastAsia="Times New Roman" w:cs="Times New Roman"/>
                <w:b/>
                <w:bCs/>
                <w:color w:val="000000"/>
                <w:sz w:val="18"/>
                <w:szCs w:val="18"/>
              </w:rPr>
            </w:pPr>
            <w:r w:rsidRPr="00A43397">
              <w:rPr>
                <w:rFonts w:eastAsia="Times New Roman" w:cs="Times New Roman"/>
                <w:b/>
                <w:bCs/>
                <w:color w:val="000000"/>
                <w:sz w:val="18"/>
                <w:szCs w:val="18"/>
              </w:rPr>
              <w:t xml:space="preserve">San Mateo </w:t>
            </w:r>
            <w:r w:rsidR="00735721" w:rsidRPr="00A43397">
              <w:rPr>
                <w:rFonts w:eastAsia="Times New Roman" w:cs="Times New Roman"/>
                <w:b/>
                <w:bCs/>
                <w:color w:val="000000"/>
                <w:sz w:val="18"/>
                <w:szCs w:val="18"/>
              </w:rPr>
              <w:t>County</w:t>
            </w:r>
          </w:p>
          <w:p w14:paraId="1CDECF79" w14:textId="44A54713" w:rsidR="00C0568E" w:rsidRPr="00A43397" w:rsidRDefault="00C0568E" w:rsidP="00C0568E">
            <w:pPr>
              <w:spacing w:line="240" w:lineRule="auto"/>
              <w:jc w:val="right"/>
              <w:rPr>
                <w:rFonts w:eastAsia="Times New Roman" w:cs="Times New Roman"/>
                <w:b/>
                <w:bCs/>
                <w:color w:val="000000"/>
                <w:sz w:val="10"/>
                <w:szCs w:val="18"/>
              </w:rPr>
            </w:pPr>
          </w:p>
        </w:tc>
        <w:tc>
          <w:tcPr>
            <w:tcW w:w="1235" w:type="dxa"/>
            <w:gridSpan w:val="2"/>
            <w:tcBorders>
              <w:top w:val="nil"/>
              <w:left w:val="nil"/>
              <w:bottom w:val="nil"/>
              <w:right w:val="nil"/>
            </w:tcBorders>
            <w:shd w:val="clear" w:color="auto" w:fill="auto"/>
            <w:noWrap/>
            <w:vAlign w:val="bottom"/>
            <w:hideMark/>
          </w:tcPr>
          <w:p w14:paraId="29BD8515" w14:textId="77777777" w:rsidR="00735721" w:rsidRDefault="00735721" w:rsidP="00C0568E">
            <w:pPr>
              <w:spacing w:line="240" w:lineRule="auto"/>
              <w:jc w:val="right"/>
              <w:rPr>
                <w:rFonts w:eastAsia="Times New Roman" w:cs="Times New Roman"/>
                <w:b/>
                <w:bCs/>
                <w:color w:val="000000"/>
                <w:sz w:val="18"/>
                <w:szCs w:val="18"/>
              </w:rPr>
            </w:pPr>
            <w:r w:rsidRPr="00735721">
              <w:rPr>
                <w:rFonts w:eastAsia="Times New Roman" w:cs="Times New Roman"/>
                <w:b/>
                <w:bCs/>
                <w:color w:val="000000"/>
                <w:sz w:val="18"/>
                <w:szCs w:val="18"/>
              </w:rPr>
              <w:t>State</w:t>
            </w:r>
            <w:r w:rsidR="00C0568E">
              <w:rPr>
                <w:rFonts w:eastAsia="Times New Roman" w:cs="Times New Roman"/>
                <w:b/>
                <w:bCs/>
                <w:color w:val="000000"/>
                <w:sz w:val="18"/>
                <w:szCs w:val="18"/>
              </w:rPr>
              <w:t xml:space="preserve"> of California</w:t>
            </w:r>
          </w:p>
          <w:p w14:paraId="2ACA25F5" w14:textId="77777777" w:rsidR="00C0568E" w:rsidRPr="00C0568E" w:rsidRDefault="00C0568E" w:rsidP="00C0568E">
            <w:pPr>
              <w:spacing w:line="240" w:lineRule="auto"/>
              <w:ind w:left="10"/>
              <w:jc w:val="right"/>
              <w:rPr>
                <w:rFonts w:eastAsia="Times New Roman" w:cs="Times New Roman"/>
                <w:b/>
                <w:bCs/>
                <w:color w:val="000000"/>
                <w:sz w:val="10"/>
                <w:szCs w:val="18"/>
              </w:rPr>
            </w:pPr>
          </w:p>
        </w:tc>
      </w:tr>
      <w:tr w:rsidR="00DD200D" w:rsidRPr="00735721" w14:paraId="39BD4337" w14:textId="77777777" w:rsidTr="00DD200D">
        <w:trPr>
          <w:gridAfter w:val="1"/>
          <w:wAfter w:w="37" w:type="dxa"/>
          <w:trHeight w:val="300"/>
        </w:trPr>
        <w:tc>
          <w:tcPr>
            <w:tcW w:w="627" w:type="dxa"/>
            <w:tcBorders>
              <w:top w:val="nil"/>
              <w:left w:val="nil"/>
              <w:bottom w:val="nil"/>
              <w:right w:val="nil"/>
            </w:tcBorders>
            <w:shd w:val="clear" w:color="auto" w:fill="auto"/>
            <w:noWrap/>
            <w:vAlign w:val="bottom"/>
            <w:hideMark/>
          </w:tcPr>
          <w:p w14:paraId="44DF17F3" w14:textId="66A74AB2" w:rsidR="00DD200D" w:rsidRPr="008D1973" w:rsidRDefault="00DD200D" w:rsidP="00067077">
            <w:pPr>
              <w:rPr>
                <w:rFonts w:eastAsia="Times New Roman" w:cs="Times New Roman"/>
                <w:b/>
                <w:color w:val="000000"/>
                <w:sz w:val="18"/>
                <w:szCs w:val="18"/>
              </w:rPr>
            </w:pPr>
            <w:r w:rsidRPr="008D1973">
              <w:rPr>
                <w:rFonts w:eastAsia="Times New Roman" w:cs="Times New Roman"/>
                <w:b/>
                <w:color w:val="000000"/>
                <w:sz w:val="18"/>
                <w:szCs w:val="18"/>
              </w:rPr>
              <w:t>2000</w:t>
            </w:r>
          </w:p>
        </w:tc>
        <w:tc>
          <w:tcPr>
            <w:tcW w:w="4146" w:type="dxa"/>
            <w:tcBorders>
              <w:top w:val="nil"/>
              <w:left w:val="nil"/>
              <w:bottom w:val="single" w:sz="4" w:space="0" w:color="808080"/>
              <w:right w:val="nil"/>
            </w:tcBorders>
            <w:shd w:val="clear" w:color="auto" w:fill="auto"/>
            <w:noWrap/>
            <w:vAlign w:val="bottom"/>
            <w:hideMark/>
          </w:tcPr>
          <w:p w14:paraId="3DA68DA9" w14:textId="77777777" w:rsidR="00DD200D" w:rsidRPr="00735721" w:rsidRDefault="00DD200D" w:rsidP="00067077">
            <w:pPr>
              <w:rPr>
                <w:rFonts w:eastAsia="Times New Roman" w:cs="Times New Roman"/>
                <w:color w:val="000000"/>
                <w:sz w:val="18"/>
                <w:szCs w:val="18"/>
              </w:rPr>
            </w:pPr>
            <w:r w:rsidRPr="00735721">
              <w:rPr>
                <w:rFonts w:eastAsia="Times New Roman" w:cs="Times New Roman"/>
                <w:color w:val="000000"/>
                <w:sz w:val="18"/>
                <w:szCs w:val="18"/>
              </w:rPr>
              <w:t>Average Household Size</w:t>
            </w:r>
          </w:p>
        </w:tc>
        <w:tc>
          <w:tcPr>
            <w:tcW w:w="1362" w:type="dxa"/>
            <w:tcBorders>
              <w:top w:val="single" w:sz="8" w:space="0" w:color="auto"/>
              <w:left w:val="nil"/>
              <w:bottom w:val="single" w:sz="4" w:space="0" w:color="808080"/>
              <w:right w:val="nil"/>
            </w:tcBorders>
            <w:shd w:val="clear" w:color="auto" w:fill="auto"/>
            <w:noWrap/>
            <w:vAlign w:val="bottom"/>
            <w:hideMark/>
          </w:tcPr>
          <w:p w14:paraId="399551B4" w14:textId="426BB27B" w:rsidR="00DD200D" w:rsidRPr="00A5720A" w:rsidRDefault="00DD200D" w:rsidP="00067077">
            <w:pPr>
              <w:jc w:val="right"/>
              <w:rPr>
                <w:rFonts w:eastAsia="Times New Roman" w:cs="Times New Roman"/>
                <w:color w:val="000000"/>
                <w:sz w:val="18"/>
                <w:szCs w:val="18"/>
                <w:highlight w:val="yellow"/>
              </w:rPr>
            </w:pPr>
            <w:r w:rsidRPr="005907EA">
              <w:rPr>
                <w:rFonts w:eastAsia="Times New Roman" w:cs="Times New Roman"/>
                <w:color w:val="000000"/>
                <w:sz w:val="18"/>
                <w:szCs w:val="18"/>
              </w:rPr>
              <w:t>2.9</w:t>
            </w:r>
          </w:p>
        </w:tc>
        <w:tc>
          <w:tcPr>
            <w:tcW w:w="1350" w:type="dxa"/>
            <w:tcBorders>
              <w:top w:val="single" w:sz="8" w:space="0" w:color="auto"/>
              <w:left w:val="nil"/>
              <w:bottom w:val="single" w:sz="4" w:space="0" w:color="808080"/>
              <w:right w:val="nil"/>
            </w:tcBorders>
            <w:shd w:val="clear" w:color="auto" w:fill="auto"/>
            <w:noWrap/>
            <w:vAlign w:val="bottom"/>
            <w:hideMark/>
          </w:tcPr>
          <w:p w14:paraId="306C40E8"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2.7</w:t>
            </w:r>
          </w:p>
        </w:tc>
        <w:tc>
          <w:tcPr>
            <w:tcW w:w="1235" w:type="dxa"/>
            <w:gridSpan w:val="2"/>
            <w:tcBorders>
              <w:top w:val="single" w:sz="8" w:space="0" w:color="auto"/>
              <w:left w:val="nil"/>
              <w:bottom w:val="single" w:sz="4" w:space="0" w:color="808080"/>
              <w:right w:val="nil"/>
            </w:tcBorders>
            <w:shd w:val="clear" w:color="auto" w:fill="auto"/>
            <w:noWrap/>
            <w:vAlign w:val="bottom"/>
            <w:hideMark/>
          </w:tcPr>
          <w:p w14:paraId="4402C7F1"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2.9</w:t>
            </w:r>
          </w:p>
        </w:tc>
      </w:tr>
      <w:tr w:rsidR="00DD200D" w:rsidRPr="00735721" w14:paraId="0D1805B7" w14:textId="77777777" w:rsidTr="00DD200D">
        <w:trPr>
          <w:gridAfter w:val="1"/>
          <w:wAfter w:w="37" w:type="dxa"/>
          <w:trHeight w:val="300"/>
        </w:trPr>
        <w:tc>
          <w:tcPr>
            <w:tcW w:w="627" w:type="dxa"/>
            <w:tcBorders>
              <w:top w:val="nil"/>
              <w:left w:val="nil"/>
              <w:bottom w:val="nil"/>
              <w:right w:val="nil"/>
            </w:tcBorders>
            <w:shd w:val="clear" w:color="auto" w:fill="auto"/>
            <w:noWrap/>
            <w:vAlign w:val="bottom"/>
            <w:hideMark/>
          </w:tcPr>
          <w:p w14:paraId="2CC86694" w14:textId="77777777" w:rsidR="00DD200D" w:rsidRPr="008D1973" w:rsidRDefault="00DD200D" w:rsidP="00067077">
            <w:pPr>
              <w:rPr>
                <w:rFonts w:eastAsia="Times New Roman" w:cs="Times New Roman"/>
                <w:b/>
                <w:color w:val="000000"/>
                <w:sz w:val="18"/>
                <w:szCs w:val="18"/>
              </w:rPr>
            </w:pPr>
            <w:r w:rsidRPr="008D1973">
              <w:rPr>
                <w:rFonts w:eastAsia="Times New Roman" w:cs="Times New Roman"/>
                <w:b/>
                <w:color w:val="000000"/>
                <w:sz w:val="18"/>
                <w:szCs w:val="18"/>
              </w:rPr>
              <w:t>2011</w:t>
            </w:r>
          </w:p>
        </w:tc>
        <w:tc>
          <w:tcPr>
            <w:tcW w:w="4146" w:type="dxa"/>
            <w:tcBorders>
              <w:top w:val="nil"/>
              <w:left w:val="nil"/>
              <w:bottom w:val="single" w:sz="4" w:space="0" w:color="808080"/>
              <w:right w:val="nil"/>
            </w:tcBorders>
            <w:shd w:val="clear" w:color="auto" w:fill="auto"/>
            <w:noWrap/>
            <w:vAlign w:val="bottom"/>
            <w:hideMark/>
          </w:tcPr>
          <w:p w14:paraId="1F140E30" w14:textId="77777777" w:rsidR="00DD200D" w:rsidRPr="00735721" w:rsidRDefault="00DD200D" w:rsidP="00067077">
            <w:pPr>
              <w:rPr>
                <w:rFonts w:eastAsia="Times New Roman" w:cs="Times New Roman"/>
                <w:color w:val="000000"/>
                <w:sz w:val="18"/>
                <w:szCs w:val="18"/>
              </w:rPr>
            </w:pPr>
            <w:r w:rsidRPr="00735721">
              <w:rPr>
                <w:rFonts w:eastAsia="Times New Roman" w:cs="Times New Roman"/>
                <w:color w:val="000000"/>
                <w:sz w:val="18"/>
                <w:szCs w:val="18"/>
              </w:rPr>
              <w:t>Average Household Size</w:t>
            </w:r>
          </w:p>
        </w:tc>
        <w:tc>
          <w:tcPr>
            <w:tcW w:w="1362" w:type="dxa"/>
            <w:tcBorders>
              <w:top w:val="nil"/>
              <w:left w:val="nil"/>
              <w:bottom w:val="single" w:sz="4" w:space="0" w:color="808080"/>
              <w:right w:val="nil"/>
            </w:tcBorders>
            <w:shd w:val="clear" w:color="auto" w:fill="auto"/>
            <w:noWrap/>
            <w:vAlign w:val="bottom"/>
            <w:hideMark/>
          </w:tcPr>
          <w:p w14:paraId="5F7119C8" w14:textId="0FC54043" w:rsidR="00DD200D" w:rsidRPr="00A5720A" w:rsidRDefault="00DD200D" w:rsidP="00067077">
            <w:pPr>
              <w:jc w:val="right"/>
              <w:rPr>
                <w:rFonts w:eastAsia="Times New Roman" w:cs="Times New Roman"/>
                <w:color w:val="000000"/>
                <w:sz w:val="18"/>
                <w:szCs w:val="18"/>
                <w:highlight w:val="yellow"/>
              </w:rPr>
            </w:pPr>
            <w:r>
              <w:rPr>
                <w:rFonts w:eastAsia="Times New Roman" w:cs="Times New Roman"/>
                <w:color w:val="000000"/>
                <w:sz w:val="18"/>
                <w:szCs w:val="18"/>
              </w:rPr>
              <w:t>3.1</w:t>
            </w:r>
          </w:p>
        </w:tc>
        <w:tc>
          <w:tcPr>
            <w:tcW w:w="1350" w:type="dxa"/>
            <w:tcBorders>
              <w:top w:val="nil"/>
              <w:left w:val="nil"/>
              <w:bottom w:val="single" w:sz="4" w:space="0" w:color="808080"/>
              <w:right w:val="nil"/>
            </w:tcBorders>
            <w:shd w:val="clear" w:color="auto" w:fill="auto"/>
            <w:noWrap/>
            <w:vAlign w:val="bottom"/>
            <w:hideMark/>
          </w:tcPr>
          <w:p w14:paraId="10F6FF67"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2.7</w:t>
            </w:r>
          </w:p>
        </w:tc>
        <w:tc>
          <w:tcPr>
            <w:tcW w:w="1235" w:type="dxa"/>
            <w:gridSpan w:val="2"/>
            <w:tcBorders>
              <w:top w:val="nil"/>
              <w:left w:val="nil"/>
              <w:bottom w:val="single" w:sz="4" w:space="0" w:color="808080"/>
              <w:right w:val="nil"/>
            </w:tcBorders>
            <w:shd w:val="clear" w:color="auto" w:fill="auto"/>
            <w:noWrap/>
            <w:vAlign w:val="bottom"/>
            <w:hideMark/>
          </w:tcPr>
          <w:p w14:paraId="6EB0BB8D"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2.9</w:t>
            </w:r>
          </w:p>
        </w:tc>
      </w:tr>
      <w:tr w:rsidR="00DD200D" w:rsidRPr="00735721" w14:paraId="2B277D36" w14:textId="77777777" w:rsidTr="00DD200D">
        <w:trPr>
          <w:gridAfter w:val="1"/>
          <w:wAfter w:w="37" w:type="dxa"/>
          <w:trHeight w:val="300"/>
        </w:trPr>
        <w:tc>
          <w:tcPr>
            <w:tcW w:w="627" w:type="dxa"/>
            <w:tcBorders>
              <w:top w:val="nil"/>
              <w:left w:val="nil"/>
              <w:bottom w:val="nil"/>
              <w:right w:val="nil"/>
            </w:tcBorders>
            <w:shd w:val="clear" w:color="auto" w:fill="auto"/>
            <w:noWrap/>
            <w:vAlign w:val="bottom"/>
            <w:hideMark/>
          </w:tcPr>
          <w:p w14:paraId="6D9FE9C3" w14:textId="5544BBC4" w:rsidR="00DD200D" w:rsidRPr="00735721" w:rsidRDefault="00DD200D" w:rsidP="00067077">
            <w:pPr>
              <w:rPr>
                <w:rFonts w:eastAsia="Times New Roman" w:cs="Times New Roman"/>
                <w:color w:val="000000"/>
                <w:sz w:val="18"/>
                <w:szCs w:val="18"/>
              </w:rPr>
            </w:pPr>
          </w:p>
        </w:tc>
        <w:tc>
          <w:tcPr>
            <w:tcW w:w="4146" w:type="dxa"/>
            <w:tcBorders>
              <w:top w:val="nil"/>
              <w:left w:val="nil"/>
              <w:bottom w:val="single" w:sz="4" w:space="0" w:color="808080"/>
              <w:right w:val="nil"/>
            </w:tcBorders>
            <w:shd w:val="clear" w:color="auto" w:fill="auto"/>
            <w:noWrap/>
            <w:vAlign w:val="bottom"/>
            <w:hideMark/>
          </w:tcPr>
          <w:p w14:paraId="2AD7C518" w14:textId="77777777" w:rsidR="00DD200D" w:rsidRPr="00735721" w:rsidRDefault="00DD200D" w:rsidP="00067077">
            <w:pPr>
              <w:rPr>
                <w:rFonts w:eastAsia="Times New Roman" w:cs="Times New Roman"/>
                <w:color w:val="000000"/>
                <w:sz w:val="18"/>
                <w:szCs w:val="18"/>
              </w:rPr>
            </w:pPr>
            <w:r w:rsidRPr="00735721">
              <w:rPr>
                <w:rFonts w:eastAsia="Times New Roman" w:cs="Times New Roman"/>
                <w:color w:val="000000"/>
                <w:sz w:val="18"/>
                <w:szCs w:val="18"/>
              </w:rPr>
              <w:t>Owners Average Household Size</w:t>
            </w:r>
          </w:p>
        </w:tc>
        <w:tc>
          <w:tcPr>
            <w:tcW w:w="1362" w:type="dxa"/>
            <w:tcBorders>
              <w:top w:val="nil"/>
              <w:left w:val="nil"/>
              <w:bottom w:val="single" w:sz="4" w:space="0" w:color="808080"/>
              <w:right w:val="nil"/>
            </w:tcBorders>
            <w:shd w:val="clear" w:color="auto" w:fill="auto"/>
            <w:noWrap/>
            <w:vAlign w:val="bottom"/>
            <w:hideMark/>
          </w:tcPr>
          <w:p w14:paraId="32B0E8E2" w14:textId="15C41F48" w:rsidR="00DD200D" w:rsidRPr="00A5720A" w:rsidRDefault="00DD200D" w:rsidP="00067077">
            <w:pPr>
              <w:jc w:val="right"/>
              <w:rPr>
                <w:rFonts w:eastAsia="Times New Roman" w:cs="Times New Roman"/>
                <w:color w:val="000000"/>
                <w:sz w:val="18"/>
                <w:szCs w:val="18"/>
                <w:highlight w:val="yellow"/>
              </w:rPr>
            </w:pPr>
            <w:r w:rsidRPr="005907EA">
              <w:rPr>
                <w:rFonts w:eastAsia="Times New Roman" w:cs="Times New Roman"/>
                <w:color w:val="000000"/>
                <w:sz w:val="18"/>
                <w:szCs w:val="18"/>
              </w:rPr>
              <w:t>3.1</w:t>
            </w:r>
          </w:p>
        </w:tc>
        <w:tc>
          <w:tcPr>
            <w:tcW w:w="1350" w:type="dxa"/>
            <w:tcBorders>
              <w:top w:val="nil"/>
              <w:left w:val="nil"/>
              <w:bottom w:val="single" w:sz="4" w:space="0" w:color="808080"/>
              <w:right w:val="nil"/>
            </w:tcBorders>
            <w:shd w:val="clear" w:color="auto" w:fill="auto"/>
            <w:noWrap/>
            <w:vAlign w:val="bottom"/>
            <w:hideMark/>
          </w:tcPr>
          <w:p w14:paraId="47E304A9"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2.8</w:t>
            </w:r>
          </w:p>
        </w:tc>
        <w:tc>
          <w:tcPr>
            <w:tcW w:w="1235" w:type="dxa"/>
            <w:gridSpan w:val="2"/>
            <w:tcBorders>
              <w:top w:val="nil"/>
              <w:left w:val="nil"/>
              <w:bottom w:val="single" w:sz="4" w:space="0" w:color="808080"/>
              <w:right w:val="nil"/>
            </w:tcBorders>
            <w:shd w:val="clear" w:color="auto" w:fill="auto"/>
            <w:noWrap/>
            <w:vAlign w:val="bottom"/>
            <w:hideMark/>
          </w:tcPr>
          <w:p w14:paraId="6B36AA13"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3.0</w:t>
            </w:r>
          </w:p>
        </w:tc>
      </w:tr>
      <w:tr w:rsidR="00DD200D" w:rsidRPr="00735721" w14:paraId="5466A054" w14:textId="77777777" w:rsidTr="00DD200D">
        <w:trPr>
          <w:gridAfter w:val="1"/>
          <w:wAfter w:w="37" w:type="dxa"/>
          <w:trHeight w:val="300"/>
        </w:trPr>
        <w:tc>
          <w:tcPr>
            <w:tcW w:w="627" w:type="dxa"/>
            <w:tcBorders>
              <w:top w:val="nil"/>
              <w:left w:val="nil"/>
              <w:bottom w:val="nil"/>
              <w:right w:val="nil"/>
            </w:tcBorders>
            <w:shd w:val="clear" w:color="auto" w:fill="auto"/>
            <w:noWrap/>
            <w:vAlign w:val="bottom"/>
            <w:hideMark/>
          </w:tcPr>
          <w:p w14:paraId="24FB4015" w14:textId="77777777" w:rsidR="00DD200D" w:rsidRPr="00735721" w:rsidRDefault="00DD200D" w:rsidP="00067077">
            <w:pPr>
              <w:rPr>
                <w:rFonts w:eastAsia="Times New Roman" w:cs="Times New Roman"/>
                <w:color w:val="000000"/>
                <w:sz w:val="18"/>
                <w:szCs w:val="18"/>
              </w:rPr>
            </w:pPr>
          </w:p>
        </w:tc>
        <w:tc>
          <w:tcPr>
            <w:tcW w:w="4146" w:type="dxa"/>
            <w:tcBorders>
              <w:top w:val="nil"/>
              <w:left w:val="nil"/>
              <w:bottom w:val="single" w:sz="4" w:space="0" w:color="808080"/>
              <w:right w:val="nil"/>
            </w:tcBorders>
            <w:shd w:val="clear" w:color="auto" w:fill="auto"/>
            <w:noWrap/>
            <w:vAlign w:val="bottom"/>
            <w:hideMark/>
          </w:tcPr>
          <w:p w14:paraId="55D639B3" w14:textId="77777777" w:rsidR="00DD200D" w:rsidRPr="00735721" w:rsidRDefault="00DD200D" w:rsidP="00067077">
            <w:pPr>
              <w:rPr>
                <w:rFonts w:eastAsia="Times New Roman" w:cs="Times New Roman"/>
                <w:color w:val="000000"/>
                <w:sz w:val="18"/>
                <w:szCs w:val="18"/>
              </w:rPr>
            </w:pPr>
            <w:r w:rsidRPr="00735721">
              <w:rPr>
                <w:rFonts w:eastAsia="Times New Roman" w:cs="Times New Roman"/>
                <w:color w:val="000000"/>
                <w:sz w:val="18"/>
                <w:szCs w:val="18"/>
              </w:rPr>
              <w:t>Renters Average Household Size</w:t>
            </w:r>
          </w:p>
        </w:tc>
        <w:tc>
          <w:tcPr>
            <w:tcW w:w="1362" w:type="dxa"/>
            <w:tcBorders>
              <w:top w:val="nil"/>
              <w:left w:val="nil"/>
              <w:bottom w:val="single" w:sz="4" w:space="0" w:color="808080"/>
              <w:right w:val="nil"/>
            </w:tcBorders>
            <w:shd w:val="clear" w:color="auto" w:fill="auto"/>
            <w:noWrap/>
            <w:vAlign w:val="bottom"/>
            <w:hideMark/>
          </w:tcPr>
          <w:p w14:paraId="16705A3A" w14:textId="71AABD90" w:rsidR="00DD200D" w:rsidRPr="00A5720A" w:rsidRDefault="00DD200D" w:rsidP="00067077">
            <w:pPr>
              <w:jc w:val="right"/>
              <w:rPr>
                <w:rFonts w:eastAsia="Times New Roman" w:cs="Times New Roman"/>
                <w:color w:val="000000"/>
                <w:sz w:val="18"/>
                <w:szCs w:val="18"/>
                <w:highlight w:val="yellow"/>
              </w:rPr>
            </w:pPr>
            <w:r w:rsidRPr="005907EA">
              <w:rPr>
                <w:rFonts w:eastAsia="Times New Roman" w:cs="Times New Roman"/>
                <w:color w:val="000000"/>
                <w:sz w:val="18"/>
                <w:szCs w:val="18"/>
              </w:rPr>
              <w:t>3.3</w:t>
            </w:r>
          </w:p>
        </w:tc>
        <w:tc>
          <w:tcPr>
            <w:tcW w:w="1350" w:type="dxa"/>
            <w:tcBorders>
              <w:top w:val="nil"/>
              <w:left w:val="nil"/>
              <w:bottom w:val="single" w:sz="4" w:space="0" w:color="808080"/>
              <w:right w:val="nil"/>
            </w:tcBorders>
            <w:shd w:val="clear" w:color="auto" w:fill="auto"/>
            <w:noWrap/>
            <w:vAlign w:val="bottom"/>
            <w:hideMark/>
          </w:tcPr>
          <w:p w14:paraId="6F422082"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2.7</w:t>
            </w:r>
          </w:p>
        </w:tc>
        <w:tc>
          <w:tcPr>
            <w:tcW w:w="1235" w:type="dxa"/>
            <w:gridSpan w:val="2"/>
            <w:tcBorders>
              <w:top w:val="nil"/>
              <w:left w:val="nil"/>
              <w:bottom w:val="single" w:sz="4" w:space="0" w:color="808080"/>
              <w:right w:val="nil"/>
            </w:tcBorders>
            <w:shd w:val="clear" w:color="auto" w:fill="auto"/>
            <w:noWrap/>
            <w:vAlign w:val="bottom"/>
            <w:hideMark/>
          </w:tcPr>
          <w:p w14:paraId="56E61954" w14:textId="77777777" w:rsidR="00DD200D" w:rsidRPr="00735721" w:rsidRDefault="00DD200D" w:rsidP="00067077">
            <w:pPr>
              <w:jc w:val="right"/>
              <w:rPr>
                <w:rFonts w:eastAsia="Times New Roman" w:cs="Times New Roman"/>
                <w:color w:val="000000"/>
                <w:sz w:val="18"/>
                <w:szCs w:val="18"/>
              </w:rPr>
            </w:pPr>
            <w:r w:rsidRPr="00735721">
              <w:rPr>
                <w:rFonts w:eastAsia="Times New Roman" w:cs="Times New Roman"/>
                <w:color w:val="000000"/>
                <w:sz w:val="18"/>
                <w:szCs w:val="18"/>
              </w:rPr>
              <w:t>2.9</w:t>
            </w:r>
          </w:p>
        </w:tc>
      </w:tr>
      <w:tr w:rsidR="00C0568E" w:rsidRPr="00C0568E" w14:paraId="23B158F7" w14:textId="77777777" w:rsidTr="00DD200D">
        <w:trPr>
          <w:gridAfter w:val="2"/>
          <w:wAfter w:w="360" w:type="dxa"/>
          <w:trHeight w:val="300"/>
        </w:trPr>
        <w:tc>
          <w:tcPr>
            <w:tcW w:w="8397" w:type="dxa"/>
            <w:gridSpan w:val="5"/>
            <w:tcBorders>
              <w:top w:val="single" w:sz="4" w:space="0" w:color="auto"/>
              <w:left w:val="nil"/>
              <w:bottom w:val="nil"/>
              <w:right w:val="nil"/>
            </w:tcBorders>
            <w:shd w:val="clear" w:color="auto" w:fill="auto"/>
            <w:noWrap/>
            <w:vAlign w:val="bottom"/>
            <w:hideMark/>
          </w:tcPr>
          <w:p w14:paraId="3AE98739" w14:textId="77777777" w:rsidR="00C0568E" w:rsidRPr="00C0568E" w:rsidRDefault="00C0568E" w:rsidP="00C0568E">
            <w:pPr>
              <w:spacing w:line="240" w:lineRule="auto"/>
              <w:rPr>
                <w:rFonts w:eastAsia="Times New Roman" w:cs="Times New Roman"/>
                <w:iCs/>
                <w:color w:val="000000"/>
                <w:sz w:val="10"/>
                <w:szCs w:val="18"/>
              </w:rPr>
            </w:pPr>
          </w:p>
          <w:p w14:paraId="3E374455" w14:textId="77777777" w:rsidR="00DD200D" w:rsidRPr="00DD200D" w:rsidRDefault="00DD200D" w:rsidP="00C0568E">
            <w:pPr>
              <w:spacing w:line="240" w:lineRule="auto"/>
              <w:rPr>
                <w:rFonts w:eastAsia="Times New Roman" w:cs="Times New Roman"/>
                <w:iCs/>
                <w:color w:val="000000"/>
                <w:sz w:val="2"/>
                <w:szCs w:val="18"/>
              </w:rPr>
            </w:pPr>
          </w:p>
          <w:p w14:paraId="0021972D" w14:textId="5E6E4AD2" w:rsidR="00735721" w:rsidRPr="00C0568E" w:rsidRDefault="00735721" w:rsidP="00C0568E">
            <w:pPr>
              <w:spacing w:line="240" w:lineRule="auto"/>
              <w:rPr>
                <w:rFonts w:eastAsia="Times New Roman" w:cs="Times New Roman"/>
                <w:iCs/>
                <w:color w:val="000000"/>
                <w:sz w:val="18"/>
                <w:szCs w:val="18"/>
              </w:rPr>
            </w:pPr>
            <w:r w:rsidRPr="00C0568E">
              <w:rPr>
                <w:rFonts w:eastAsia="Times New Roman" w:cs="Times New Roman"/>
                <w:iCs/>
                <w:color w:val="000000"/>
                <w:sz w:val="18"/>
                <w:szCs w:val="18"/>
              </w:rPr>
              <w:t xml:space="preserve">Source: 2010 US Census SF1, </w:t>
            </w:r>
            <w:r w:rsidR="0020362E">
              <w:rPr>
                <w:rFonts w:eastAsia="Times New Roman" w:cs="Times New Roman"/>
                <w:iCs/>
                <w:color w:val="000000"/>
                <w:sz w:val="18"/>
                <w:szCs w:val="18"/>
              </w:rPr>
              <w:t>2007-2011</w:t>
            </w:r>
            <w:r w:rsidRPr="00C0568E">
              <w:rPr>
                <w:rFonts w:eastAsia="Times New Roman" w:cs="Times New Roman"/>
                <w:iCs/>
                <w:color w:val="000000"/>
                <w:sz w:val="18"/>
                <w:szCs w:val="18"/>
              </w:rPr>
              <w:t xml:space="preserve"> American Community Survey</w:t>
            </w:r>
          </w:p>
        </w:tc>
      </w:tr>
    </w:tbl>
    <w:p w14:paraId="5DFA367D" w14:textId="77777777" w:rsidR="00C046D7" w:rsidRDefault="00C046D7" w:rsidP="00067077"/>
    <w:p w14:paraId="56FA7AB5" w14:textId="77777777" w:rsidR="0020362E" w:rsidRDefault="009F66DF" w:rsidP="00845EE3">
      <w:r w:rsidRPr="00256487">
        <w:t xml:space="preserve">Most of the households in </w:t>
      </w:r>
      <w:r w:rsidR="00853231" w:rsidRPr="00256487">
        <w:t>Hillsborough</w:t>
      </w:r>
      <w:r w:rsidR="00C046D7" w:rsidRPr="00256487">
        <w:t xml:space="preserve"> are family households (86</w:t>
      </w:r>
      <w:r w:rsidRPr="00256487">
        <w:t xml:space="preserve"> percent) — </w:t>
      </w:r>
      <w:r w:rsidR="00C046D7" w:rsidRPr="00256487">
        <w:t>42</w:t>
      </w:r>
      <w:r w:rsidRPr="00256487">
        <w:t xml:space="preserve"> percent with children and 4</w:t>
      </w:r>
      <w:r w:rsidR="00C046D7" w:rsidRPr="00256487">
        <w:t>8</w:t>
      </w:r>
      <w:r w:rsidRPr="00256487">
        <w:t xml:space="preserve"> percent without children</w:t>
      </w:r>
      <w:r w:rsidR="00C046D7" w:rsidRPr="00256487">
        <w:t xml:space="preserve">. Only eight percent of the households are occupied by a single person living alone, a much lower number than in the county as a whole. </w:t>
      </w:r>
    </w:p>
    <w:p w14:paraId="28BBE575" w14:textId="77777777" w:rsidR="0020362E" w:rsidRDefault="0020362E" w:rsidP="00845EE3"/>
    <w:p w14:paraId="6EED42A1" w14:textId="624268D0" w:rsidR="00845EE3" w:rsidRPr="00256487" w:rsidRDefault="00845EE3" w:rsidP="00845EE3">
      <w:r w:rsidRPr="00256487">
        <w:t>According to a United State Census Bureau report, nationwide over the last 60 years the number of single person households has increased dramatically — from 10% of all households in the United States in 1950, to 17 percent in 1970, and by 2012, the proportion of single-person households increased to 27.4 percent of all households. The share of households that were married couples with children has halved since 1970, from 40 percent to 20 percent in 2012, according to the report. Households by type in 2011 are shown in the table below.</w:t>
      </w:r>
    </w:p>
    <w:p w14:paraId="7D78F1D0" w14:textId="48C2A97F" w:rsidR="009F66DF" w:rsidRPr="00256487" w:rsidRDefault="009F66DF" w:rsidP="009F66DF">
      <w:pPr>
        <w:pStyle w:val="21ElementsText"/>
      </w:pPr>
    </w:p>
    <w:p w14:paraId="456527E7" w14:textId="54B8A54E" w:rsidR="009F66DF" w:rsidRPr="00256487" w:rsidRDefault="00845EE3" w:rsidP="00845EE3">
      <w:pPr>
        <w:spacing w:line="240" w:lineRule="auto"/>
      </w:pPr>
      <w:r w:rsidRPr="00256487">
        <w:br w:type="page"/>
      </w:r>
    </w:p>
    <w:tbl>
      <w:tblPr>
        <w:tblW w:w="6861" w:type="dxa"/>
        <w:tblInd w:w="93" w:type="dxa"/>
        <w:tblLayout w:type="fixed"/>
        <w:tblLook w:val="04A0" w:firstRow="1" w:lastRow="0" w:firstColumn="1" w:lastColumn="0" w:noHBand="0" w:noVBand="1"/>
      </w:tblPr>
      <w:tblGrid>
        <w:gridCol w:w="2723"/>
        <w:gridCol w:w="1342"/>
        <w:gridCol w:w="1446"/>
        <w:gridCol w:w="1350"/>
      </w:tblGrid>
      <w:tr w:rsidR="005A5E32" w:rsidRPr="00256487" w14:paraId="41F25ED7" w14:textId="77777777" w:rsidTr="00DD200D">
        <w:trPr>
          <w:trHeight w:val="300"/>
        </w:trPr>
        <w:tc>
          <w:tcPr>
            <w:tcW w:w="6861" w:type="dxa"/>
            <w:gridSpan w:val="4"/>
            <w:tcBorders>
              <w:top w:val="nil"/>
              <w:left w:val="nil"/>
              <w:bottom w:val="nil"/>
              <w:right w:val="nil"/>
            </w:tcBorders>
            <w:shd w:val="clear" w:color="000000" w:fill="000000"/>
            <w:noWrap/>
            <w:vAlign w:val="bottom"/>
            <w:hideMark/>
          </w:tcPr>
          <w:p w14:paraId="20644687" w14:textId="7677B3BF" w:rsidR="005A5E32" w:rsidRPr="00256487" w:rsidRDefault="005A5E32" w:rsidP="00AE7A6A">
            <w:pPr>
              <w:rPr>
                <w:rFonts w:eastAsia="Times New Roman" w:cs="Times New Roman"/>
                <w:b/>
                <w:bCs/>
                <w:color w:val="FFFFFF"/>
                <w:sz w:val="20"/>
                <w:szCs w:val="20"/>
              </w:rPr>
            </w:pPr>
            <w:r w:rsidRPr="00256487">
              <w:rPr>
                <w:rFonts w:eastAsia="Times New Roman" w:cs="Times New Roman"/>
                <w:b/>
                <w:bCs/>
                <w:color w:val="FFFFFF"/>
                <w:sz w:val="20"/>
                <w:szCs w:val="20"/>
              </w:rPr>
              <w:t>Household</w:t>
            </w:r>
            <w:r w:rsidR="00170E75" w:rsidRPr="00256487">
              <w:rPr>
                <w:rFonts w:eastAsia="Times New Roman" w:cs="Times New Roman"/>
                <w:b/>
                <w:bCs/>
                <w:color w:val="FFFFFF"/>
                <w:sz w:val="20"/>
                <w:szCs w:val="20"/>
              </w:rPr>
              <w:t>s by</w:t>
            </w:r>
            <w:r w:rsidRPr="00256487">
              <w:rPr>
                <w:rFonts w:eastAsia="Times New Roman" w:cs="Times New Roman"/>
                <w:b/>
                <w:bCs/>
                <w:color w:val="FFFFFF"/>
                <w:sz w:val="20"/>
                <w:szCs w:val="20"/>
              </w:rPr>
              <w:t xml:space="preserve"> Type</w:t>
            </w:r>
            <w:r w:rsidR="00170E75" w:rsidRPr="00256487">
              <w:rPr>
                <w:rFonts w:eastAsia="Times New Roman" w:cs="Times New Roman"/>
                <w:b/>
                <w:bCs/>
                <w:color w:val="FFFFFF"/>
                <w:sz w:val="20"/>
                <w:szCs w:val="20"/>
              </w:rPr>
              <w:t xml:space="preserve"> (2011)</w:t>
            </w:r>
          </w:p>
        </w:tc>
      </w:tr>
      <w:tr w:rsidR="005A5E32" w:rsidRPr="00256487" w14:paraId="5275623B" w14:textId="77777777" w:rsidTr="00DD200D">
        <w:trPr>
          <w:trHeight w:val="320"/>
        </w:trPr>
        <w:tc>
          <w:tcPr>
            <w:tcW w:w="2723" w:type="dxa"/>
            <w:tcBorders>
              <w:top w:val="nil"/>
              <w:left w:val="nil"/>
              <w:bottom w:val="single" w:sz="8" w:space="0" w:color="auto"/>
              <w:right w:val="nil"/>
            </w:tcBorders>
            <w:shd w:val="clear" w:color="auto" w:fill="auto"/>
            <w:noWrap/>
            <w:vAlign w:val="bottom"/>
            <w:hideMark/>
          </w:tcPr>
          <w:p w14:paraId="0A2D47FC" w14:textId="77777777" w:rsidR="005A5E32" w:rsidRPr="00256487" w:rsidRDefault="005A5E32" w:rsidP="00C0568E">
            <w:pPr>
              <w:spacing w:line="240" w:lineRule="auto"/>
              <w:rPr>
                <w:rFonts w:eastAsia="Times New Roman" w:cs="Times New Roman"/>
                <w:color w:val="000000"/>
                <w:sz w:val="18"/>
                <w:szCs w:val="18"/>
              </w:rPr>
            </w:pPr>
            <w:r w:rsidRPr="00256487">
              <w:rPr>
                <w:rFonts w:eastAsia="Times New Roman" w:cs="Times New Roman"/>
                <w:color w:val="000000"/>
                <w:sz w:val="18"/>
                <w:szCs w:val="18"/>
              </w:rPr>
              <w:t> </w:t>
            </w:r>
          </w:p>
        </w:tc>
        <w:tc>
          <w:tcPr>
            <w:tcW w:w="1342" w:type="dxa"/>
            <w:tcBorders>
              <w:top w:val="nil"/>
              <w:left w:val="nil"/>
              <w:bottom w:val="single" w:sz="8" w:space="0" w:color="auto"/>
              <w:right w:val="nil"/>
            </w:tcBorders>
            <w:shd w:val="clear" w:color="auto" w:fill="auto"/>
            <w:noWrap/>
            <w:vAlign w:val="bottom"/>
            <w:hideMark/>
          </w:tcPr>
          <w:p w14:paraId="2A35EC5D" w14:textId="77777777" w:rsidR="00C0568E" w:rsidRPr="00256487" w:rsidRDefault="00C0568E" w:rsidP="00C0568E">
            <w:pPr>
              <w:spacing w:line="240" w:lineRule="auto"/>
              <w:jc w:val="right"/>
              <w:rPr>
                <w:rFonts w:eastAsia="Times New Roman" w:cs="Times New Roman"/>
                <w:b/>
                <w:bCs/>
                <w:color w:val="000000"/>
                <w:sz w:val="18"/>
                <w:szCs w:val="18"/>
              </w:rPr>
            </w:pPr>
          </w:p>
          <w:p w14:paraId="39951580" w14:textId="1C323438" w:rsidR="005A5E32" w:rsidRPr="00256487" w:rsidRDefault="003B70CF" w:rsidP="00C0568E">
            <w:pPr>
              <w:spacing w:line="240" w:lineRule="auto"/>
              <w:jc w:val="right"/>
              <w:rPr>
                <w:rFonts w:eastAsia="Times New Roman" w:cs="Times New Roman"/>
                <w:b/>
                <w:bCs/>
                <w:color w:val="000000"/>
                <w:sz w:val="18"/>
                <w:szCs w:val="18"/>
              </w:rPr>
            </w:pPr>
            <w:r w:rsidRPr="00256487">
              <w:rPr>
                <w:rFonts w:eastAsia="Times New Roman" w:cs="Times New Roman"/>
                <w:b/>
                <w:bCs/>
                <w:color w:val="000000"/>
                <w:sz w:val="18"/>
                <w:szCs w:val="18"/>
              </w:rPr>
              <w:t xml:space="preserve">Town of </w:t>
            </w:r>
            <w:r w:rsidR="00853231" w:rsidRPr="00256487">
              <w:rPr>
                <w:rFonts w:eastAsia="Times New Roman" w:cs="Times New Roman"/>
                <w:b/>
                <w:bCs/>
                <w:color w:val="000000"/>
                <w:sz w:val="18"/>
                <w:szCs w:val="18"/>
              </w:rPr>
              <w:t>Hillsborough</w:t>
            </w:r>
          </w:p>
          <w:p w14:paraId="062F34EA" w14:textId="0CA5AF14" w:rsidR="00C0568E" w:rsidRPr="00256487" w:rsidRDefault="00C0568E" w:rsidP="00C0568E">
            <w:pPr>
              <w:spacing w:line="240" w:lineRule="auto"/>
              <w:jc w:val="right"/>
              <w:rPr>
                <w:rFonts w:eastAsia="Times New Roman" w:cs="Times New Roman"/>
                <w:b/>
                <w:bCs/>
                <w:color w:val="000000"/>
                <w:sz w:val="10"/>
                <w:szCs w:val="18"/>
              </w:rPr>
            </w:pPr>
          </w:p>
        </w:tc>
        <w:tc>
          <w:tcPr>
            <w:tcW w:w="1446" w:type="dxa"/>
            <w:tcBorders>
              <w:top w:val="nil"/>
              <w:left w:val="nil"/>
              <w:bottom w:val="single" w:sz="8" w:space="0" w:color="auto"/>
              <w:right w:val="nil"/>
            </w:tcBorders>
            <w:shd w:val="clear" w:color="auto" w:fill="auto"/>
            <w:noWrap/>
            <w:vAlign w:val="bottom"/>
            <w:hideMark/>
          </w:tcPr>
          <w:p w14:paraId="2E818341" w14:textId="77777777" w:rsidR="005A5E32" w:rsidRPr="00256487" w:rsidRDefault="00C0568E" w:rsidP="00C0568E">
            <w:pPr>
              <w:spacing w:line="240" w:lineRule="auto"/>
              <w:jc w:val="right"/>
              <w:rPr>
                <w:rFonts w:eastAsia="Times New Roman" w:cs="Times New Roman"/>
                <w:b/>
                <w:bCs/>
                <w:color w:val="000000"/>
                <w:sz w:val="18"/>
                <w:szCs w:val="18"/>
              </w:rPr>
            </w:pPr>
            <w:r w:rsidRPr="00256487">
              <w:rPr>
                <w:rFonts w:eastAsia="Times New Roman" w:cs="Times New Roman"/>
                <w:b/>
                <w:bCs/>
                <w:color w:val="000000"/>
                <w:sz w:val="18"/>
                <w:szCs w:val="18"/>
              </w:rPr>
              <w:t xml:space="preserve">San Mateo </w:t>
            </w:r>
            <w:r w:rsidR="005A5E32" w:rsidRPr="00256487">
              <w:rPr>
                <w:rFonts w:eastAsia="Times New Roman" w:cs="Times New Roman"/>
                <w:b/>
                <w:bCs/>
                <w:color w:val="000000"/>
                <w:sz w:val="18"/>
                <w:szCs w:val="18"/>
              </w:rPr>
              <w:t>County</w:t>
            </w:r>
          </w:p>
          <w:p w14:paraId="5C0DA87B" w14:textId="4B3A4478" w:rsidR="00C0568E" w:rsidRPr="00256487" w:rsidRDefault="00C0568E" w:rsidP="00C0568E">
            <w:pPr>
              <w:spacing w:line="240" w:lineRule="auto"/>
              <w:jc w:val="right"/>
              <w:rPr>
                <w:rFonts w:eastAsia="Times New Roman" w:cs="Times New Roman"/>
                <w:b/>
                <w:bCs/>
                <w:color w:val="000000"/>
                <w:sz w:val="10"/>
                <w:szCs w:val="18"/>
              </w:rPr>
            </w:pPr>
          </w:p>
        </w:tc>
        <w:tc>
          <w:tcPr>
            <w:tcW w:w="1350" w:type="dxa"/>
            <w:tcBorders>
              <w:top w:val="nil"/>
              <w:left w:val="nil"/>
              <w:bottom w:val="single" w:sz="8" w:space="0" w:color="auto"/>
              <w:right w:val="nil"/>
            </w:tcBorders>
            <w:shd w:val="clear" w:color="auto" w:fill="auto"/>
            <w:noWrap/>
            <w:vAlign w:val="bottom"/>
            <w:hideMark/>
          </w:tcPr>
          <w:p w14:paraId="2766B4E1" w14:textId="77777777" w:rsidR="005A5E32" w:rsidRPr="00256487" w:rsidRDefault="005A5E32" w:rsidP="00C0568E">
            <w:pPr>
              <w:spacing w:line="240" w:lineRule="auto"/>
              <w:jc w:val="right"/>
              <w:rPr>
                <w:rFonts w:eastAsia="Times New Roman" w:cs="Times New Roman"/>
                <w:b/>
                <w:bCs/>
                <w:color w:val="000000"/>
                <w:sz w:val="18"/>
                <w:szCs w:val="18"/>
              </w:rPr>
            </w:pPr>
            <w:r w:rsidRPr="00256487">
              <w:rPr>
                <w:rFonts w:eastAsia="Times New Roman" w:cs="Times New Roman"/>
                <w:b/>
                <w:bCs/>
                <w:color w:val="000000"/>
                <w:sz w:val="18"/>
                <w:szCs w:val="18"/>
              </w:rPr>
              <w:t>State</w:t>
            </w:r>
            <w:r w:rsidR="00C0568E" w:rsidRPr="00256487">
              <w:rPr>
                <w:rFonts w:eastAsia="Times New Roman" w:cs="Times New Roman"/>
                <w:b/>
                <w:bCs/>
                <w:color w:val="000000"/>
                <w:sz w:val="18"/>
                <w:szCs w:val="18"/>
              </w:rPr>
              <w:t xml:space="preserve"> of California</w:t>
            </w:r>
          </w:p>
          <w:p w14:paraId="13056EB9" w14:textId="15617DE6" w:rsidR="00C0568E" w:rsidRPr="00256487" w:rsidRDefault="00C0568E" w:rsidP="00C0568E">
            <w:pPr>
              <w:spacing w:line="240" w:lineRule="auto"/>
              <w:jc w:val="right"/>
              <w:rPr>
                <w:rFonts w:eastAsia="Times New Roman" w:cs="Times New Roman"/>
                <w:b/>
                <w:bCs/>
                <w:color w:val="000000"/>
                <w:sz w:val="10"/>
                <w:szCs w:val="18"/>
              </w:rPr>
            </w:pPr>
          </w:p>
        </w:tc>
      </w:tr>
      <w:tr w:rsidR="00DD200D" w:rsidRPr="00256487" w14:paraId="2653AD78" w14:textId="77777777" w:rsidTr="00DD200D">
        <w:trPr>
          <w:trHeight w:val="300"/>
        </w:trPr>
        <w:tc>
          <w:tcPr>
            <w:tcW w:w="2723" w:type="dxa"/>
            <w:tcBorders>
              <w:top w:val="nil"/>
              <w:left w:val="nil"/>
              <w:bottom w:val="single" w:sz="4" w:space="0" w:color="808080"/>
              <w:right w:val="nil"/>
            </w:tcBorders>
            <w:shd w:val="clear" w:color="auto" w:fill="auto"/>
            <w:noWrap/>
            <w:vAlign w:val="bottom"/>
            <w:hideMark/>
          </w:tcPr>
          <w:p w14:paraId="7C466605" w14:textId="77777777" w:rsidR="00DD200D" w:rsidRPr="00256487" w:rsidRDefault="00DD200D" w:rsidP="00067077">
            <w:pPr>
              <w:rPr>
                <w:rFonts w:eastAsia="Times New Roman" w:cs="Times New Roman"/>
                <w:color w:val="000000"/>
                <w:sz w:val="18"/>
                <w:szCs w:val="18"/>
              </w:rPr>
            </w:pPr>
            <w:r w:rsidRPr="00256487">
              <w:rPr>
                <w:rFonts w:eastAsia="Times New Roman" w:cs="Times New Roman"/>
                <w:color w:val="000000"/>
                <w:sz w:val="18"/>
                <w:szCs w:val="18"/>
              </w:rPr>
              <w:t>Single person</w:t>
            </w:r>
          </w:p>
        </w:tc>
        <w:tc>
          <w:tcPr>
            <w:tcW w:w="1342" w:type="dxa"/>
            <w:tcBorders>
              <w:top w:val="nil"/>
              <w:left w:val="nil"/>
              <w:bottom w:val="single" w:sz="4" w:space="0" w:color="808080"/>
              <w:right w:val="nil"/>
            </w:tcBorders>
            <w:shd w:val="clear" w:color="auto" w:fill="auto"/>
            <w:noWrap/>
            <w:vAlign w:val="bottom"/>
            <w:hideMark/>
          </w:tcPr>
          <w:p w14:paraId="33C4BFEF" w14:textId="52FB9F3C"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8%</w:t>
            </w:r>
          </w:p>
        </w:tc>
        <w:tc>
          <w:tcPr>
            <w:tcW w:w="1446" w:type="dxa"/>
            <w:tcBorders>
              <w:top w:val="nil"/>
              <w:left w:val="nil"/>
              <w:bottom w:val="single" w:sz="4" w:space="0" w:color="808080"/>
              <w:right w:val="nil"/>
            </w:tcBorders>
            <w:shd w:val="clear" w:color="auto" w:fill="auto"/>
            <w:noWrap/>
            <w:vAlign w:val="bottom"/>
            <w:hideMark/>
          </w:tcPr>
          <w:p w14:paraId="1E03FFE1"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25%</w:t>
            </w:r>
          </w:p>
        </w:tc>
        <w:tc>
          <w:tcPr>
            <w:tcW w:w="1350" w:type="dxa"/>
            <w:tcBorders>
              <w:top w:val="nil"/>
              <w:left w:val="nil"/>
              <w:bottom w:val="single" w:sz="4" w:space="0" w:color="808080"/>
              <w:right w:val="nil"/>
            </w:tcBorders>
            <w:shd w:val="clear" w:color="auto" w:fill="auto"/>
            <w:noWrap/>
            <w:vAlign w:val="bottom"/>
            <w:hideMark/>
          </w:tcPr>
          <w:p w14:paraId="1A7C1C3A"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24%</w:t>
            </w:r>
          </w:p>
        </w:tc>
      </w:tr>
      <w:tr w:rsidR="00DD200D" w:rsidRPr="00256487" w14:paraId="1A81C244" w14:textId="77777777" w:rsidTr="00DD200D">
        <w:trPr>
          <w:trHeight w:val="300"/>
        </w:trPr>
        <w:tc>
          <w:tcPr>
            <w:tcW w:w="2723" w:type="dxa"/>
            <w:tcBorders>
              <w:top w:val="nil"/>
              <w:left w:val="nil"/>
              <w:bottom w:val="single" w:sz="4" w:space="0" w:color="808080"/>
              <w:right w:val="nil"/>
            </w:tcBorders>
            <w:shd w:val="clear" w:color="auto" w:fill="auto"/>
            <w:noWrap/>
            <w:vAlign w:val="bottom"/>
            <w:hideMark/>
          </w:tcPr>
          <w:p w14:paraId="7332AA9C" w14:textId="77777777" w:rsidR="00DD200D" w:rsidRPr="00256487" w:rsidRDefault="00DD200D" w:rsidP="00067077">
            <w:pPr>
              <w:rPr>
                <w:rFonts w:eastAsia="Times New Roman" w:cs="Times New Roman"/>
                <w:color w:val="000000"/>
                <w:sz w:val="18"/>
                <w:szCs w:val="18"/>
              </w:rPr>
            </w:pPr>
            <w:r w:rsidRPr="00256487">
              <w:rPr>
                <w:rFonts w:eastAsia="Times New Roman" w:cs="Times New Roman"/>
                <w:color w:val="000000"/>
                <w:sz w:val="18"/>
                <w:szCs w:val="18"/>
              </w:rPr>
              <w:t>Family no kids</w:t>
            </w:r>
          </w:p>
        </w:tc>
        <w:tc>
          <w:tcPr>
            <w:tcW w:w="1342" w:type="dxa"/>
            <w:tcBorders>
              <w:top w:val="nil"/>
              <w:left w:val="nil"/>
              <w:bottom w:val="single" w:sz="4" w:space="0" w:color="808080"/>
              <w:right w:val="nil"/>
            </w:tcBorders>
            <w:shd w:val="clear" w:color="auto" w:fill="auto"/>
            <w:noWrap/>
            <w:vAlign w:val="bottom"/>
            <w:hideMark/>
          </w:tcPr>
          <w:p w14:paraId="79C81097" w14:textId="3C9DD4A3"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48%</w:t>
            </w:r>
          </w:p>
        </w:tc>
        <w:tc>
          <w:tcPr>
            <w:tcW w:w="1446" w:type="dxa"/>
            <w:tcBorders>
              <w:top w:val="nil"/>
              <w:left w:val="nil"/>
              <w:bottom w:val="single" w:sz="4" w:space="0" w:color="808080"/>
              <w:right w:val="nil"/>
            </w:tcBorders>
            <w:shd w:val="clear" w:color="auto" w:fill="auto"/>
            <w:noWrap/>
            <w:vAlign w:val="bottom"/>
            <w:hideMark/>
          </w:tcPr>
          <w:p w14:paraId="0B315CAE"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37%</w:t>
            </w:r>
          </w:p>
        </w:tc>
        <w:tc>
          <w:tcPr>
            <w:tcW w:w="1350" w:type="dxa"/>
            <w:tcBorders>
              <w:top w:val="nil"/>
              <w:left w:val="nil"/>
              <w:bottom w:val="single" w:sz="4" w:space="0" w:color="808080"/>
              <w:right w:val="nil"/>
            </w:tcBorders>
            <w:shd w:val="clear" w:color="auto" w:fill="auto"/>
            <w:noWrap/>
            <w:vAlign w:val="bottom"/>
            <w:hideMark/>
          </w:tcPr>
          <w:p w14:paraId="7FBD415E"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35%</w:t>
            </w:r>
          </w:p>
        </w:tc>
      </w:tr>
      <w:tr w:rsidR="00DD200D" w:rsidRPr="00256487" w14:paraId="199D9C3B" w14:textId="77777777" w:rsidTr="00DD200D">
        <w:trPr>
          <w:trHeight w:val="300"/>
        </w:trPr>
        <w:tc>
          <w:tcPr>
            <w:tcW w:w="2723" w:type="dxa"/>
            <w:tcBorders>
              <w:top w:val="nil"/>
              <w:left w:val="nil"/>
              <w:bottom w:val="single" w:sz="4" w:space="0" w:color="808080"/>
              <w:right w:val="nil"/>
            </w:tcBorders>
            <w:shd w:val="clear" w:color="auto" w:fill="auto"/>
            <w:noWrap/>
            <w:vAlign w:val="bottom"/>
            <w:hideMark/>
          </w:tcPr>
          <w:p w14:paraId="7F065BC7" w14:textId="77777777" w:rsidR="00DD200D" w:rsidRPr="00256487" w:rsidRDefault="00DD200D" w:rsidP="00067077">
            <w:pPr>
              <w:rPr>
                <w:rFonts w:eastAsia="Times New Roman" w:cs="Times New Roman"/>
                <w:color w:val="000000"/>
                <w:sz w:val="18"/>
                <w:szCs w:val="18"/>
              </w:rPr>
            </w:pPr>
            <w:r w:rsidRPr="00256487">
              <w:rPr>
                <w:rFonts w:eastAsia="Times New Roman" w:cs="Times New Roman"/>
                <w:color w:val="000000"/>
                <w:sz w:val="18"/>
                <w:szCs w:val="18"/>
              </w:rPr>
              <w:t>Family with kids</w:t>
            </w:r>
          </w:p>
        </w:tc>
        <w:tc>
          <w:tcPr>
            <w:tcW w:w="1342" w:type="dxa"/>
            <w:tcBorders>
              <w:top w:val="nil"/>
              <w:left w:val="nil"/>
              <w:bottom w:val="single" w:sz="4" w:space="0" w:color="808080"/>
              <w:right w:val="nil"/>
            </w:tcBorders>
            <w:shd w:val="clear" w:color="auto" w:fill="auto"/>
            <w:noWrap/>
            <w:vAlign w:val="bottom"/>
            <w:hideMark/>
          </w:tcPr>
          <w:p w14:paraId="31FBE086" w14:textId="4A2B82E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42%</w:t>
            </w:r>
          </w:p>
        </w:tc>
        <w:tc>
          <w:tcPr>
            <w:tcW w:w="1446" w:type="dxa"/>
            <w:tcBorders>
              <w:top w:val="nil"/>
              <w:left w:val="nil"/>
              <w:bottom w:val="single" w:sz="4" w:space="0" w:color="808080"/>
              <w:right w:val="nil"/>
            </w:tcBorders>
            <w:shd w:val="clear" w:color="auto" w:fill="auto"/>
            <w:noWrap/>
            <w:vAlign w:val="bottom"/>
            <w:hideMark/>
          </w:tcPr>
          <w:p w14:paraId="26E138A4"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31%</w:t>
            </w:r>
          </w:p>
        </w:tc>
        <w:tc>
          <w:tcPr>
            <w:tcW w:w="1350" w:type="dxa"/>
            <w:tcBorders>
              <w:top w:val="nil"/>
              <w:left w:val="nil"/>
              <w:bottom w:val="single" w:sz="4" w:space="0" w:color="808080"/>
              <w:right w:val="nil"/>
            </w:tcBorders>
            <w:shd w:val="clear" w:color="auto" w:fill="auto"/>
            <w:noWrap/>
            <w:vAlign w:val="bottom"/>
            <w:hideMark/>
          </w:tcPr>
          <w:p w14:paraId="2946BBC1"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33%</w:t>
            </w:r>
          </w:p>
        </w:tc>
      </w:tr>
      <w:tr w:rsidR="00DD200D" w:rsidRPr="00256487" w14:paraId="0345773D" w14:textId="77777777" w:rsidTr="00DD200D">
        <w:trPr>
          <w:trHeight w:val="300"/>
        </w:trPr>
        <w:tc>
          <w:tcPr>
            <w:tcW w:w="2723" w:type="dxa"/>
            <w:tcBorders>
              <w:top w:val="nil"/>
              <w:left w:val="nil"/>
              <w:bottom w:val="single" w:sz="4" w:space="0" w:color="auto"/>
              <w:right w:val="nil"/>
            </w:tcBorders>
            <w:shd w:val="clear" w:color="auto" w:fill="auto"/>
            <w:noWrap/>
            <w:vAlign w:val="bottom"/>
            <w:hideMark/>
          </w:tcPr>
          <w:p w14:paraId="4E7F30FD" w14:textId="77777777" w:rsidR="00DD200D" w:rsidRPr="00256487" w:rsidRDefault="00DD200D" w:rsidP="00067077">
            <w:pPr>
              <w:rPr>
                <w:rFonts w:eastAsia="Times New Roman" w:cs="Times New Roman"/>
                <w:color w:val="000000"/>
                <w:sz w:val="18"/>
                <w:szCs w:val="18"/>
              </w:rPr>
            </w:pPr>
            <w:r w:rsidRPr="00256487">
              <w:rPr>
                <w:rFonts w:eastAsia="Times New Roman" w:cs="Times New Roman"/>
                <w:color w:val="000000"/>
                <w:sz w:val="18"/>
                <w:szCs w:val="18"/>
              </w:rPr>
              <w:t>Multi-person, nonfamily</w:t>
            </w:r>
          </w:p>
        </w:tc>
        <w:tc>
          <w:tcPr>
            <w:tcW w:w="1342" w:type="dxa"/>
            <w:tcBorders>
              <w:top w:val="nil"/>
              <w:left w:val="nil"/>
              <w:bottom w:val="single" w:sz="4" w:space="0" w:color="auto"/>
              <w:right w:val="nil"/>
            </w:tcBorders>
            <w:shd w:val="clear" w:color="auto" w:fill="auto"/>
            <w:noWrap/>
            <w:vAlign w:val="bottom"/>
            <w:hideMark/>
          </w:tcPr>
          <w:p w14:paraId="0087448A" w14:textId="61E73D9E"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2%</w:t>
            </w:r>
          </w:p>
        </w:tc>
        <w:tc>
          <w:tcPr>
            <w:tcW w:w="1446" w:type="dxa"/>
            <w:tcBorders>
              <w:top w:val="nil"/>
              <w:left w:val="nil"/>
              <w:bottom w:val="single" w:sz="4" w:space="0" w:color="auto"/>
              <w:right w:val="nil"/>
            </w:tcBorders>
            <w:shd w:val="clear" w:color="auto" w:fill="auto"/>
            <w:noWrap/>
            <w:vAlign w:val="bottom"/>
            <w:hideMark/>
          </w:tcPr>
          <w:p w14:paraId="605D0174"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7%</w:t>
            </w:r>
          </w:p>
        </w:tc>
        <w:tc>
          <w:tcPr>
            <w:tcW w:w="1350" w:type="dxa"/>
            <w:tcBorders>
              <w:top w:val="nil"/>
              <w:left w:val="nil"/>
              <w:bottom w:val="single" w:sz="4" w:space="0" w:color="auto"/>
              <w:right w:val="nil"/>
            </w:tcBorders>
            <w:shd w:val="clear" w:color="auto" w:fill="auto"/>
            <w:noWrap/>
            <w:vAlign w:val="bottom"/>
            <w:hideMark/>
          </w:tcPr>
          <w:p w14:paraId="6B0D9622"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7%</w:t>
            </w:r>
          </w:p>
        </w:tc>
      </w:tr>
      <w:tr w:rsidR="00DD200D" w:rsidRPr="00256487" w14:paraId="6FF53360" w14:textId="77777777" w:rsidTr="00DD200D">
        <w:trPr>
          <w:trHeight w:val="300"/>
        </w:trPr>
        <w:tc>
          <w:tcPr>
            <w:tcW w:w="2723" w:type="dxa"/>
            <w:tcBorders>
              <w:top w:val="nil"/>
              <w:left w:val="nil"/>
              <w:bottom w:val="single" w:sz="4" w:space="0" w:color="auto"/>
              <w:right w:val="nil"/>
            </w:tcBorders>
            <w:shd w:val="clear" w:color="auto" w:fill="auto"/>
            <w:noWrap/>
            <w:vAlign w:val="bottom"/>
            <w:hideMark/>
          </w:tcPr>
          <w:p w14:paraId="1AFC0D65" w14:textId="77777777" w:rsidR="00DD200D" w:rsidRPr="00256487" w:rsidRDefault="00DD200D" w:rsidP="00067077">
            <w:pPr>
              <w:rPr>
                <w:rFonts w:eastAsia="Times New Roman" w:cs="Times New Roman"/>
                <w:color w:val="000000"/>
                <w:sz w:val="18"/>
                <w:szCs w:val="18"/>
              </w:rPr>
            </w:pPr>
            <w:r w:rsidRPr="00256487">
              <w:rPr>
                <w:rFonts w:eastAsia="Times New Roman" w:cs="Times New Roman"/>
                <w:color w:val="000000"/>
                <w:sz w:val="18"/>
                <w:szCs w:val="18"/>
              </w:rPr>
              <w:t>Total households</w:t>
            </w:r>
          </w:p>
        </w:tc>
        <w:tc>
          <w:tcPr>
            <w:tcW w:w="1342" w:type="dxa"/>
            <w:tcBorders>
              <w:top w:val="nil"/>
              <w:left w:val="nil"/>
              <w:bottom w:val="single" w:sz="4" w:space="0" w:color="auto"/>
              <w:right w:val="nil"/>
            </w:tcBorders>
            <w:shd w:val="clear" w:color="auto" w:fill="auto"/>
            <w:noWrap/>
            <w:vAlign w:val="bottom"/>
            <w:hideMark/>
          </w:tcPr>
          <w:p w14:paraId="529A91F1" w14:textId="0166AA04"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3,512</w:t>
            </w:r>
          </w:p>
        </w:tc>
        <w:tc>
          <w:tcPr>
            <w:tcW w:w="1446" w:type="dxa"/>
            <w:tcBorders>
              <w:top w:val="nil"/>
              <w:left w:val="nil"/>
              <w:bottom w:val="single" w:sz="4" w:space="0" w:color="auto"/>
              <w:right w:val="nil"/>
            </w:tcBorders>
            <w:shd w:val="clear" w:color="auto" w:fill="auto"/>
            <w:noWrap/>
            <w:vAlign w:val="bottom"/>
            <w:hideMark/>
          </w:tcPr>
          <w:p w14:paraId="0EDDA884"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256,305</w:t>
            </w:r>
          </w:p>
        </w:tc>
        <w:tc>
          <w:tcPr>
            <w:tcW w:w="1350" w:type="dxa"/>
            <w:tcBorders>
              <w:top w:val="nil"/>
              <w:left w:val="nil"/>
              <w:bottom w:val="single" w:sz="4" w:space="0" w:color="auto"/>
              <w:right w:val="nil"/>
            </w:tcBorders>
            <w:shd w:val="clear" w:color="auto" w:fill="auto"/>
            <w:noWrap/>
            <w:vAlign w:val="bottom"/>
            <w:hideMark/>
          </w:tcPr>
          <w:p w14:paraId="68967AE3" w14:textId="77777777" w:rsidR="00DD200D" w:rsidRPr="00256487" w:rsidRDefault="00DD200D" w:rsidP="00067077">
            <w:pPr>
              <w:jc w:val="right"/>
              <w:rPr>
                <w:rFonts w:eastAsia="Times New Roman" w:cs="Times New Roman"/>
                <w:color w:val="000000"/>
                <w:sz w:val="18"/>
                <w:szCs w:val="18"/>
              </w:rPr>
            </w:pPr>
            <w:r w:rsidRPr="00256487">
              <w:rPr>
                <w:rFonts w:eastAsia="Times New Roman" w:cs="Times New Roman"/>
                <w:color w:val="000000"/>
                <w:sz w:val="18"/>
                <w:szCs w:val="18"/>
              </w:rPr>
              <w:t>12,433,049</w:t>
            </w:r>
          </w:p>
        </w:tc>
      </w:tr>
      <w:tr w:rsidR="005A5E32" w:rsidRPr="00256487" w14:paraId="7B7A05B4" w14:textId="77777777" w:rsidTr="00DD200D">
        <w:trPr>
          <w:trHeight w:val="300"/>
        </w:trPr>
        <w:tc>
          <w:tcPr>
            <w:tcW w:w="6861" w:type="dxa"/>
            <w:gridSpan w:val="4"/>
            <w:tcBorders>
              <w:top w:val="single" w:sz="4" w:space="0" w:color="auto"/>
              <w:left w:val="nil"/>
              <w:bottom w:val="nil"/>
              <w:right w:val="nil"/>
            </w:tcBorders>
            <w:shd w:val="clear" w:color="auto" w:fill="auto"/>
            <w:noWrap/>
            <w:vAlign w:val="bottom"/>
            <w:hideMark/>
          </w:tcPr>
          <w:p w14:paraId="71B97058" w14:textId="77777777" w:rsidR="00C0568E" w:rsidRPr="00256487" w:rsidRDefault="00C0568E" w:rsidP="00170E75">
            <w:pPr>
              <w:spacing w:line="240" w:lineRule="auto"/>
              <w:rPr>
                <w:rFonts w:eastAsia="Times New Roman" w:cs="Times New Roman"/>
                <w:iCs/>
                <w:color w:val="000000"/>
                <w:sz w:val="10"/>
                <w:szCs w:val="18"/>
              </w:rPr>
            </w:pPr>
          </w:p>
          <w:p w14:paraId="2CC0CCB5" w14:textId="573B1485" w:rsidR="005A5E32" w:rsidRPr="00256487" w:rsidRDefault="005A5E32" w:rsidP="00170E75">
            <w:pPr>
              <w:spacing w:line="240" w:lineRule="auto"/>
              <w:ind w:right="-401"/>
              <w:rPr>
                <w:rFonts w:eastAsia="Times New Roman" w:cs="Times New Roman"/>
                <w:iCs/>
                <w:color w:val="000000"/>
                <w:sz w:val="18"/>
                <w:szCs w:val="18"/>
              </w:rPr>
            </w:pPr>
            <w:r w:rsidRPr="00256487">
              <w:rPr>
                <w:rFonts w:eastAsia="Times New Roman" w:cs="Times New Roman"/>
                <w:iCs/>
                <w:color w:val="000000"/>
                <w:sz w:val="18"/>
                <w:szCs w:val="18"/>
              </w:rPr>
              <w:t xml:space="preserve">Source: </w:t>
            </w:r>
            <w:r w:rsidR="0020362E">
              <w:rPr>
                <w:rFonts w:eastAsia="Times New Roman" w:cs="Times New Roman"/>
                <w:iCs/>
                <w:color w:val="000000"/>
                <w:sz w:val="18"/>
                <w:szCs w:val="18"/>
              </w:rPr>
              <w:t>2007-2011</w:t>
            </w:r>
            <w:r w:rsidRPr="00256487">
              <w:rPr>
                <w:rFonts w:eastAsia="Times New Roman" w:cs="Times New Roman"/>
                <w:iCs/>
                <w:color w:val="000000"/>
                <w:sz w:val="18"/>
                <w:szCs w:val="18"/>
              </w:rPr>
              <w:t xml:space="preserve"> American Community Survey</w:t>
            </w:r>
          </w:p>
        </w:tc>
      </w:tr>
    </w:tbl>
    <w:p w14:paraId="7217C186" w14:textId="77777777" w:rsidR="00C0568E" w:rsidRPr="00256487" w:rsidRDefault="00C0568E" w:rsidP="00067077">
      <w:pPr>
        <w:pStyle w:val="21ElementsText"/>
      </w:pPr>
    </w:p>
    <w:p w14:paraId="0D517217" w14:textId="7F9E7C30" w:rsidR="00845EE3" w:rsidRDefault="00C046D7" w:rsidP="00845EE3">
      <w:pPr>
        <w:pStyle w:val="21ElementsText"/>
      </w:pPr>
      <w:r w:rsidRPr="00256487">
        <w:t>The median household income in Hillsborough in real dollars is approximately $237,000, more than twice the countywide average of $92,000.</w:t>
      </w:r>
      <w:r w:rsidR="00195DA8" w:rsidRPr="00256487">
        <w:t xml:space="preserve"> </w:t>
      </w:r>
      <w:r w:rsidR="00845EE3" w:rsidRPr="00256487">
        <w:t xml:space="preserve">The graph below shows the distribution of households by income in </w:t>
      </w:r>
      <w:r w:rsidR="00853231" w:rsidRPr="00256487">
        <w:t>Hillsborough</w:t>
      </w:r>
      <w:r w:rsidR="00845EE3" w:rsidRPr="00256487">
        <w:t xml:space="preserve"> in 2011. </w:t>
      </w:r>
      <w:r w:rsidRPr="00256487">
        <w:t>Despite the high median income, some of Hillsborough households are lower income. Four percent of the population is considered extremely low income, four percent are very low income, and eight percent are low income.</w:t>
      </w:r>
    </w:p>
    <w:p w14:paraId="705B2065" w14:textId="77777777" w:rsidR="00256487" w:rsidRPr="00256487" w:rsidRDefault="00256487" w:rsidP="00845EE3">
      <w:pPr>
        <w:pStyle w:val="21ElementsText"/>
        <w:rPr>
          <w:sz w:val="12"/>
        </w:rPr>
      </w:pPr>
    </w:p>
    <w:p w14:paraId="7B1A5F3C" w14:textId="7E6BD071" w:rsidR="00845EE3" w:rsidRDefault="00DD200D" w:rsidP="00DD200D">
      <w:pPr>
        <w:pStyle w:val="21ElementsText"/>
        <w:ind w:left="-450"/>
      </w:pPr>
      <w:r>
        <w:rPr>
          <w:noProof/>
        </w:rPr>
        <w:drawing>
          <wp:inline distT="0" distB="0" distL="0" distR="0" wp14:anchorId="09287092" wp14:editId="2AE56CBE">
            <wp:extent cx="6116933" cy="3670300"/>
            <wp:effectExtent l="0" t="0" r="508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0D4D84" w14:textId="77777777" w:rsidR="00845EE3" w:rsidRPr="00C433BE" w:rsidRDefault="00845EE3" w:rsidP="00845EE3">
      <w:pPr>
        <w:tabs>
          <w:tab w:val="right" w:pos="7740"/>
        </w:tabs>
        <w:spacing w:line="240" w:lineRule="auto"/>
        <w:ind w:left="810" w:right="1620"/>
        <w:rPr>
          <w:sz w:val="24"/>
        </w:rPr>
      </w:pPr>
      <w:r>
        <w:rPr>
          <w:rFonts w:eastAsia="Times New Roman" w:cs="Times New Roman"/>
          <w:iCs/>
          <w:color w:val="000000"/>
          <w:sz w:val="18"/>
          <w:szCs w:val="16"/>
        </w:rPr>
        <w:t>Source</w:t>
      </w:r>
      <w:r w:rsidRPr="00170E75">
        <w:rPr>
          <w:rFonts w:eastAsia="Times New Roman" w:cs="Times New Roman"/>
          <w:iCs/>
          <w:color w:val="000000"/>
          <w:sz w:val="18"/>
          <w:szCs w:val="16"/>
        </w:rPr>
        <w:t>: CHAS Data 2006-2010</w:t>
      </w:r>
    </w:p>
    <w:p w14:paraId="55417409" w14:textId="77777777" w:rsidR="00845EE3" w:rsidRDefault="00845EE3" w:rsidP="00067077"/>
    <w:p w14:paraId="5261989A" w14:textId="0528268A" w:rsidR="00A129A8" w:rsidRPr="00845EE3" w:rsidRDefault="00256487" w:rsidP="00256487">
      <w:pPr>
        <w:spacing w:line="240" w:lineRule="auto"/>
        <w:rPr>
          <w:sz w:val="24"/>
        </w:rPr>
      </w:pPr>
      <w:r>
        <w:rPr>
          <w:sz w:val="24"/>
        </w:rPr>
        <w:br w:type="page"/>
      </w:r>
    </w:p>
    <w:tbl>
      <w:tblPr>
        <w:tblpPr w:leftFromText="180" w:rightFromText="180" w:vertAnchor="text" w:tblpY="1"/>
        <w:tblOverlap w:val="never"/>
        <w:tblW w:w="7024" w:type="dxa"/>
        <w:tblInd w:w="93" w:type="dxa"/>
        <w:tblLayout w:type="fixed"/>
        <w:tblLook w:val="04A0" w:firstRow="1" w:lastRow="0" w:firstColumn="1" w:lastColumn="0" w:noHBand="0" w:noVBand="1"/>
      </w:tblPr>
      <w:tblGrid>
        <w:gridCol w:w="2705"/>
        <w:gridCol w:w="1450"/>
        <w:gridCol w:w="1440"/>
        <w:gridCol w:w="1069"/>
        <w:gridCol w:w="360"/>
      </w:tblGrid>
      <w:tr w:rsidR="00456E27" w:rsidRPr="00456E27" w14:paraId="3C61246C" w14:textId="77777777" w:rsidTr="00832690">
        <w:trPr>
          <w:trHeight w:val="300"/>
        </w:trPr>
        <w:tc>
          <w:tcPr>
            <w:tcW w:w="7024" w:type="dxa"/>
            <w:gridSpan w:val="5"/>
            <w:tcBorders>
              <w:top w:val="nil"/>
              <w:left w:val="nil"/>
              <w:bottom w:val="nil"/>
              <w:right w:val="nil"/>
            </w:tcBorders>
            <w:shd w:val="clear" w:color="000000" w:fill="000000"/>
            <w:noWrap/>
            <w:vAlign w:val="bottom"/>
            <w:hideMark/>
          </w:tcPr>
          <w:p w14:paraId="42651EF3" w14:textId="3E44C5A4" w:rsidR="00456E27" w:rsidRPr="00832690" w:rsidRDefault="00456E27" w:rsidP="00845EE3">
            <w:pPr>
              <w:rPr>
                <w:rFonts w:eastAsia="Times New Roman" w:cs="Times New Roman"/>
                <w:b/>
                <w:bCs/>
                <w:color w:val="FFFFFF"/>
                <w:sz w:val="20"/>
                <w:szCs w:val="20"/>
              </w:rPr>
            </w:pPr>
            <w:r w:rsidRPr="00832690">
              <w:rPr>
                <w:rFonts w:eastAsia="Times New Roman" w:cs="Times New Roman"/>
                <w:b/>
                <w:bCs/>
                <w:color w:val="FFFFFF"/>
                <w:sz w:val="20"/>
                <w:szCs w:val="20"/>
              </w:rPr>
              <w:t>Household Income</w:t>
            </w:r>
            <w:r w:rsidR="00832690">
              <w:rPr>
                <w:rFonts w:eastAsia="Times New Roman" w:cs="Times New Roman"/>
                <w:b/>
                <w:bCs/>
                <w:color w:val="FFFFFF"/>
                <w:sz w:val="20"/>
                <w:szCs w:val="20"/>
              </w:rPr>
              <w:t xml:space="preserve"> (2013)</w:t>
            </w:r>
          </w:p>
        </w:tc>
      </w:tr>
      <w:tr w:rsidR="00456E27" w:rsidRPr="00456E27" w14:paraId="4C8C87C7" w14:textId="77777777" w:rsidTr="00832690">
        <w:trPr>
          <w:trHeight w:val="320"/>
        </w:trPr>
        <w:tc>
          <w:tcPr>
            <w:tcW w:w="2705" w:type="dxa"/>
            <w:tcBorders>
              <w:top w:val="nil"/>
              <w:left w:val="nil"/>
              <w:bottom w:val="single" w:sz="8" w:space="0" w:color="auto"/>
              <w:right w:val="nil"/>
            </w:tcBorders>
            <w:shd w:val="clear" w:color="auto" w:fill="auto"/>
            <w:noWrap/>
            <w:vAlign w:val="bottom"/>
            <w:hideMark/>
          </w:tcPr>
          <w:p w14:paraId="75BF1C65" w14:textId="77777777" w:rsidR="00456E27" w:rsidRPr="00832690" w:rsidRDefault="00456E27" w:rsidP="00845EE3">
            <w:pPr>
              <w:spacing w:line="240" w:lineRule="auto"/>
              <w:rPr>
                <w:rFonts w:eastAsia="Times New Roman" w:cs="Times New Roman"/>
                <w:color w:val="000000"/>
                <w:sz w:val="18"/>
                <w:szCs w:val="18"/>
              </w:rPr>
            </w:pPr>
            <w:r w:rsidRPr="00832690">
              <w:rPr>
                <w:rFonts w:eastAsia="Times New Roman" w:cs="Times New Roman"/>
                <w:color w:val="000000"/>
                <w:sz w:val="18"/>
                <w:szCs w:val="18"/>
              </w:rPr>
              <w:t> </w:t>
            </w:r>
          </w:p>
        </w:tc>
        <w:tc>
          <w:tcPr>
            <w:tcW w:w="1450" w:type="dxa"/>
            <w:tcBorders>
              <w:top w:val="nil"/>
              <w:left w:val="nil"/>
              <w:bottom w:val="nil"/>
              <w:right w:val="nil"/>
            </w:tcBorders>
            <w:shd w:val="clear" w:color="auto" w:fill="auto"/>
            <w:noWrap/>
            <w:vAlign w:val="bottom"/>
            <w:hideMark/>
          </w:tcPr>
          <w:p w14:paraId="150AB99A" w14:textId="77777777" w:rsidR="0017540C" w:rsidRPr="00832690" w:rsidRDefault="0017540C" w:rsidP="00845EE3">
            <w:pPr>
              <w:spacing w:line="240" w:lineRule="auto"/>
              <w:jc w:val="right"/>
              <w:rPr>
                <w:rFonts w:eastAsia="Times New Roman" w:cs="Times New Roman"/>
                <w:b/>
                <w:bCs/>
                <w:color w:val="000000"/>
                <w:sz w:val="18"/>
                <w:szCs w:val="18"/>
              </w:rPr>
            </w:pPr>
          </w:p>
          <w:p w14:paraId="494B37EC" w14:textId="527083AE" w:rsidR="00456E27" w:rsidRPr="00832690" w:rsidRDefault="003B70CF" w:rsidP="00845EE3">
            <w:pPr>
              <w:spacing w:line="240" w:lineRule="auto"/>
              <w:jc w:val="right"/>
              <w:rPr>
                <w:rFonts w:eastAsia="Times New Roman" w:cs="Times New Roman"/>
                <w:b/>
                <w:bCs/>
                <w:color w:val="000000"/>
                <w:sz w:val="18"/>
                <w:szCs w:val="18"/>
              </w:rPr>
            </w:pPr>
            <w:r w:rsidRPr="00832690">
              <w:rPr>
                <w:rFonts w:eastAsia="Times New Roman" w:cs="Times New Roman"/>
                <w:b/>
                <w:bCs/>
                <w:color w:val="000000"/>
                <w:sz w:val="18"/>
                <w:szCs w:val="18"/>
              </w:rPr>
              <w:t xml:space="preserve">Town of </w:t>
            </w:r>
            <w:r w:rsidR="00853231" w:rsidRPr="00832690">
              <w:rPr>
                <w:rFonts w:eastAsia="Times New Roman" w:cs="Times New Roman"/>
                <w:b/>
                <w:bCs/>
                <w:color w:val="000000"/>
                <w:sz w:val="18"/>
                <w:szCs w:val="18"/>
              </w:rPr>
              <w:t>Hillsborough</w:t>
            </w:r>
          </w:p>
          <w:p w14:paraId="3FB154BD" w14:textId="577F0796" w:rsidR="0017540C" w:rsidRPr="00832690" w:rsidRDefault="0017540C" w:rsidP="00845EE3">
            <w:pPr>
              <w:spacing w:line="240" w:lineRule="auto"/>
              <w:jc w:val="right"/>
              <w:rPr>
                <w:rFonts w:eastAsia="Times New Roman" w:cs="Times New Roman"/>
                <w:b/>
                <w:bCs/>
                <w:color w:val="000000"/>
                <w:sz w:val="10"/>
                <w:szCs w:val="18"/>
              </w:rPr>
            </w:pPr>
          </w:p>
        </w:tc>
        <w:tc>
          <w:tcPr>
            <w:tcW w:w="1440" w:type="dxa"/>
            <w:tcBorders>
              <w:top w:val="nil"/>
              <w:left w:val="nil"/>
              <w:bottom w:val="nil"/>
              <w:right w:val="nil"/>
            </w:tcBorders>
            <w:shd w:val="clear" w:color="auto" w:fill="auto"/>
            <w:noWrap/>
            <w:vAlign w:val="bottom"/>
            <w:hideMark/>
          </w:tcPr>
          <w:p w14:paraId="0E5992FE" w14:textId="77777777" w:rsidR="0017540C" w:rsidRPr="00832690" w:rsidRDefault="0017540C" w:rsidP="00845EE3">
            <w:pPr>
              <w:spacing w:line="240" w:lineRule="auto"/>
              <w:jc w:val="right"/>
              <w:rPr>
                <w:rFonts w:eastAsia="Times New Roman" w:cs="Times New Roman"/>
                <w:b/>
                <w:bCs/>
                <w:color w:val="000000"/>
                <w:sz w:val="18"/>
                <w:szCs w:val="18"/>
              </w:rPr>
            </w:pPr>
          </w:p>
          <w:p w14:paraId="1D80643A" w14:textId="77777777" w:rsidR="00456E27" w:rsidRPr="00832690" w:rsidRDefault="0017540C" w:rsidP="00845EE3">
            <w:pPr>
              <w:spacing w:line="240" w:lineRule="auto"/>
              <w:jc w:val="right"/>
              <w:rPr>
                <w:rFonts w:eastAsia="Times New Roman" w:cs="Times New Roman"/>
                <w:b/>
                <w:bCs/>
                <w:color w:val="000000"/>
                <w:sz w:val="18"/>
                <w:szCs w:val="18"/>
              </w:rPr>
            </w:pPr>
            <w:r w:rsidRPr="00832690">
              <w:rPr>
                <w:rFonts w:eastAsia="Times New Roman" w:cs="Times New Roman"/>
                <w:b/>
                <w:bCs/>
                <w:color w:val="000000"/>
                <w:sz w:val="18"/>
                <w:szCs w:val="18"/>
              </w:rPr>
              <w:t xml:space="preserve">San Mateo </w:t>
            </w:r>
            <w:r w:rsidR="00456E27" w:rsidRPr="00832690">
              <w:rPr>
                <w:rFonts w:eastAsia="Times New Roman" w:cs="Times New Roman"/>
                <w:b/>
                <w:bCs/>
                <w:color w:val="000000"/>
                <w:sz w:val="18"/>
                <w:szCs w:val="18"/>
              </w:rPr>
              <w:t>County</w:t>
            </w:r>
          </w:p>
          <w:p w14:paraId="110CAEDB" w14:textId="3F52D9A3" w:rsidR="0017540C" w:rsidRPr="00832690" w:rsidRDefault="0017540C" w:rsidP="00845EE3">
            <w:pPr>
              <w:spacing w:line="240" w:lineRule="auto"/>
              <w:jc w:val="right"/>
              <w:rPr>
                <w:rFonts w:eastAsia="Times New Roman" w:cs="Times New Roman"/>
                <w:b/>
                <w:bCs/>
                <w:color w:val="000000"/>
                <w:sz w:val="10"/>
                <w:szCs w:val="18"/>
              </w:rPr>
            </w:pPr>
          </w:p>
        </w:tc>
        <w:tc>
          <w:tcPr>
            <w:tcW w:w="1429" w:type="dxa"/>
            <w:gridSpan w:val="2"/>
            <w:tcBorders>
              <w:top w:val="nil"/>
              <w:left w:val="nil"/>
              <w:bottom w:val="nil"/>
              <w:right w:val="nil"/>
            </w:tcBorders>
            <w:shd w:val="clear" w:color="auto" w:fill="auto"/>
            <w:noWrap/>
            <w:vAlign w:val="bottom"/>
            <w:hideMark/>
          </w:tcPr>
          <w:p w14:paraId="6191B83F" w14:textId="77777777" w:rsidR="00456E27" w:rsidRPr="00832690" w:rsidRDefault="00456E27" w:rsidP="00845EE3">
            <w:pPr>
              <w:spacing w:line="240" w:lineRule="auto"/>
              <w:jc w:val="right"/>
              <w:rPr>
                <w:rFonts w:eastAsia="Times New Roman" w:cs="Times New Roman"/>
                <w:b/>
                <w:bCs/>
                <w:color w:val="000000"/>
                <w:sz w:val="18"/>
                <w:szCs w:val="18"/>
              </w:rPr>
            </w:pPr>
            <w:r w:rsidRPr="00832690">
              <w:rPr>
                <w:rFonts w:eastAsia="Times New Roman" w:cs="Times New Roman"/>
                <w:b/>
                <w:bCs/>
                <w:color w:val="000000"/>
                <w:sz w:val="18"/>
                <w:szCs w:val="18"/>
              </w:rPr>
              <w:t>State</w:t>
            </w:r>
            <w:r w:rsidR="0017540C" w:rsidRPr="00832690">
              <w:rPr>
                <w:rFonts w:eastAsia="Times New Roman" w:cs="Times New Roman"/>
                <w:b/>
                <w:bCs/>
                <w:color w:val="000000"/>
                <w:sz w:val="18"/>
                <w:szCs w:val="18"/>
              </w:rPr>
              <w:t xml:space="preserve"> of California</w:t>
            </w:r>
          </w:p>
          <w:p w14:paraId="2E9CB305" w14:textId="68741B61" w:rsidR="0017540C" w:rsidRPr="00832690" w:rsidRDefault="0017540C" w:rsidP="00845EE3">
            <w:pPr>
              <w:spacing w:line="240" w:lineRule="auto"/>
              <w:jc w:val="right"/>
              <w:rPr>
                <w:rFonts w:eastAsia="Times New Roman" w:cs="Times New Roman"/>
                <w:b/>
                <w:bCs/>
                <w:color w:val="000000"/>
                <w:sz w:val="10"/>
                <w:szCs w:val="18"/>
              </w:rPr>
            </w:pPr>
          </w:p>
        </w:tc>
      </w:tr>
      <w:tr w:rsidR="00832690" w:rsidRPr="00456E27" w14:paraId="77194B98" w14:textId="77777777" w:rsidTr="00832690">
        <w:trPr>
          <w:trHeight w:val="300"/>
        </w:trPr>
        <w:tc>
          <w:tcPr>
            <w:tcW w:w="2705" w:type="dxa"/>
            <w:tcBorders>
              <w:top w:val="nil"/>
              <w:left w:val="nil"/>
              <w:bottom w:val="single" w:sz="4" w:space="0" w:color="808080"/>
              <w:right w:val="nil"/>
            </w:tcBorders>
            <w:shd w:val="clear" w:color="auto" w:fill="auto"/>
            <w:noWrap/>
            <w:vAlign w:val="bottom"/>
            <w:hideMark/>
          </w:tcPr>
          <w:p w14:paraId="4641C9A4"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Under $25,000</w:t>
            </w:r>
          </w:p>
        </w:tc>
        <w:tc>
          <w:tcPr>
            <w:tcW w:w="1450" w:type="dxa"/>
            <w:tcBorders>
              <w:top w:val="single" w:sz="8" w:space="0" w:color="auto"/>
              <w:left w:val="nil"/>
              <w:bottom w:val="single" w:sz="4" w:space="0" w:color="808080"/>
              <w:right w:val="nil"/>
            </w:tcBorders>
            <w:shd w:val="clear" w:color="auto" w:fill="auto"/>
            <w:noWrap/>
            <w:vAlign w:val="bottom"/>
            <w:hideMark/>
          </w:tcPr>
          <w:p w14:paraId="64E16514" w14:textId="03F305C6"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4%</w:t>
            </w:r>
          </w:p>
        </w:tc>
        <w:tc>
          <w:tcPr>
            <w:tcW w:w="1440" w:type="dxa"/>
            <w:tcBorders>
              <w:top w:val="single" w:sz="8" w:space="0" w:color="auto"/>
              <w:left w:val="nil"/>
              <w:bottom w:val="single" w:sz="4" w:space="0" w:color="808080"/>
              <w:right w:val="nil"/>
            </w:tcBorders>
            <w:shd w:val="clear" w:color="auto" w:fill="auto"/>
            <w:noWrap/>
            <w:vAlign w:val="bottom"/>
            <w:hideMark/>
          </w:tcPr>
          <w:p w14:paraId="35EF9B90"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12%</w:t>
            </w:r>
          </w:p>
        </w:tc>
        <w:tc>
          <w:tcPr>
            <w:tcW w:w="1429" w:type="dxa"/>
            <w:gridSpan w:val="2"/>
            <w:tcBorders>
              <w:top w:val="single" w:sz="8" w:space="0" w:color="auto"/>
              <w:left w:val="nil"/>
              <w:bottom w:val="single" w:sz="4" w:space="0" w:color="808080"/>
              <w:right w:val="nil"/>
            </w:tcBorders>
            <w:shd w:val="clear" w:color="auto" w:fill="auto"/>
            <w:noWrap/>
            <w:vAlign w:val="bottom"/>
            <w:hideMark/>
          </w:tcPr>
          <w:p w14:paraId="442FC159"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21%</w:t>
            </w:r>
          </w:p>
        </w:tc>
      </w:tr>
      <w:tr w:rsidR="00832690" w:rsidRPr="00456E27" w14:paraId="674589E8" w14:textId="77777777" w:rsidTr="00832690">
        <w:trPr>
          <w:trHeight w:val="300"/>
        </w:trPr>
        <w:tc>
          <w:tcPr>
            <w:tcW w:w="2705" w:type="dxa"/>
            <w:tcBorders>
              <w:top w:val="nil"/>
              <w:left w:val="nil"/>
              <w:bottom w:val="single" w:sz="4" w:space="0" w:color="808080"/>
              <w:right w:val="nil"/>
            </w:tcBorders>
            <w:shd w:val="clear" w:color="auto" w:fill="auto"/>
            <w:noWrap/>
            <w:vAlign w:val="bottom"/>
            <w:hideMark/>
          </w:tcPr>
          <w:p w14:paraId="20760560"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$25,000 to $34,999</w:t>
            </w:r>
          </w:p>
        </w:tc>
        <w:tc>
          <w:tcPr>
            <w:tcW w:w="1450" w:type="dxa"/>
            <w:tcBorders>
              <w:top w:val="nil"/>
              <w:left w:val="nil"/>
              <w:bottom w:val="single" w:sz="4" w:space="0" w:color="808080"/>
              <w:right w:val="nil"/>
            </w:tcBorders>
            <w:shd w:val="clear" w:color="auto" w:fill="auto"/>
            <w:noWrap/>
            <w:vAlign w:val="bottom"/>
            <w:hideMark/>
          </w:tcPr>
          <w:p w14:paraId="6AB8F0CA" w14:textId="01FB6464"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2%</w:t>
            </w:r>
          </w:p>
        </w:tc>
        <w:tc>
          <w:tcPr>
            <w:tcW w:w="1440" w:type="dxa"/>
            <w:tcBorders>
              <w:top w:val="nil"/>
              <w:left w:val="nil"/>
              <w:bottom w:val="single" w:sz="4" w:space="0" w:color="808080"/>
              <w:right w:val="nil"/>
            </w:tcBorders>
            <w:shd w:val="clear" w:color="auto" w:fill="auto"/>
            <w:noWrap/>
            <w:vAlign w:val="bottom"/>
            <w:hideMark/>
          </w:tcPr>
          <w:p w14:paraId="53FA6912"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6%</w:t>
            </w:r>
          </w:p>
        </w:tc>
        <w:tc>
          <w:tcPr>
            <w:tcW w:w="1429" w:type="dxa"/>
            <w:gridSpan w:val="2"/>
            <w:tcBorders>
              <w:top w:val="nil"/>
              <w:left w:val="nil"/>
              <w:bottom w:val="single" w:sz="4" w:space="0" w:color="808080"/>
              <w:right w:val="nil"/>
            </w:tcBorders>
            <w:shd w:val="clear" w:color="auto" w:fill="auto"/>
            <w:noWrap/>
            <w:vAlign w:val="bottom"/>
            <w:hideMark/>
          </w:tcPr>
          <w:p w14:paraId="489DC2C3"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9%</w:t>
            </w:r>
          </w:p>
        </w:tc>
      </w:tr>
      <w:tr w:rsidR="00832690" w:rsidRPr="00456E27" w14:paraId="618B4E8D" w14:textId="77777777" w:rsidTr="00832690">
        <w:trPr>
          <w:trHeight w:val="300"/>
        </w:trPr>
        <w:tc>
          <w:tcPr>
            <w:tcW w:w="2705" w:type="dxa"/>
            <w:tcBorders>
              <w:top w:val="nil"/>
              <w:left w:val="nil"/>
              <w:bottom w:val="single" w:sz="4" w:space="0" w:color="808080"/>
              <w:right w:val="nil"/>
            </w:tcBorders>
            <w:shd w:val="clear" w:color="auto" w:fill="auto"/>
            <w:noWrap/>
            <w:vAlign w:val="bottom"/>
            <w:hideMark/>
          </w:tcPr>
          <w:p w14:paraId="71C865AA"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$35,000 to $49,999</w:t>
            </w:r>
          </w:p>
        </w:tc>
        <w:tc>
          <w:tcPr>
            <w:tcW w:w="1450" w:type="dxa"/>
            <w:tcBorders>
              <w:top w:val="nil"/>
              <w:left w:val="nil"/>
              <w:bottom w:val="single" w:sz="4" w:space="0" w:color="808080"/>
              <w:right w:val="nil"/>
            </w:tcBorders>
            <w:shd w:val="clear" w:color="auto" w:fill="auto"/>
            <w:noWrap/>
            <w:vAlign w:val="bottom"/>
            <w:hideMark/>
          </w:tcPr>
          <w:p w14:paraId="2FF1298A" w14:textId="51DD195B"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2%</w:t>
            </w:r>
          </w:p>
        </w:tc>
        <w:tc>
          <w:tcPr>
            <w:tcW w:w="1440" w:type="dxa"/>
            <w:tcBorders>
              <w:top w:val="nil"/>
              <w:left w:val="nil"/>
              <w:bottom w:val="single" w:sz="4" w:space="0" w:color="808080"/>
              <w:right w:val="nil"/>
            </w:tcBorders>
            <w:shd w:val="clear" w:color="auto" w:fill="auto"/>
            <w:noWrap/>
            <w:vAlign w:val="bottom"/>
            <w:hideMark/>
          </w:tcPr>
          <w:p w14:paraId="51D3537F"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10%</w:t>
            </w:r>
          </w:p>
        </w:tc>
        <w:tc>
          <w:tcPr>
            <w:tcW w:w="1429" w:type="dxa"/>
            <w:gridSpan w:val="2"/>
            <w:tcBorders>
              <w:top w:val="nil"/>
              <w:left w:val="nil"/>
              <w:bottom w:val="single" w:sz="4" w:space="0" w:color="808080"/>
              <w:right w:val="nil"/>
            </w:tcBorders>
            <w:shd w:val="clear" w:color="auto" w:fill="auto"/>
            <w:noWrap/>
            <w:vAlign w:val="bottom"/>
            <w:hideMark/>
          </w:tcPr>
          <w:p w14:paraId="33370A1A"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13%</w:t>
            </w:r>
          </w:p>
        </w:tc>
      </w:tr>
      <w:tr w:rsidR="00832690" w:rsidRPr="00456E27" w14:paraId="7B974AF9" w14:textId="77777777" w:rsidTr="00832690">
        <w:trPr>
          <w:trHeight w:val="300"/>
        </w:trPr>
        <w:tc>
          <w:tcPr>
            <w:tcW w:w="2705" w:type="dxa"/>
            <w:tcBorders>
              <w:top w:val="nil"/>
              <w:left w:val="nil"/>
              <w:bottom w:val="single" w:sz="4" w:space="0" w:color="808080"/>
              <w:right w:val="nil"/>
            </w:tcBorders>
            <w:shd w:val="clear" w:color="auto" w:fill="auto"/>
            <w:noWrap/>
            <w:vAlign w:val="bottom"/>
            <w:hideMark/>
          </w:tcPr>
          <w:p w14:paraId="38515F86"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$50,000 to $74,999</w:t>
            </w:r>
          </w:p>
        </w:tc>
        <w:tc>
          <w:tcPr>
            <w:tcW w:w="1450" w:type="dxa"/>
            <w:tcBorders>
              <w:top w:val="nil"/>
              <w:left w:val="nil"/>
              <w:bottom w:val="single" w:sz="4" w:space="0" w:color="808080"/>
              <w:right w:val="nil"/>
            </w:tcBorders>
            <w:shd w:val="clear" w:color="auto" w:fill="auto"/>
            <w:noWrap/>
            <w:vAlign w:val="bottom"/>
            <w:hideMark/>
          </w:tcPr>
          <w:p w14:paraId="24CA6B87" w14:textId="0DA27AF1"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6%</w:t>
            </w:r>
          </w:p>
        </w:tc>
        <w:tc>
          <w:tcPr>
            <w:tcW w:w="1440" w:type="dxa"/>
            <w:tcBorders>
              <w:top w:val="nil"/>
              <w:left w:val="nil"/>
              <w:bottom w:val="single" w:sz="4" w:space="0" w:color="808080"/>
              <w:right w:val="nil"/>
            </w:tcBorders>
            <w:shd w:val="clear" w:color="auto" w:fill="auto"/>
            <w:noWrap/>
            <w:vAlign w:val="bottom"/>
            <w:hideMark/>
          </w:tcPr>
          <w:p w14:paraId="048BD757"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16%</w:t>
            </w:r>
          </w:p>
        </w:tc>
        <w:tc>
          <w:tcPr>
            <w:tcW w:w="1429" w:type="dxa"/>
            <w:gridSpan w:val="2"/>
            <w:tcBorders>
              <w:top w:val="nil"/>
              <w:left w:val="nil"/>
              <w:bottom w:val="single" w:sz="4" w:space="0" w:color="808080"/>
              <w:right w:val="nil"/>
            </w:tcBorders>
            <w:shd w:val="clear" w:color="auto" w:fill="auto"/>
            <w:noWrap/>
            <w:vAlign w:val="bottom"/>
            <w:hideMark/>
          </w:tcPr>
          <w:p w14:paraId="03D0C80D"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17%</w:t>
            </w:r>
          </w:p>
        </w:tc>
      </w:tr>
      <w:tr w:rsidR="00832690" w:rsidRPr="00456E27" w14:paraId="47EC4B56" w14:textId="77777777" w:rsidTr="00832690">
        <w:trPr>
          <w:trHeight w:val="300"/>
        </w:trPr>
        <w:tc>
          <w:tcPr>
            <w:tcW w:w="2705" w:type="dxa"/>
            <w:tcBorders>
              <w:top w:val="nil"/>
              <w:left w:val="nil"/>
              <w:bottom w:val="single" w:sz="4" w:space="0" w:color="808080"/>
              <w:right w:val="nil"/>
            </w:tcBorders>
            <w:shd w:val="clear" w:color="auto" w:fill="auto"/>
            <w:noWrap/>
            <w:vAlign w:val="bottom"/>
            <w:hideMark/>
          </w:tcPr>
          <w:p w14:paraId="762431C2"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$75,000 to $99,999</w:t>
            </w:r>
          </w:p>
        </w:tc>
        <w:tc>
          <w:tcPr>
            <w:tcW w:w="1450" w:type="dxa"/>
            <w:tcBorders>
              <w:top w:val="nil"/>
              <w:left w:val="nil"/>
              <w:bottom w:val="single" w:sz="4" w:space="0" w:color="808080"/>
              <w:right w:val="nil"/>
            </w:tcBorders>
            <w:shd w:val="clear" w:color="auto" w:fill="auto"/>
            <w:noWrap/>
            <w:vAlign w:val="bottom"/>
            <w:hideMark/>
          </w:tcPr>
          <w:p w14:paraId="6595D0B1" w14:textId="6B4DDFE0"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4%</w:t>
            </w:r>
          </w:p>
        </w:tc>
        <w:tc>
          <w:tcPr>
            <w:tcW w:w="1440" w:type="dxa"/>
            <w:tcBorders>
              <w:top w:val="nil"/>
              <w:left w:val="nil"/>
              <w:bottom w:val="single" w:sz="4" w:space="0" w:color="808080"/>
              <w:right w:val="nil"/>
            </w:tcBorders>
            <w:shd w:val="clear" w:color="auto" w:fill="auto"/>
            <w:noWrap/>
            <w:vAlign w:val="bottom"/>
            <w:hideMark/>
          </w:tcPr>
          <w:p w14:paraId="3F7401D3"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12%</w:t>
            </w:r>
          </w:p>
        </w:tc>
        <w:tc>
          <w:tcPr>
            <w:tcW w:w="1429" w:type="dxa"/>
            <w:gridSpan w:val="2"/>
            <w:tcBorders>
              <w:top w:val="nil"/>
              <w:left w:val="nil"/>
              <w:bottom w:val="single" w:sz="4" w:space="0" w:color="808080"/>
              <w:right w:val="nil"/>
            </w:tcBorders>
            <w:shd w:val="clear" w:color="auto" w:fill="auto"/>
            <w:noWrap/>
            <w:vAlign w:val="bottom"/>
            <w:hideMark/>
          </w:tcPr>
          <w:p w14:paraId="6076C83A"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12%</w:t>
            </w:r>
          </w:p>
        </w:tc>
      </w:tr>
      <w:tr w:rsidR="00832690" w:rsidRPr="00456E27" w14:paraId="5E016636" w14:textId="77777777" w:rsidTr="00832690">
        <w:trPr>
          <w:trHeight w:val="300"/>
        </w:trPr>
        <w:tc>
          <w:tcPr>
            <w:tcW w:w="2705" w:type="dxa"/>
            <w:tcBorders>
              <w:top w:val="nil"/>
              <w:left w:val="nil"/>
              <w:bottom w:val="single" w:sz="4" w:space="0" w:color="auto"/>
              <w:right w:val="nil"/>
            </w:tcBorders>
            <w:shd w:val="clear" w:color="auto" w:fill="auto"/>
            <w:noWrap/>
            <w:vAlign w:val="bottom"/>
            <w:hideMark/>
          </w:tcPr>
          <w:p w14:paraId="4F12FC28"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$100,000+</w:t>
            </w:r>
          </w:p>
        </w:tc>
        <w:tc>
          <w:tcPr>
            <w:tcW w:w="1450" w:type="dxa"/>
            <w:tcBorders>
              <w:top w:val="nil"/>
              <w:left w:val="nil"/>
              <w:bottom w:val="single" w:sz="4" w:space="0" w:color="auto"/>
              <w:right w:val="nil"/>
            </w:tcBorders>
            <w:shd w:val="clear" w:color="auto" w:fill="auto"/>
            <w:noWrap/>
            <w:vAlign w:val="bottom"/>
            <w:hideMark/>
          </w:tcPr>
          <w:p w14:paraId="2660632C" w14:textId="7F1F1457"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82%</w:t>
            </w:r>
          </w:p>
        </w:tc>
        <w:tc>
          <w:tcPr>
            <w:tcW w:w="1440" w:type="dxa"/>
            <w:tcBorders>
              <w:top w:val="nil"/>
              <w:left w:val="nil"/>
              <w:bottom w:val="single" w:sz="4" w:space="0" w:color="auto"/>
              <w:right w:val="nil"/>
            </w:tcBorders>
            <w:shd w:val="clear" w:color="auto" w:fill="auto"/>
            <w:noWrap/>
            <w:vAlign w:val="bottom"/>
            <w:hideMark/>
          </w:tcPr>
          <w:p w14:paraId="5AC96440"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44%</w:t>
            </w:r>
          </w:p>
        </w:tc>
        <w:tc>
          <w:tcPr>
            <w:tcW w:w="1429" w:type="dxa"/>
            <w:gridSpan w:val="2"/>
            <w:tcBorders>
              <w:top w:val="nil"/>
              <w:left w:val="nil"/>
              <w:bottom w:val="single" w:sz="4" w:space="0" w:color="auto"/>
              <w:right w:val="nil"/>
            </w:tcBorders>
            <w:shd w:val="clear" w:color="auto" w:fill="auto"/>
            <w:noWrap/>
            <w:vAlign w:val="bottom"/>
            <w:hideMark/>
          </w:tcPr>
          <w:p w14:paraId="7B17E036"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28%</w:t>
            </w:r>
          </w:p>
        </w:tc>
      </w:tr>
      <w:tr w:rsidR="00832690" w:rsidRPr="00456E27" w14:paraId="2222630F" w14:textId="77777777" w:rsidTr="00832690">
        <w:trPr>
          <w:trHeight w:val="300"/>
        </w:trPr>
        <w:tc>
          <w:tcPr>
            <w:tcW w:w="2705" w:type="dxa"/>
            <w:tcBorders>
              <w:top w:val="nil"/>
              <w:left w:val="nil"/>
              <w:bottom w:val="single" w:sz="4" w:space="0" w:color="808080"/>
              <w:right w:val="nil"/>
            </w:tcBorders>
            <w:shd w:val="clear" w:color="auto" w:fill="auto"/>
            <w:noWrap/>
            <w:vAlign w:val="bottom"/>
            <w:hideMark/>
          </w:tcPr>
          <w:p w14:paraId="76BB0359"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Poverty Rate</w:t>
            </w:r>
          </w:p>
        </w:tc>
        <w:tc>
          <w:tcPr>
            <w:tcW w:w="1450" w:type="dxa"/>
            <w:tcBorders>
              <w:top w:val="nil"/>
              <w:left w:val="nil"/>
              <w:bottom w:val="single" w:sz="4" w:space="0" w:color="808080"/>
              <w:right w:val="nil"/>
            </w:tcBorders>
            <w:shd w:val="clear" w:color="auto" w:fill="auto"/>
            <w:noWrap/>
            <w:vAlign w:val="bottom"/>
            <w:hideMark/>
          </w:tcPr>
          <w:p w14:paraId="7F7C7673" w14:textId="7D4479FA"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2.7%</w:t>
            </w:r>
          </w:p>
        </w:tc>
        <w:tc>
          <w:tcPr>
            <w:tcW w:w="1440" w:type="dxa"/>
            <w:tcBorders>
              <w:top w:val="nil"/>
              <w:left w:val="nil"/>
              <w:bottom w:val="single" w:sz="4" w:space="0" w:color="808080"/>
              <w:right w:val="nil"/>
            </w:tcBorders>
            <w:shd w:val="clear" w:color="auto" w:fill="auto"/>
            <w:noWrap/>
            <w:vAlign w:val="bottom"/>
            <w:hideMark/>
          </w:tcPr>
          <w:p w14:paraId="64D90333"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7.4%</w:t>
            </w:r>
          </w:p>
        </w:tc>
        <w:tc>
          <w:tcPr>
            <w:tcW w:w="1429" w:type="dxa"/>
            <w:gridSpan w:val="2"/>
            <w:tcBorders>
              <w:top w:val="nil"/>
              <w:left w:val="nil"/>
              <w:bottom w:val="single" w:sz="4" w:space="0" w:color="808080"/>
              <w:right w:val="nil"/>
            </w:tcBorders>
            <w:shd w:val="clear" w:color="auto" w:fill="auto"/>
            <w:noWrap/>
            <w:vAlign w:val="bottom"/>
            <w:hideMark/>
          </w:tcPr>
          <w:p w14:paraId="745CAB3E"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16%</w:t>
            </w:r>
          </w:p>
        </w:tc>
      </w:tr>
      <w:tr w:rsidR="00832690" w:rsidRPr="00456E27" w14:paraId="34FCDA44" w14:textId="77777777" w:rsidTr="00832690">
        <w:trPr>
          <w:trHeight w:val="300"/>
        </w:trPr>
        <w:tc>
          <w:tcPr>
            <w:tcW w:w="2705" w:type="dxa"/>
            <w:tcBorders>
              <w:top w:val="nil"/>
              <w:left w:val="nil"/>
              <w:bottom w:val="single" w:sz="4" w:space="0" w:color="auto"/>
              <w:right w:val="nil"/>
            </w:tcBorders>
            <w:shd w:val="clear" w:color="auto" w:fill="auto"/>
            <w:noWrap/>
            <w:vAlign w:val="bottom"/>
            <w:hideMark/>
          </w:tcPr>
          <w:p w14:paraId="1C3F01E8"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Total</w:t>
            </w:r>
          </w:p>
        </w:tc>
        <w:tc>
          <w:tcPr>
            <w:tcW w:w="1450" w:type="dxa"/>
            <w:tcBorders>
              <w:top w:val="nil"/>
              <w:left w:val="nil"/>
              <w:bottom w:val="single" w:sz="4" w:space="0" w:color="auto"/>
              <w:right w:val="nil"/>
            </w:tcBorders>
            <w:shd w:val="clear" w:color="auto" w:fill="auto"/>
            <w:noWrap/>
            <w:vAlign w:val="bottom"/>
            <w:hideMark/>
          </w:tcPr>
          <w:p w14:paraId="3838D163" w14:textId="26FA2CF7"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3,512</w:t>
            </w:r>
          </w:p>
        </w:tc>
        <w:tc>
          <w:tcPr>
            <w:tcW w:w="1440" w:type="dxa"/>
            <w:tcBorders>
              <w:top w:val="nil"/>
              <w:left w:val="nil"/>
              <w:bottom w:val="single" w:sz="4" w:space="0" w:color="auto"/>
              <w:right w:val="nil"/>
            </w:tcBorders>
            <w:shd w:val="clear" w:color="auto" w:fill="auto"/>
            <w:noWrap/>
            <w:vAlign w:val="bottom"/>
            <w:hideMark/>
          </w:tcPr>
          <w:p w14:paraId="76C58DF7"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256,305</w:t>
            </w:r>
          </w:p>
        </w:tc>
        <w:tc>
          <w:tcPr>
            <w:tcW w:w="1429" w:type="dxa"/>
            <w:gridSpan w:val="2"/>
            <w:tcBorders>
              <w:top w:val="nil"/>
              <w:left w:val="nil"/>
              <w:bottom w:val="single" w:sz="4" w:space="0" w:color="auto"/>
              <w:right w:val="nil"/>
            </w:tcBorders>
            <w:shd w:val="clear" w:color="auto" w:fill="auto"/>
            <w:noWrap/>
            <w:vAlign w:val="bottom"/>
            <w:hideMark/>
          </w:tcPr>
          <w:p w14:paraId="13E4361E"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12,433,049</w:t>
            </w:r>
          </w:p>
        </w:tc>
      </w:tr>
      <w:tr w:rsidR="00832690" w:rsidRPr="00456E27" w14:paraId="6A69DD87" w14:textId="77777777" w:rsidTr="00832690">
        <w:trPr>
          <w:trHeight w:val="300"/>
        </w:trPr>
        <w:tc>
          <w:tcPr>
            <w:tcW w:w="2705" w:type="dxa"/>
            <w:tcBorders>
              <w:top w:val="nil"/>
              <w:left w:val="nil"/>
              <w:bottom w:val="single" w:sz="4" w:space="0" w:color="808080"/>
              <w:right w:val="nil"/>
            </w:tcBorders>
            <w:shd w:val="clear" w:color="auto" w:fill="auto"/>
            <w:noWrap/>
            <w:vAlign w:val="bottom"/>
            <w:hideMark/>
          </w:tcPr>
          <w:p w14:paraId="634E3379"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Median Income 2000</w:t>
            </w:r>
          </w:p>
        </w:tc>
        <w:tc>
          <w:tcPr>
            <w:tcW w:w="1450" w:type="dxa"/>
            <w:tcBorders>
              <w:top w:val="nil"/>
              <w:left w:val="nil"/>
              <w:bottom w:val="single" w:sz="4" w:space="0" w:color="808080"/>
              <w:right w:val="nil"/>
            </w:tcBorders>
            <w:shd w:val="clear" w:color="auto" w:fill="auto"/>
            <w:noWrap/>
            <w:vAlign w:val="bottom"/>
            <w:hideMark/>
          </w:tcPr>
          <w:p w14:paraId="4A19A1D1" w14:textId="7EB2645C"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 xml:space="preserve">$260,762 </w:t>
            </w:r>
          </w:p>
        </w:tc>
        <w:tc>
          <w:tcPr>
            <w:tcW w:w="1440" w:type="dxa"/>
            <w:tcBorders>
              <w:top w:val="nil"/>
              <w:left w:val="nil"/>
              <w:bottom w:val="single" w:sz="4" w:space="0" w:color="808080"/>
              <w:right w:val="nil"/>
            </w:tcBorders>
            <w:shd w:val="clear" w:color="auto" w:fill="auto"/>
            <w:noWrap/>
            <w:vAlign w:val="bottom"/>
            <w:hideMark/>
          </w:tcPr>
          <w:p w14:paraId="5461A83D"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 xml:space="preserve">$95,606 </w:t>
            </w:r>
          </w:p>
        </w:tc>
        <w:tc>
          <w:tcPr>
            <w:tcW w:w="1429" w:type="dxa"/>
            <w:gridSpan w:val="2"/>
            <w:tcBorders>
              <w:top w:val="nil"/>
              <w:left w:val="nil"/>
              <w:bottom w:val="single" w:sz="4" w:space="0" w:color="808080"/>
              <w:right w:val="nil"/>
            </w:tcBorders>
            <w:shd w:val="clear" w:color="auto" w:fill="auto"/>
            <w:noWrap/>
            <w:vAlign w:val="bottom"/>
            <w:hideMark/>
          </w:tcPr>
          <w:p w14:paraId="418019C8"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 xml:space="preserve">$64,116 </w:t>
            </w:r>
          </w:p>
        </w:tc>
      </w:tr>
      <w:tr w:rsidR="00832690" w:rsidRPr="00456E27" w14:paraId="219CA6E5" w14:textId="77777777" w:rsidTr="00832690">
        <w:trPr>
          <w:trHeight w:val="300"/>
        </w:trPr>
        <w:tc>
          <w:tcPr>
            <w:tcW w:w="2705" w:type="dxa"/>
            <w:tcBorders>
              <w:top w:val="nil"/>
              <w:left w:val="nil"/>
              <w:bottom w:val="single" w:sz="4" w:space="0" w:color="auto"/>
              <w:right w:val="nil"/>
            </w:tcBorders>
            <w:shd w:val="clear" w:color="auto" w:fill="auto"/>
            <w:noWrap/>
            <w:vAlign w:val="bottom"/>
            <w:hideMark/>
          </w:tcPr>
          <w:p w14:paraId="7A647601" w14:textId="77777777" w:rsidR="00832690" w:rsidRPr="00832690" w:rsidRDefault="00832690" w:rsidP="00845EE3">
            <w:pPr>
              <w:rPr>
                <w:rFonts w:eastAsia="Times New Roman" w:cs="Times New Roman"/>
                <w:color w:val="000000"/>
                <w:sz w:val="18"/>
                <w:szCs w:val="18"/>
              </w:rPr>
            </w:pPr>
            <w:r w:rsidRPr="00832690">
              <w:rPr>
                <w:rFonts w:eastAsia="Times New Roman" w:cs="Times New Roman"/>
                <w:color w:val="000000"/>
                <w:sz w:val="18"/>
                <w:szCs w:val="18"/>
              </w:rPr>
              <w:t>Median Income 2011</w:t>
            </w:r>
          </w:p>
        </w:tc>
        <w:tc>
          <w:tcPr>
            <w:tcW w:w="1450" w:type="dxa"/>
            <w:tcBorders>
              <w:top w:val="nil"/>
              <w:left w:val="nil"/>
              <w:bottom w:val="single" w:sz="4" w:space="0" w:color="auto"/>
              <w:right w:val="nil"/>
            </w:tcBorders>
            <w:shd w:val="clear" w:color="auto" w:fill="auto"/>
            <w:noWrap/>
            <w:vAlign w:val="bottom"/>
            <w:hideMark/>
          </w:tcPr>
          <w:p w14:paraId="7B100F21" w14:textId="39B99C5B" w:rsidR="00832690" w:rsidRPr="00832690" w:rsidRDefault="00832690" w:rsidP="00845EE3">
            <w:pPr>
              <w:jc w:val="right"/>
              <w:rPr>
                <w:rFonts w:eastAsia="Times New Roman" w:cs="Times New Roman"/>
                <w:color w:val="000000"/>
                <w:sz w:val="18"/>
                <w:szCs w:val="18"/>
              </w:rPr>
            </w:pPr>
            <w:r w:rsidRPr="00CE0B4A">
              <w:rPr>
                <w:rFonts w:eastAsia="Times New Roman" w:cs="Times New Roman"/>
                <w:color w:val="000000"/>
                <w:sz w:val="18"/>
                <w:szCs w:val="18"/>
              </w:rPr>
              <w:t xml:space="preserve">$237,680 </w:t>
            </w:r>
          </w:p>
        </w:tc>
        <w:tc>
          <w:tcPr>
            <w:tcW w:w="1440" w:type="dxa"/>
            <w:tcBorders>
              <w:top w:val="nil"/>
              <w:left w:val="nil"/>
              <w:bottom w:val="single" w:sz="4" w:space="0" w:color="auto"/>
              <w:right w:val="nil"/>
            </w:tcBorders>
            <w:shd w:val="clear" w:color="auto" w:fill="auto"/>
            <w:noWrap/>
            <w:vAlign w:val="bottom"/>
            <w:hideMark/>
          </w:tcPr>
          <w:p w14:paraId="32214E1D"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 xml:space="preserve">$91,958 </w:t>
            </w:r>
          </w:p>
        </w:tc>
        <w:tc>
          <w:tcPr>
            <w:tcW w:w="1429" w:type="dxa"/>
            <w:gridSpan w:val="2"/>
            <w:tcBorders>
              <w:top w:val="nil"/>
              <w:left w:val="nil"/>
              <w:bottom w:val="single" w:sz="4" w:space="0" w:color="auto"/>
              <w:right w:val="nil"/>
            </w:tcBorders>
            <w:shd w:val="clear" w:color="auto" w:fill="auto"/>
            <w:noWrap/>
            <w:vAlign w:val="bottom"/>
            <w:hideMark/>
          </w:tcPr>
          <w:p w14:paraId="42BE8261" w14:textId="77777777" w:rsidR="00832690" w:rsidRPr="00832690" w:rsidRDefault="00832690" w:rsidP="00845EE3">
            <w:pPr>
              <w:jc w:val="right"/>
              <w:rPr>
                <w:rFonts w:eastAsia="Times New Roman" w:cs="Times New Roman"/>
                <w:color w:val="000000"/>
                <w:sz w:val="18"/>
                <w:szCs w:val="18"/>
              </w:rPr>
            </w:pPr>
            <w:r w:rsidRPr="00832690">
              <w:rPr>
                <w:rFonts w:eastAsia="Times New Roman" w:cs="Times New Roman"/>
                <w:color w:val="000000"/>
                <w:sz w:val="18"/>
                <w:szCs w:val="18"/>
              </w:rPr>
              <w:t xml:space="preserve">$63,816 </w:t>
            </w:r>
          </w:p>
        </w:tc>
      </w:tr>
      <w:tr w:rsidR="00456E27" w:rsidRPr="00170E75" w14:paraId="5DB7D541" w14:textId="77777777" w:rsidTr="00832690">
        <w:trPr>
          <w:gridAfter w:val="1"/>
          <w:wAfter w:w="360" w:type="dxa"/>
          <w:trHeight w:val="300"/>
        </w:trPr>
        <w:tc>
          <w:tcPr>
            <w:tcW w:w="6664" w:type="dxa"/>
            <w:gridSpan w:val="4"/>
            <w:tcBorders>
              <w:top w:val="single" w:sz="4" w:space="0" w:color="auto"/>
              <w:left w:val="nil"/>
              <w:bottom w:val="nil"/>
              <w:right w:val="nil"/>
            </w:tcBorders>
            <w:shd w:val="clear" w:color="auto" w:fill="auto"/>
            <w:noWrap/>
            <w:vAlign w:val="bottom"/>
            <w:hideMark/>
          </w:tcPr>
          <w:p w14:paraId="5439EBA9" w14:textId="77777777" w:rsidR="00170E75" w:rsidRPr="00170E75" w:rsidRDefault="00170E75" w:rsidP="00845EE3">
            <w:pPr>
              <w:spacing w:line="240" w:lineRule="auto"/>
              <w:rPr>
                <w:rFonts w:eastAsia="Times New Roman" w:cs="Times New Roman"/>
                <w:iCs/>
                <w:color w:val="000000"/>
                <w:sz w:val="12"/>
                <w:szCs w:val="18"/>
              </w:rPr>
            </w:pPr>
          </w:p>
          <w:p w14:paraId="11BB6900" w14:textId="69379C66" w:rsidR="00456E27" w:rsidRPr="00170E75" w:rsidRDefault="00456E27" w:rsidP="00845EE3">
            <w:pPr>
              <w:spacing w:line="240" w:lineRule="auto"/>
              <w:rPr>
                <w:rFonts w:eastAsia="Times New Roman" w:cs="Times New Roman"/>
                <w:iCs/>
                <w:color w:val="000000"/>
                <w:sz w:val="18"/>
                <w:szCs w:val="18"/>
              </w:rPr>
            </w:pPr>
            <w:r w:rsidRPr="00170E75">
              <w:rPr>
                <w:rFonts w:eastAsia="Times New Roman" w:cs="Times New Roman"/>
                <w:iCs/>
                <w:color w:val="000000"/>
                <w:sz w:val="18"/>
                <w:szCs w:val="18"/>
              </w:rPr>
              <w:t>Source: Association of Bay Area Governments</w:t>
            </w:r>
            <w:r w:rsidR="00170E75">
              <w:rPr>
                <w:rFonts w:eastAsia="Times New Roman" w:cs="Times New Roman"/>
                <w:iCs/>
                <w:color w:val="000000"/>
                <w:sz w:val="18"/>
                <w:szCs w:val="18"/>
              </w:rPr>
              <w:t>, adjusted to 2013 dollars</w:t>
            </w:r>
          </w:p>
        </w:tc>
      </w:tr>
    </w:tbl>
    <w:p w14:paraId="619B1EB9" w14:textId="676A126A" w:rsidR="00D25635" w:rsidRDefault="00845EE3" w:rsidP="00067077">
      <w:r>
        <w:br w:type="textWrapping" w:clear="all"/>
      </w:r>
    </w:p>
    <w:p w14:paraId="4294CCE8" w14:textId="77777777" w:rsidR="00845EE3" w:rsidRDefault="00845EE3" w:rsidP="00845EE3">
      <w:pPr>
        <w:pStyle w:val="21ElementsText"/>
      </w:pPr>
      <w:r>
        <w:t xml:space="preserve">Generally, renters are as likely as owners to be lower income. However, lower income renters are more likely to be impacted when rents increase due to their income and the limited availability of choices in the rental housing market. </w:t>
      </w:r>
    </w:p>
    <w:p w14:paraId="05590155" w14:textId="77777777" w:rsidR="00845EE3" w:rsidRDefault="00845EE3" w:rsidP="00067077"/>
    <w:tbl>
      <w:tblPr>
        <w:tblW w:w="8988" w:type="dxa"/>
        <w:tblInd w:w="93" w:type="dxa"/>
        <w:tblLayout w:type="fixed"/>
        <w:tblLook w:val="04A0" w:firstRow="1" w:lastRow="0" w:firstColumn="1" w:lastColumn="0" w:noHBand="0" w:noVBand="1"/>
      </w:tblPr>
      <w:tblGrid>
        <w:gridCol w:w="2535"/>
        <w:gridCol w:w="1620"/>
        <w:gridCol w:w="1187"/>
        <w:gridCol w:w="1104"/>
        <w:gridCol w:w="1286"/>
        <w:gridCol w:w="71"/>
        <w:gridCol w:w="1185"/>
      </w:tblGrid>
      <w:tr w:rsidR="001A39EC" w:rsidRPr="001A39EC" w14:paraId="52177A3C" w14:textId="77777777" w:rsidTr="00BD65B3">
        <w:trPr>
          <w:trHeight w:val="300"/>
        </w:trPr>
        <w:tc>
          <w:tcPr>
            <w:tcW w:w="8988" w:type="dxa"/>
            <w:gridSpan w:val="7"/>
            <w:tcBorders>
              <w:top w:val="nil"/>
              <w:left w:val="nil"/>
              <w:bottom w:val="nil"/>
              <w:right w:val="nil"/>
            </w:tcBorders>
            <w:shd w:val="clear" w:color="000000" w:fill="000000"/>
            <w:noWrap/>
            <w:vAlign w:val="center"/>
            <w:hideMark/>
          </w:tcPr>
          <w:p w14:paraId="6F816548" w14:textId="73DDE3EA" w:rsidR="001A39EC" w:rsidRPr="001A39EC" w:rsidRDefault="003B70CF" w:rsidP="00BD65B3">
            <w:pPr>
              <w:tabs>
                <w:tab w:val="left" w:pos="1977"/>
              </w:tabs>
              <w:spacing w:line="240" w:lineRule="auto"/>
              <w:rPr>
                <w:rFonts w:eastAsia="Times New Roman" w:cs="Times New Roman"/>
                <w:b/>
                <w:bCs/>
                <w:color w:val="FFFFFF"/>
                <w:sz w:val="20"/>
                <w:szCs w:val="20"/>
              </w:rPr>
            </w:pPr>
            <w:r w:rsidRPr="00832690">
              <w:rPr>
                <w:rFonts w:eastAsia="Times New Roman" w:cs="Times New Roman"/>
                <w:b/>
                <w:bCs/>
                <w:color w:val="FFFFFF" w:themeColor="background1"/>
                <w:sz w:val="20"/>
                <w:szCs w:val="20"/>
              </w:rPr>
              <w:t xml:space="preserve">Town of </w:t>
            </w:r>
            <w:r w:rsidR="00853231" w:rsidRPr="00832690">
              <w:rPr>
                <w:rFonts w:eastAsia="Times New Roman" w:cs="Times New Roman"/>
                <w:b/>
                <w:bCs/>
                <w:color w:val="FFFFFF" w:themeColor="background1"/>
                <w:sz w:val="20"/>
                <w:szCs w:val="20"/>
              </w:rPr>
              <w:t>Hillsborough</w:t>
            </w:r>
            <w:r w:rsidR="000440E4">
              <w:rPr>
                <w:rFonts w:eastAsia="Times New Roman" w:cs="Times New Roman"/>
                <w:b/>
                <w:bCs/>
                <w:color w:val="FFFFFF"/>
                <w:sz w:val="20"/>
                <w:szCs w:val="20"/>
              </w:rPr>
              <w:t xml:space="preserve"> </w:t>
            </w:r>
            <w:r w:rsidR="00170E75">
              <w:rPr>
                <w:rFonts w:eastAsia="Times New Roman" w:cs="Times New Roman"/>
                <w:b/>
                <w:bCs/>
                <w:color w:val="FFFFFF"/>
                <w:sz w:val="20"/>
                <w:szCs w:val="20"/>
              </w:rPr>
              <w:t>Households by Income Category and Housing</w:t>
            </w:r>
            <w:r w:rsidR="001A39EC" w:rsidRPr="001A39EC">
              <w:rPr>
                <w:rFonts w:eastAsia="Times New Roman" w:cs="Times New Roman"/>
                <w:b/>
                <w:bCs/>
                <w:color w:val="FFFFFF"/>
                <w:sz w:val="20"/>
                <w:szCs w:val="20"/>
              </w:rPr>
              <w:t xml:space="preserve"> Tenure</w:t>
            </w:r>
            <w:r w:rsidR="00832690">
              <w:rPr>
                <w:rFonts w:eastAsia="Times New Roman" w:cs="Times New Roman"/>
                <w:b/>
                <w:bCs/>
                <w:color w:val="FFFFFF"/>
                <w:sz w:val="20"/>
                <w:szCs w:val="20"/>
              </w:rPr>
              <w:t xml:space="preserve"> (2010)</w:t>
            </w:r>
            <w:r w:rsidR="001A39EC" w:rsidRPr="001A39EC">
              <w:rPr>
                <w:rFonts w:eastAsia="Times New Roman" w:cs="Times New Roman"/>
                <w:b/>
                <w:bCs/>
                <w:color w:val="FFFFFF"/>
                <w:sz w:val="20"/>
                <w:szCs w:val="20"/>
              </w:rPr>
              <w:t xml:space="preserve"> </w:t>
            </w:r>
          </w:p>
        </w:tc>
      </w:tr>
      <w:tr w:rsidR="001A39EC" w:rsidRPr="001A39EC" w14:paraId="5C4FDE4F" w14:textId="77777777" w:rsidTr="00BD65B3">
        <w:trPr>
          <w:trHeight w:val="480"/>
        </w:trPr>
        <w:tc>
          <w:tcPr>
            <w:tcW w:w="2535" w:type="dxa"/>
            <w:tcBorders>
              <w:top w:val="nil"/>
              <w:left w:val="nil"/>
              <w:bottom w:val="single" w:sz="2" w:space="0" w:color="auto"/>
              <w:right w:val="nil"/>
            </w:tcBorders>
            <w:shd w:val="clear" w:color="auto" w:fill="auto"/>
            <w:noWrap/>
            <w:vAlign w:val="bottom"/>
            <w:hideMark/>
          </w:tcPr>
          <w:p w14:paraId="69B92C08" w14:textId="77777777" w:rsidR="001A39EC" w:rsidRPr="001A39EC" w:rsidRDefault="001A39EC" w:rsidP="00BD65B3">
            <w:pPr>
              <w:tabs>
                <w:tab w:val="left" w:pos="1977"/>
              </w:tabs>
              <w:spacing w:line="240" w:lineRule="auto"/>
              <w:jc w:val="right"/>
              <w:rPr>
                <w:rFonts w:ascii="Cambria" w:eastAsia="Times New Roman" w:hAnsi="Cambria" w:cs="Times New Roman"/>
                <w:color w:val="000000"/>
              </w:rPr>
            </w:pPr>
          </w:p>
        </w:tc>
        <w:tc>
          <w:tcPr>
            <w:tcW w:w="1620" w:type="dxa"/>
            <w:tcBorders>
              <w:top w:val="nil"/>
              <w:left w:val="nil"/>
              <w:bottom w:val="single" w:sz="2" w:space="0" w:color="auto"/>
              <w:right w:val="nil"/>
            </w:tcBorders>
            <w:shd w:val="clear" w:color="auto" w:fill="auto"/>
            <w:vAlign w:val="bottom"/>
            <w:hideMark/>
          </w:tcPr>
          <w:p w14:paraId="280C6F12" w14:textId="77777777" w:rsidR="00170E75" w:rsidRDefault="00170E75" w:rsidP="00BD65B3">
            <w:pPr>
              <w:tabs>
                <w:tab w:val="left" w:pos="1977"/>
              </w:tabs>
              <w:spacing w:line="240" w:lineRule="auto"/>
              <w:jc w:val="right"/>
              <w:rPr>
                <w:rFonts w:eastAsia="Times New Roman" w:cs="Times New Roman"/>
                <w:b/>
                <w:bCs/>
                <w:color w:val="000000"/>
                <w:sz w:val="18"/>
                <w:szCs w:val="18"/>
              </w:rPr>
            </w:pPr>
          </w:p>
          <w:p w14:paraId="000DCBFA" w14:textId="77777777" w:rsidR="00170E75" w:rsidRDefault="001A39EC" w:rsidP="00BD65B3">
            <w:pPr>
              <w:tabs>
                <w:tab w:val="left" w:pos="1977"/>
              </w:tabs>
              <w:spacing w:line="240" w:lineRule="auto"/>
              <w:jc w:val="right"/>
              <w:rPr>
                <w:rFonts w:eastAsia="Times New Roman" w:cs="Times New Roman"/>
                <w:b/>
                <w:bCs/>
                <w:color w:val="000000"/>
                <w:sz w:val="18"/>
                <w:szCs w:val="18"/>
              </w:rPr>
            </w:pPr>
            <w:r w:rsidRPr="001A39EC">
              <w:rPr>
                <w:rFonts w:eastAsia="Times New Roman" w:cs="Times New Roman"/>
                <w:b/>
                <w:bCs/>
                <w:color w:val="000000"/>
                <w:sz w:val="18"/>
                <w:szCs w:val="18"/>
              </w:rPr>
              <w:t>Extremely Low</w:t>
            </w:r>
          </w:p>
          <w:p w14:paraId="1BC56B5B" w14:textId="77777777" w:rsidR="00170E75" w:rsidRDefault="00170E75" w:rsidP="00BD65B3">
            <w:pPr>
              <w:tabs>
                <w:tab w:val="left" w:pos="1977"/>
              </w:tabs>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Income</w:t>
            </w:r>
          </w:p>
          <w:p w14:paraId="7FDB1FBF" w14:textId="2C56DF68" w:rsidR="001A39EC" w:rsidRPr="001A39EC" w:rsidRDefault="001A39EC" w:rsidP="00BD65B3">
            <w:pPr>
              <w:tabs>
                <w:tab w:val="left" w:pos="1977"/>
              </w:tabs>
              <w:spacing w:line="240" w:lineRule="auto"/>
              <w:jc w:val="right"/>
              <w:rPr>
                <w:rFonts w:eastAsia="Times New Roman" w:cs="Times New Roman"/>
                <w:b/>
                <w:bCs/>
                <w:color w:val="000000"/>
                <w:sz w:val="18"/>
                <w:szCs w:val="18"/>
              </w:rPr>
            </w:pPr>
            <w:r w:rsidRPr="001A39EC">
              <w:rPr>
                <w:rFonts w:eastAsia="Times New Roman" w:cs="Times New Roman"/>
                <w:b/>
                <w:bCs/>
                <w:color w:val="000000"/>
                <w:sz w:val="18"/>
                <w:szCs w:val="18"/>
              </w:rPr>
              <w:t xml:space="preserve"> </w:t>
            </w:r>
          </w:p>
        </w:tc>
        <w:tc>
          <w:tcPr>
            <w:tcW w:w="1187" w:type="dxa"/>
            <w:tcBorders>
              <w:top w:val="nil"/>
              <w:left w:val="nil"/>
              <w:bottom w:val="single" w:sz="2" w:space="0" w:color="auto"/>
              <w:right w:val="nil"/>
            </w:tcBorders>
            <w:shd w:val="clear" w:color="auto" w:fill="auto"/>
            <w:vAlign w:val="bottom"/>
            <w:hideMark/>
          </w:tcPr>
          <w:p w14:paraId="0C0B8397" w14:textId="77777777" w:rsidR="00170E75" w:rsidRDefault="001A39EC" w:rsidP="00BD65B3">
            <w:pPr>
              <w:tabs>
                <w:tab w:val="left" w:pos="1977"/>
              </w:tabs>
              <w:spacing w:line="240" w:lineRule="auto"/>
              <w:jc w:val="right"/>
              <w:rPr>
                <w:rFonts w:eastAsia="Times New Roman" w:cs="Times New Roman"/>
                <w:b/>
                <w:bCs/>
                <w:color w:val="000000"/>
                <w:sz w:val="18"/>
                <w:szCs w:val="18"/>
              </w:rPr>
            </w:pPr>
            <w:r w:rsidRPr="001A39EC">
              <w:rPr>
                <w:rFonts w:eastAsia="Times New Roman" w:cs="Times New Roman"/>
                <w:b/>
                <w:bCs/>
                <w:color w:val="000000"/>
                <w:sz w:val="18"/>
                <w:szCs w:val="18"/>
              </w:rPr>
              <w:t>Very Low</w:t>
            </w:r>
          </w:p>
          <w:p w14:paraId="3F5DE040" w14:textId="77777777" w:rsidR="00BD65B3" w:rsidRDefault="00170E75" w:rsidP="00BD65B3">
            <w:pPr>
              <w:tabs>
                <w:tab w:val="left" w:pos="1977"/>
              </w:tabs>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Income</w:t>
            </w:r>
          </w:p>
          <w:p w14:paraId="145DD15C" w14:textId="0F70BFEF" w:rsidR="001A39EC" w:rsidRPr="001A39EC" w:rsidRDefault="001A39EC" w:rsidP="00BD65B3">
            <w:pPr>
              <w:tabs>
                <w:tab w:val="left" w:pos="1977"/>
              </w:tabs>
              <w:spacing w:line="240" w:lineRule="auto"/>
              <w:jc w:val="right"/>
              <w:rPr>
                <w:rFonts w:eastAsia="Times New Roman" w:cs="Times New Roman"/>
                <w:b/>
                <w:bCs/>
                <w:color w:val="000000"/>
                <w:sz w:val="18"/>
                <w:szCs w:val="18"/>
              </w:rPr>
            </w:pPr>
            <w:r w:rsidRPr="001A39EC">
              <w:rPr>
                <w:rFonts w:eastAsia="Times New Roman" w:cs="Times New Roman"/>
                <w:b/>
                <w:bCs/>
                <w:color w:val="000000"/>
                <w:sz w:val="18"/>
                <w:szCs w:val="18"/>
              </w:rPr>
              <w:t xml:space="preserve"> </w:t>
            </w:r>
          </w:p>
        </w:tc>
        <w:tc>
          <w:tcPr>
            <w:tcW w:w="1104" w:type="dxa"/>
            <w:tcBorders>
              <w:top w:val="nil"/>
              <w:left w:val="nil"/>
              <w:bottom w:val="single" w:sz="2" w:space="0" w:color="auto"/>
              <w:right w:val="nil"/>
            </w:tcBorders>
            <w:shd w:val="clear" w:color="auto" w:fill="auto"/>
            <w:vAlign w:val="bottom"/>
            <w:hideMark/>
          </w:tcPr>
          <w:p w14:paraId="483AF79F" w14:textId="77777777" w:rsidR="001A39EC" w:rsidRDefault="001A39EC" w:rsidP="00BD65B3">
            <w:pPr>
              <w:tabs>
                <w:tab w:val="left" w:pos="1977"/>
              </w:tabs>
              <w:spacing w:line="240" w:lineRule="auto"/>
              <w:jc w:val="right"/>
              <w:rPr>
                <w:rFonts w:eastAsia="Times New Roman" w:cs="Times New Roman"/>
                <w:b/>
                <w:bCs/>
                <w:color w:val="000000"/>
                <w:sz w:val="18"/>
                <w:szCs w:val="18"/>
              </w:rPr>
            </w:pPr>
            <w:r w:rsidRPr="001A39EC">
              <w:rPr>
                <w:rFonts w:eastAsia="Times New Roman" w:cs="Times New Roman"/>
                <w:b/>
                <w:bCs/>
                <w:color w:val="000000"/>
                <w:sz w:val="18"/>
                <w:szCs w:val="18"/>
              </w:rPr>
              <w:t>Low</w:t>
            </w:r>
          </w:p>
          <w:p w14:paraId="737FEEA4" w14:textId="77777777" w:rsidR="00170E75" w:rsidRDefault="00170E75" w:rsidP="00BD65B3">
            <w:pPr>
              <w:tabs>
                <w:tab w:val="left" w:pos="1977"/>
              </w:tabs>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Income</w:t>
            </w:r>
          </w:p>
          <w:p w14:paraId="6E356A58" w14:textId="193A702C" w:rsidR="00BD65B3" w:rsidRPr="001A39EC" w:rsidRDefault="00BD65B3" w:rsidP="00BD65B3">
            <w:pPr>
              <w:tabs>
                <w:tab w:val="left" w:pos="1977"/>
              </w:tabs>
              <w:spacing w:line="240" w:lineRule="auto"/>
              <w:jc w:val="right"/>
              <w:rPr>
                <w:rFonts w:eastAsia="Times New Roman" w:cs="Times New Roman"/>
                <w:b/>
                <w:bCs/>
                <w:color w:val="000000"/>
                <w:sz w:val="18"/>
                <w:szCs w:val="18"/>
              </w:rPr>
            </w:pPr>
          </w:p>
        </w:tc>
        <w:tc>
          <w:tcPr>
            <w:tcW w:w="1286" w:type="dxa"/>
            <w:tcBorders>
              <w:top w:val="nil"/>
              <w:left w:val="nil"/>
              <w:bottom w:val="single" w:sz="2" w:space="0" w:color="auto"/>
              <w:right w:val="nil"/>
            </w:tcBorders>
            <w:shd w:val="clear" w:color="auto" w:fill="auto"/>
            <w:vAlign w:val="bottom"/>
            <w:hideMark/>
          </w:tcPr>
          <w:p w14:paraId="71EE008D" w14:textId="77777777" w:rsidR="001A39EC" w:rsidRDefault="001A39EC" w:rsidP="00BD65B3">
            <w:pPr>
              <w:tabs>
                <w:tab w:val="left" w:pos="1977"/>
              </w:tabs>
              <w:spacing w:line="240" w:lineRule="auto"/>
              <w:jc w:val="right"/>
              <w:rPr>
                <w:rFonts w:eastAsia="Times New Roman" w:cs="Times New Roman"/>
                <w:b/>
                <w:bCs/>
                <w:color w:val="000000"/>
                <w:sz w:val="18"/>
                <w:szCs w:val="18"/>
              </w:rPr>
            </w:pPr>
            <w:r w:rsidRPr="001A39EC">
              <w:rPr>
                <w:rFonts w:eastAsia="Times New Roman" w:cs="Times New Roman"/>
                <w:b/>
                <w:bCs/>
                <w:color w:val="000000"/>
                <w:sz w:val="18"/>
                <w:szCs w:val="18"/>
              </w:rPr>
              <w:t>Moderate</w:t>
            </w:r>
          </w:p>
          <w:p w14:paraId="0DF2F9F9" w14:textId="77777777" w:rsidR="00170E75" w:rsidRDefault="00170E75" w:rsidP="00BD65B3">
            <w:pPr>
              <w:tabs>
                <w:tab w:val="left" w:pos="1977"/>
              </w:tabs>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Income</w:t>
            </w:r>
          </w:p>
          <w:p w14:paraId="123DAD74" w14:textId="529826BE" w:rsidR="00BD65B3" w:rsidRPr="001A39EC" w:rsidRDefault="00BD65B3" w:rsidP="00BD65B3">
            <w:pPr>
              <w:tabs>
                <w:tab w:val="left" w:pos="1977"/>
              </w:tabs>
              <w:spacing w:line="240" w:lineRule="auto"/>
              <w:jc w:val="right"/>
              <w:rPr>
                <w:rFonts w:eastAsia="Times New Roman" w:cs="Times New Roman"/>
                <w:b/>
                <w:bCs/>
                <w:color w:val="000000"/>
                <w:sz w:val="18"/>
                <w:szCs w:val="18"/>
              </w:rPr>
            </w:pPr>
          </w:p>
        </w:tc>
        <w:tc>
          <w:tcPr>
            <w:tcW w:w="1256" w:type="dxa"/>
            <w:gridSpan w:val="2"/>
            <w:tcBorders>
              <w:top w:val="nil"/>
              <w:left w:val="nil"/>
              <w:bottom w:val="single" w:sz="2" w:space="0" w:color="auto"/>
              <w:right w:val="nil"/>
            </w:tcBorders>
            <w:shd w:val="clear" w:color="auto" w:fill="auto"/>
            <w:vAlign w:val="bottom"/>
            <w:hideMark/>
          </w:tcPr>
          <w:p w14:paraId="3B9F145F" w14:textId="77777777" w:rsidR="00BD65B3" w:rsidRPr="00BD65B3" w:rsidRDefault="00BD65B3" w:rsidP="00BD65B3">
            <w:pPr>
              <w:tabs>
                <w:tab w:val="left" w:pos="1977"/>
              </w:tabs>
              <w:spacing w:line="240" w:lineRule="auto"/>
              <w:jc w:val="right"/>
              <w:rPr>
                <w:rFonts w:eastAsia="Times New Roman" w:cs="Times New Roman"/>
                <w:b/>
                <w:bCs/>
                <w:color w:val="000000"/>
                <w:sz w:val="10"/>
                <w:szCs w:val="18"/>
              </w:rPr>
            </w:pPr>
          </w:p>
          <w:p w14:paraId="32133B3D" w14:textId="77777777" w:rsidR="001A39EC" w:rsidRDefault="001A39EC" w:rsidP="00BD65B3">
            <w:pPr>
              <w:tabs>
                <w:tab w:val="left" w:pos="1977"/>
              </w:tabs>
              <w:spacing w:line="240" w:lineRule="auto"/>
              <w:jc w:val="right"/>
              <w:rPr>
                <w:rFonts w:eastAsia="Times New Roman" w:cs="Times New Roman"/>
                <w:b/>
                <w:bCs/>
                <w:color w:val="000000"/>
                <w:sz w:val="18"/>
                <w:szCs w:val="18"/>
              </w:rPr>
            </w:pPr>
            <w:r w:rsidRPr="001A39EC">
              <w:rPr>
                <w:rFonts w:eastAsia="Times New Roman" w:cs="Times New Roman"/>
                <w:b/>
                <w:bCs/>
                <w:color w:val="000000"/>
                <w:sz w:val="18"/>
                <w:szCs w:val="18"/>
              </w:rPr>
              <w:t>Above Moderate</w:t>
            </w:r>
          </w:p>
          <w:p w14:paraId="3D6C8A9E" w14:textId="77777777" w:rsidR="00170E75" w:rsidRDefault="00170E75" w:rsidP="00BD65B3">
            <w:pPr>
              <w:tabs>
                <w:tab w:val="left" w:pos="1977"/>
              </w:tabs>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Income</w:t>
            </w:r>
          </w:p>
          <w:p w14:paraId="6333FBCD" w14:textId="26D46270" w:rsidR="00BD65B3" w:rsidRPr="001A39EC" w:rsidRDefault="00BD65B3" w:rsidP="00BD65B3">
            <w:pPr>
              <w:tabs>
                <w:tab w:val="left" w:pos="1977"/>
              </w:tabs>
              <w:spacing w:line="240" w:lineRule="auto"/>
              <w:jc w:val="right"/>
              <w:rPr>
                <w:rFonts w:eastAsia="Times New Roman" w:cs="Times New Roman"/>
                <w:b/>
                <w:bCs/>
                <w:color w:val="000000"/>
                <w:sz w:val="18"/>
                <w:szCs w:val="18"/>
              </w:rPr>
            </w:pPr>
          </w:p>
        </w:tc>
      </w:tr>
      <w:tr w:rsidR="00832690" w:rsidRPr="001A39EC" w14:paraId="79D80214" w14:textId="77777777" w:rsidTr="00BD65B3">
        <w:trPr>
          <w:trHeight w:val="320"/>
        </w:trPr>
        <w:tc>
          <w:tcPr>
            <w:tcW w:w="2535" w:type="dxa"/>
            <w:tcBorders>
              <w:top w:val="single" w:sz="2" w:space="0" w:color="auto"/>
              <w:left w:val="nil"/>
              <w:bottom w:val="single" w:sz="2" w:space="0" w:color="auto"/>
              <w:right w:val="nil"/>
            </w:tcBorders>
            <w:shd w:val="clear" w:color="auto" w:fill="auto"/>
            <w:noWrap/>
            <w:vAlign w:val="center"/>
            <w:hideMark/>
          </w:tcPr>
          <w:p w14:paraId="7F1059AF" w14:textId="080E9BFB" w:rsidR="00832690" w:rsidRPr="001A39EC" w:rsidRDefault="00832690" w:rsidP="00BD65B3">
            <w:pPr>
              <w:tabs>
                <w:tab w:val="left" w:pos="1977"/>
              </w:tabs>
              <w:ind w:right="-163"/>
              <w:rPr>
                <w:rFonts w:eastAsia="Times New Roman" w:cs="Times New Roman"/>
                <w:color w:val="000000"/>
                <w:sz w:val="18"/>
                <w:szCs w:val="18"/>
              </w:rPr>
            </w:pPr>
            <w:r w:rsidRPr="001A39EC">
              <w:rPr>
                <w:rFonts w:eastAsia="Times New Roman" w:cs="Times New Roman"/>
                <w:color w:val="000000"/>
                <w:sz w:val="18"/>
                <w:szCs w:val="18"/>
              </w:rPr>
              <w:t>Owner</w:t>
            </w:r>
            <w:r>
              <w:rPr>
                <w:rFonts w:eastAsia="Times New Roman" w:cs="Times New Roman"/>
                <w:color w:val="000000"/>
                <w:sz w:val="18"/>
                <w:szCs w:val="18"/>
              </w:rPr>
              <w:t>s</w:t>
            </w:r>
          </w:p>
        </w:tc>
        <w:tc>
          <w:tcPr>
            <w:tcW w:w="1620" w:type="dxa"/>
            <w:tcBorders>
              <w:top w:val="single" w:sz="2" w:space="0" w:color="auto"/>
              <w:left w:val="nil"/>
              <w:bottom w:val="single" w:sz="2" w:space="0" w:color="auto"/>
              <w:right w:val="nil"/>
            </w:tcBorders>
            <w:shd w:val="clear" w:color="auto" w:fill="auto"/>
            <w:noWrap/>
            <w:vAlign w:val="bottom"/>
            <w:hideMark/>
          </w:tcPr>
          <w:p w14:paraId="314D7860" w14:textId="6A65D9BA"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100%</w:t>
            </w:r>
          </w:p>
        </w:tc>
        <w:tc>
          <w:tcPr>
            <w:tcW w:w="1187" w:type="dxa"/>
            <w:tcBorders>
              <w:top w:val="single" w:sz="2" w:space="0" w:color="auto"/>
              <w:left w:val="nil"/>
              <w:bottom w:val="single" w:sz="2" w:space="0" w:color="auto"/>
              <w:right w:val="nil"/>
            </w:tcBorders>
            <w:shd w:val="clear" w:color="auto" w:fill="auto"/>
            <w:noWrap/>
            <w:vAlign w:val="bottom"/>
            <w:hideMark/>
          </w:tcPr>
          <w:p w14:paraId="040FC0A3" w14:textId="2B8C359A"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100%</w:t>
            </w:r>
          </w:p>
        </w:tc>
        <w:tc>
          <w:tcPr>
            <w:tcW w:w="1104" w:type="dxa"/>
            <w:tcBorders>
              <w:top w:val="single" w:sz="2" w:space="0" w:color="auto"/>
              <w:left w:val="nil"/>
              <w:bottom w:val="single" w:sz="2" w:space="0" w:color="auto"/>
              <w:right w:val="nil"/>
            </w:tcBorders>
            <w:shd w:val="clear" w:color="auto" w:fill="auto"/>
            <w:noWrap/>
            <w:vAlign w:val="bottom"/>
            <w:hideMark/>
          </w:tcPr>
          <w:p w14:paraId="6B5DE4CF" w14:textId="0ADC0F5C"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87%</w:t>
            </w:r>
          </w:p>
        </w:tc>
        <w:tc>
          <w:tcPr>
            <w:tcW w:w="1286" w:type="dxa"/>
            <w:tcBorders>
              <w:top w:val="single" w:sz="2" w:space="0" w:color="auto"/>
              <w:left w:val="nil"/>
              <w:bottom w:val="single" w:sz="2" w:space="0" w:color="auto"/>
              <w:right w:val="nil"/>
            </w:tcBorders>
            <w:shd w:val="clear" w:color="auto" w:fill="auto"/>
            <w:noWrap/>
            <w:vAlign w:val="bottom"/>
            <w:hideMark/>
          </w:tcPr>
          <w:p w14:paraId="0C1FD0DD" w14:textId="12222FF2"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100%</w:t>
            </w:r>
          </w:p>
        </w:tc>
        <w:tc>
          <w:tcPr>
            <w:tcW w:w="1256" w:type="dxa"/>
            <w:gridSpan w:val="2"/>
            <w:tcBorders>
              <w:top w:val="single" w:sz="2" w:space="0" w:color="auto"/>
              <w:left w:val="nil"/>
              <w:bottom w:val="single" w:sz="2" w:space="0" w:color="auto"/>
              <w:right w:val="nil"/>
            </w:tcBorders>
            <w:shd w:val="clear" w:color="auto" w:fill="auto"/>
            <w:noWrap/>
            <w:vAlign w:val="bottom"/>
            <w:hideMark/>
          </w:tcPr>
          <w:p w14:paraId="3B9C64E9" w14:textId="49DA5E5B"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97%</w:t>
            </w:r>
          </w:p>
        </w:tc>
      </w:tr>
      <w:tr w:rsidR="00832690" w:rsidRPr="001A39EC" w14:paraId="493CE60C" w14:textId="77777777" w:rsidTr="00BD65B3">
        <w:trPr>
          <w:trHeight w:val="320"/>
        </w:trPr>
        <w:tc>
          <w:tcPr>
            <w:tcW w:w="2535" w:type="dxa"/>
            <w:tcBorders>
              <w:top w:val="single" w:sz="2" w:space="0" w:color="auto"/>
              <w:left w:val="nil"/>
              <w:bottom w:val="single" w:sz="8" w:space="0" w:color="808080"/>
              <w:right w:val="nil"/>
            </w:tcBorders>
            <w:shd w:val="clear" w:color="auto" w:fill="auto"/>
            <w:noWrap/>
            <w:vAlign w:val="center"/>
            <w:hideMark/>
          </w:tcPr>
          <w:p w14:paraId="6ED4A562" w14:textId="338291B9" w:rsidR="00832690" w:rsidRPr="001A39EC" w:rsidRDefault="00832690" w:rsidP="00BD65B3">
            <w:pPr>
              <w:tabs>
                <w:tab w:val="left" w:pos="1977"/>
              </w:tabs>
              <w:ind w:right="-163"/>
              <w:rPr>
                <w:rFonts w:eastAsia="Times New Roman" w:cs="Times New Roman"/>
                <w:color w:val="000000"/>
                <w:sz w:val="18"/>
                <w:szCs w:val="18"/>
              </w:rPr>
            </w:pPr>
            <w:r w:rsidRPr="001A39EC">
              <w:rPr>
                <w:rFonts w:eastAsia="Times New Roman" w:cs="Times New Roman"/>
                <w:color w:val="000000"/>
                <w:sz w:val="18"/>
                <w:szCs w:val="18"/>
              </w:rPr>
              <w:t>Renter</w:t>
            </w:r>
            <w:r>
              <w:rPr>
                <w:rFonts w:eastAsia="Times New Roman" w:cs="Times New Roman"/>
                <w:color w:val="000000"/>
                <w:sz w:val="18"/>
                <w:szCs w:val="18"/>
              </w:rPr>
              <w:t>s</w:t>
            </w:r>
          </w:p>
        </w:tc>
        <w:tc>
          <w:tcPr>
            <w:tcW w:w="1620" w:type="dxa"/>
            <w:tcBorders>
              <w:top w:val="single" w:sz="2" w:space="0" w:color="auto"/>
              <w:left w:val="nil"/>
              <w:bottom w:val="single" w:sz="4" w:space="0" w:color="808080"/>
              <w:right w:val="nil"/>
            </w:tcBorders>
            <w:shd w:val="clear" w:color="auto" w:fill="auto"/>
            <w:noWrap/>
            <w:vAlign w:val="bottom"/>
            <w:hideMark/>
          </w:tcPr>
          <w:p w14:paraId="6ED9A4FF" w14:textId="378EC90C"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0%</w:t>
            </w:r>
          </w:p>
        </w:tc>
        <w:tc>
          <w:tcPr>
            <w:tcW w:w="1187" w:type="dxa"/>
            <w:tcBorders>
              <w:top w:val="single" w:sz="2" w:space="0" w:color="auto"/>
              <w:left w:val="nil"/>
              <w:bottom w:val="single" w:sz="4" w:space="0" w:color="808080"/>
              <w:right w:val="nil"/>
            </w:tcBorders>
            <w:shd w:val="clear" w:color="auto" w:fill="auto"/>
            <w:noWrap/>
            <w:vAlign w:val="bottom"/>
            <w:hideMark/>
          </w:tcPr>
          <w:p w14:paraId="2E9BC958" w14:textId="1B8600F8"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0%</w:t>
            </w:r>
          </w:p>
        </w:tc>
        <w:tc>
          <w:tcPr>
            <w:tcW w:w="1104" w:type="dxa"/>
            <w:tcBorders>
              <w:top w:val="single" w:sz="2" w:space="0" w:color="auto"/>
              <w:left w:val="nil"/>
              <w:bottom w:val="single" w:sz="4" w:space="0" w:color="808080"/>
              <w:right w:val="nil"/>
            </w:tcBorders>
            <w:shd w:val="clear" w:color="auto" w:fill="auto"/>
            <w:noWrap/>
            <w:vAlign w:val="bottom"/>
            <w:hideMark/>
          </w:tcPr>
          <w:p w14:paraId="2987EE71" w14:textId="71AAC903"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13%</w:t>
            </w:r>
          </w:p>
        </w:tc>
        <w:tc>
          <w:tcPr>
            <w:tcW w:w="1286" w:type="dxa"/>
            <w:tcBorders>
              <w:top w:val="single" w:sz="2" w:space="0" w:color="auto"/>
              <w:left w:val="nil"/>
              <w:bottom w:val="single" w:sz="4" w:space="0" w:color="808080"/>
              <w:right w:val="nil"/>
            </w:tcBorders>
            <w:shd w:val="clear" w:color="auto" w:fill="auto"/>
            <w:noWrap/>
            <w:vAlign w:val="bottom"/>
            <w:hideMark/>
          </w:tcPr>
          <w:p w14:paraId="5ED324BD" w14:textId="39DD2EC1"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0%</w:t>
            </w:r>
          </w:p>
        </w:tc>
        <w:tc>
          <w:tcPr>
            <w:tcW w:w="1256" w:type="dxa"/>
            <w:gridSpan w:val="2"/>
            <w:tcBorders>
              <w:top w:val="single" w:sz="2" w:space="0" w:color="auto"/>
              <w:left w:val="nil"/>
              <w:bottom w:val="single" w:sz="4" w:space="0" w:color="808080"/>
              <w:right w:val="nil"/>
            </w:tcBorders>
            <w:shd w:val="clear" w:color="auto" w:fill="auto"/>
            <w:noWrap/>
            <w:vAlign w:val="bottom"/>
            <w:hideMark/>
          </w:tcPr>
          <w:p w14:paraId="65354FA2" w14:textId="3604CACA"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3%</w:t>
            </w:r>
          </w:p>
        </w:tc>
      </w:tr>
      <w:tr w:rsidR="00832690" w:rsidRPr="001A39EC" w14:paraId="28C1A83D" w14:textId="77777777" w:rsidTr="00BD65B3">
        <w:trPr>
          <w:trHeight w:val="300"/>
        </w:trPr>
        <w:tc>
          <w:tcPr>
            <w:tcW w:w="2535" w:type="dxa"/>
            <w:tcBorders>
              <w:top w:val="nil"/>
              <w:left w:val="nil"/>
              <w:bottom w:val="single" w:sz="4" w:space="0" w:color="auto"/>
              <w:right w:val="nil"/>
            </w:tcBorders>
            <w:shd w:val="clear" w:color="auto" w:fill="auto"/>
            <w:noWrap/>
            <w:vAlign w:val="center"/>
            <w:hideMark/>
          </w:tcPr>
          <w:p w14:paraId="40523F4A" w14:textId="331D401F" w:rsidR="00832690" w:rsidRPr="001A39EC" w:rsidRDefault="00832690" w:rsidP="00BD65B3">
            <w:pPr>
              <w:tabs>
                <w:tab w:val="left" w:pos="1977"/>
              </w:tabs>
              <w:ind w:right="-163"/>
              <w:rPr>
                <w:rFonts w:eastAsia="Times New Roman" w:cs="Times New Roman"/>
                <w:color w:val="000000"/>
                <w:sz w:val="18"/>
                <w:szCs w:val="18"/>
              </w:rPr>
            </w:pPr>
            <w:r w:rsidRPr="001A39EC">
              <w:rPr>
                <w:rFonts w:eastAsia="Times New Roman" w:cs="Times New Roman"/>
                <w:color w:val="000000"/>
                <w:sz w:val="18"/>
                <w:szCs w:val="18"/>
              </w:rPr>
              <w:t>Total</w:t>
            </w:r>
            <w:r>
              <w:rPr>
                <w:rFonts w:eastAsia="Times New Roman" w:cs="Times New Roman"/>
                <w:color w:val="000000"/>
                <w:sz w:val="18"/>
                <w:szCs w:val="18"/>
              </w:rPr>
              <w:t xml:space="preserve"> Number</w:t>
            </w:r>
          </w:p>
        </w:tc>
        <w:tc>
          <w:tcPr>
            <w:tcW w:w="1620" w:type="dxa"/>
            <w:tcBorders>
              <w:top w:val="nil"/>
              <w:left w:val="nil"/>
              <w:bottom w:val="single" w:sz="4" w:space="0" w:color="auto"/>
              <w:right w:val="nil"/>
            </w:tcBorders>
            <w:shd w:val="clear" w:color="auto" w:fill="auto"/>
            <w:noWrap/>
            <w:vAlign w:val="bottom"/>
            <w:hideMark/>
          </w:tcPr>
          <w:p w14:paraId="2E52C70F" w14:textId="0A1E6F4C"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135</w:t>
            </w:r>
          </w:p>
        </w:tc>
        <w:tc>
          <w:tcPr>
            <w:tcW w:w="1187" w:type="dxa"/>
            <w:tcBorders>
              <w:top w:val="nil"/>
              <w:left w:val="nil"/>
              <w:bottom w:val="single" w:sz="4" w:space="0" w:color="auto"/>
              <w:right w:val="nil"/>
            </w:tcBorders>
            <w:shd w:val="clear" w:color="auto" w:fill="auto"/>
            <w:noWrap/>
            <w:vAlign w:val="bottom"/>
            <w:hideMark/>
          </w:tcPr>
          <w:p w14:paraId="38AB67BC" w14:textId="3ED3B988"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150</w:t>
            </w:r>
          </w:p>
        </w:tc>
        <w:tc>
          <w:tcPr>
            <w:tcW w:w="1104" w:type="dxa"/>
            <w:tcBorders>
              <w:top w:val="nil"/>
              <w:left w:val="nil"/>
              <w:bottom w:val="single" w:sz="4" w:space="0" w:color="auto"/>
              <w:right w:val="nil"/>
            </w:tcBorders>
            <w:shd w:val="clear" w:color="auto" w:fill="auto"/>
            <w:noWrap/>
            <w:vAlign w:val="bottom"/>
            <w:hideMark/>
          </w:tcPr>
          <w:p w14:paraId="22B7769C" w14:textId="0CB3D57B"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275</w:t>
            </w:r>
          </w:p>
        </w:tc>
        <w:tc>
          <w:tcPr>
            <w:tcW w:w="1286" w:type="dxa"/>
            <w:tcBorders>
              <w:top w:val="nil"/>
              <w:left w:val="nil"/>
              <w:bottom w:val="single" w:sz="4" w:space="0" w:color="auto"/>
              <w:right w:val="nil"/>
            </w:tcBorders>
            <w:shd w:val="clear" w:color="auto" w:fill="auto"/>
            <w:noWrap/>
            <w:vAlign w:val="bottom"/>
            <w:hideMark/>
          </w:tcPr>
          <w:p w14:paraId="734DF3F1" w14:textId="3CD60E16"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110</w:t>
            </w:r>
          </w:p>
        </w:tc>
        <w:tc>
          <w:tcPr>
            <w:tcW w:w="1256" w:type="dxa"/>
            <w:gridSpan w:val="2"/>
            <w:tcBorders>
              <w:top w:val="nil"/>
              <w:left w:val="nil"/>
              <w:bottom w:val="single" w:sz="4" w:space="0" w:color="auto"/>
              <w:right w:val="nil"/>
            </w:tcBorders>
            <w:shd w:val="clear" w:color="auto" w:fill="auto"/>
            <w:noWrap/>
            <w:vAlign w:val="bottom"/>
            <w:hideMark/>
          </w:tcPr>
          <w:p w14:paraId="10946A60" w14:textId="10969298" w:rsidR="00832690" w:rsidRPr="00A5720A" w:rsidRDefault="00832690" w:rsidP="00BD65B3">
            <w:pPr>
              <w:tabs>
                <w:tab w:val="left" w:pos="1977"/>
              </w:tabs>
              <w:jc w:val="right"/>
              <w:rPr>
                <w:rFonts w:eastAsia="Times New Roman" w:cs="Times New Roman"/>
                <w:color w:val="000000"/>
                <w:sz w:val="18"/>
                <w:szCs w:val="18"/>
                <w:highlight w:val="yellow"/>
              </w:rPr>
            </w:pPr>
            <w:r w:rsidRPr="008057A7">
              <w:rPr>
                <w:rFonts w:eastAsia="Times New Roman" w:cs="Times New Roman"/>
                <w:color w:val="000000"/>
                <w:sz w:val="18"/>
                <w:szCs w:val="18"/>
              </w:rPr>
              <w:t>2,980</w:t>
            </w:r>
          </w:p>
        </w:tc>
      </w:tr>
      <w:tr w:rsidR="00832690" w:rsidRPr="001A39EC" w14:paraId="6E4482CA" w14:textId="77777777" w:rsidTr="00832690">
        <w:trPr>
          <w:trHeight w:val="320"/>
        </w:trPr>
        <w:tc>
          <w:tcPr>
            <w:tcW w:w="2535" w:type="dxa"/>
            <w:tcBorders>
              <w:top w:val="nil"/>
              <w:left w:val="nil"/>
              <w:bottom w:val="single" w:sz="8" w:space="0" w:color="auto"/>
              <w:right w:val="nil"/>
            </w:tcBorders>
            <w:shd w:val="clear" w:color="auto" w:fill="auto"/>
            <w:noWrap/>
            <w:hideMark/>
          </w:tcPr>
          <w:p w14:paraId="5D7F49B0" w14:textId="77777777" w:rsidR="001C0A99" w:rsidRPr="001C0A99" w:rsidRDefault="001C0A99" w:rsidP="00BD65B3">
            <w:pPr>
              <w:tabs>
                <w:tab w:val="left" w:pos="1977"/>
              </w:tabs>
              <w:spacing w:line="240" w:lineRule="auto"/>
              <w:ind w:right="-163"/>
              <w:rPr>
                <w:rFonts w:eastAsia="Times New Roman" w:cs="Times New Roman"/>
                <w:color w:val="000000"/>
                <w:sz w:val="6"/>
                <w:szCs w:val="18"/>
              </w:rPr>
            </w:pPr>
          </w:p>
          <w:p w14:paraId="285FEAF4" w14:textId="034F1C31" w:rsidR="00832690" w:rsidRPr="001A39EC" w:rsidRDefault="00832690" w:rsidP="00BD65B3">
            <w:pPr>
              <w:tabs>
                <w:tab w:val="left" w:pos="1977"/>
              </w:tabs>
              <w:spacing w:line="240" w:lineRule="auto"/>
              <w:ind w:right="-163"/>
              <w:rPr>
                <w:rFonts w:eastAsia="Times New Roman" w:cs="Times New Roman"/>
                <w:color w:val="000000"/>
                <w:sz w:val="18"/>
                <w:szCs w:val="18"/>
              </w:rPr>
            </w:pPr>
            <w:r>
              <w:rPr>
                <w:rFonts w:eastAsia="Times New Roman" w:cs="Times New Roman"/>
                <w:color w:val="000000"/>
                <w:sz w:val="18"/>
                <w:szCs w:val="18"/>
              </w:rPr>
              <w:t>Percent</w:t>
            </w:r>
            <w:r w:rsidRPr="001A39EC">
              <w:rPr>
                <w:rFonts w:eastAsia="Times New Roman" w:cs="Times New Roman"/>
                <w:color w:val="000000"/>
                <w:sz w:val="18"/>
                <w:szCs w:val="18"/>
              </w:rPr>
              <w:t xml:space="preserve"> of all households</w:t>
            </w:r>
          </w:p>
        </w:tc>
        <w:tc>
          <w:tcPr>
            <w:tcW w:w="1620" w:type="dxa"/>
            <w:tcBorders>
              <w:top w:val="nil"/>
              <w:left w:val="nil"/>
              <w:bottom w:val="single" w:sz="8" w:space="0" w:color="auto"/>
              <w:right w:val="nil"/>
            </w:tcBorders>
            <w:shd w:val="clear" w:color="auto" w:fill="auto"/>
            <w:noWrap/>
            <w:vAlign w:val="center"/>
            <w:hideMark/>
          </w:tcPr>
          <w:p w14:paraId="02C54E5D" w14:textId="59297256" w:rsidR="00832690" w:rsidRPr="00A5720A" w:rsidRDefault="00832690" w:rsidP="00BD65B3">
            <w:pPr>
              <w:tabs>
                <w:tab w:val="left" w:pos="1977"/>
              </w:tabs>
              <w:spacing w:line="240" w:lineRule="auto"/>
              <w:jc w:val="right"/>
              <w:rPr>
                <w:rFonts w:eastAsia="Times New Roman" w:cs="Times New Roman"/>
                <w:color w:val="000000"/>
                <w:sz w:val="18"/>
                <w:szCs w:val="18"/>
                <w:highlight w:val="yellow"/>
              </w:rPr>
            </w:pPr>
            <w:r w:rsidRPr="008057A7">
              <w:rPr>
                <w:rFonts w:eastAsia="Times New Roman" w:cs="Times New Roman"/>
                <w:color w:val="000000"/>
                <w:sz w:val="18"/>
                <w:szCs w:val="18"/>
              </w:rPr>
              <w:t>4%</w:t>
            </w:r>
          </w:p>
        </w:tc>
        <w:tc>
          <w:tcPr>
            <w:tcW w:w="1187" w:type="dxa"/>
            <w:tcBorders>
              <w:top w:val="nil"/>
              <w:left w:val="nil"/>
              <w:bottom w:val="single" w:sz="8" w:space="0" w:color="auto"/>
              <w:right w:val="nil"/>
            </w:tcBorders>
            <w:shd w:val="clear" w:color="auto" w:fill="auto"/>
            <w:noWrap/>
            <w:vAlign w:val="center"/>
            <w:hideMark/>
          </w:tcPr>
          <w:p w14:paraId="665BF058" w14:textId="6E20A2D1" w:rsidR="00832690" w:rsidRPr="00A5720A" w:rsidRDefault="00832690" w:rsidP="00BD65B3">
            <w:pPr>
              <w:tabs>
                <w:tab w:val="left" w:pos="1977"/>
              </w:tabs>
              <w:spacing w:line="240" w:lineRule="auto"/>
              <w:jc w:val="right"/>
              <w:rPr>
                <w:rFonts w:eastAsia="Times New Roman" w:cs="Times New Roman"/>
                <w:color w:val="000000"/>
                <w:sz w:val="18"/>
                <w:szCs w:val="18"/>
                <w:highlight w:val="yellow"/>
              </w:rPr>
            </w:pPr>
            <w:r w:rsidRPr="008057A7">
              <w:rPr>
                <w:rFonts w:eastAsia="Times New Roman" w:cs="Times New Roman"/>
                <w:color w:val="000000"/>
                <w:sz w:val="18"/>
                <w:szCs w:val="18"/>
              </w:rPr>
              <w:t>4%</w:t>
            </w:r>
          </w:p>
        </w:tc>
        <w:tc>
          <w:tcPr>
            <w:tcW w:w="1104" w:type="dxa"/>
            <w:tcBorders>
              <w:top w:val="nil"/>
              <w:left w:val="nil"/>
              <w:bottom w:val="single" w:sz="8" w:space="0" w:color="auto"/>
              <w:right w:val="nil"/>
            </w:tcBorders>
            <w:shd w:val="clear" w:color="auto" w:fill="auto"/>
            <w:noWrap/>
            <w:vAlign w:val="center"/>
            <w:hideMark/>
          </w:tcPr>
          <w:p w14:paraId="70204067" w14:textId="78382645" w:rsidR="00832690" w:rsidRPr="00A5720A" w:rsidRDefault="00832690" w:rsidP="00BD65B3">
            <w:pPr>
              <w:tabs>
                <w:tab w:val="left" w:pos="1977"/>
              </w:tabs>
              <w:spacing w:line="240" w:lineRule="auto"/>
              <w:jc w:val="right"/>
              <w:rPr>
                <w:rFonts w:eastAsia="Times New Roman" w:cs="Times New Roman"/>
                <w:color w:val="000000"/>
                <w:sz w:val="18"/>
                <w:szCs w:val="18"/>
                <w:highlight w:val="yellow"/>
              </w:rPr>
            </w:pPr>
            <w:r w:rsidRPr="008057A7">
              <w:rPr>
                <w:rFonts w:eastAsia="Times New Roman" w:cs="Times New Roman"/>
                <w:color w:val="000000"/>
                <w:sz w:val="18"/>
                <w:szCs w:val="18"/>
              </w:rPr>
              <w:t>8%</w:t>
            </w:r>
          </w:p>
        </w:tc>
        <w:tc>
          <w:tcPr>
            <w:tcW w:w="1286" w:type="dxa"/>
            <w:tcBorders>
              <w:top w:val="nil"/>
              <w:left w:val="nil"/>
              <w:bottom w:val="single" w:sz="8" w:space="0" w:color="auto"/>
              <w:right w:val="nil"/>
            </w:tcBorders>
            <w:shd w:val="clear" w:color="auto" w:fill="auto"/>
            <w:noWrap/>
            <w:vAlign w:val="center"/>
            <w:hideMark/>
          </w:tcPr>
          <w:p w14:paraId="2053977F" w14:textId="1CADCDA9" w:rsidR="00832690" w:rsidRPr="00A5720A" w:rsidRDefault="00832690" w:rsidP="00BD65B3">
            <w:pPr>
              <w:tabs>
                <w:tab w:val="left" w:pos="1977"/>
              </w:tabs>
              <w:spacing w:line="240" w:lineRule="auto"/>
              <w:jc w:val="right"/>
              <w:rPr>
                <w:rFonts w:eastAsia="Times New Roman" w:cs="Times New Roman"/>
                <w:color w:val="000000"/>
                <w:sz w:val="18"/>
                <w:szCs w:val="18"/>
                <w:highlight w:val="yellow"/>
              </w:rPr>
            </w:pPr>
            <w:r w:rsidRPr="008057A7">
              <w:rPr>
                <w:rFonts w:eastAsia="Times New Roman" w:cs="Times New Roman"/>
                <w:color w:val="000000"/>
                <w:sz w:val="18"/>
                <w:szCs w:val="18"/>
              </w:rPr>
              <w:t>3%</w:t>
            </w:r>
          </w:p>
        </w:tc>
        <w:tc>
          <w:tcPr>
            <w:tcW w:w="1256" w:type="dxa"/>
            <w:gridSpan w:val="2"/>
            <w:tcBorders>
              <w:top w:val="nil"/>
              <w:left w:val="nil"/>
              <w:bottom w:val="single" w:sz="8" w:space="0" w:color="auto"/>
              <w:right w:val="nil"/>
            </w:tcBorders>
            <w:shd w:val="clear" w:color="auto" w:fill="auto"/>
            <w:noWrap/>
            <w:vAlign w:val="center"/>
            <w:hideMark/>
          </w:tcPr>
          <w:p w14:paraId="41E7A227" w14:textId="651BBAE6" w:rsidR="00832690" w:rsidRPr="00A5720A" w:rsidRDefault="00832690" w:rsidP="00BD65B3">
            <w:pPr>
              <w:tabs>
                <w:tab w:val="left" w:pos="1977"/>
              </w:tabs>
              <w:spacing w:line="240" w:lineRule="auto"/>
              <w:jc w:val="right"/>
              <w:rPr>
                <w:rFonts w:eastAsia="Times New Roman" w:cs="Times New Roman"/>
                <w:color w:val="000000"/>
                <w:sz w:val="18"/>
                <w:szCs w:val="18"/>
                <w:highlight w:val="yellow"/>
              </w:rPr>
            </w:pPr>
            <w:r w:rsidRPr="008057A7">
              <w:rPr>
                <w:rFonts w:eastAsia="Times New Roman" w:cs="Times New Roman"/>
                <w:color w:val="000000"/>
                <w:sz w:val="18"/>
                <w:szCs w:val="18"/>
              </w:rPr>
              <w:t>82%</w:t>
            </w:r>
          </w:p>
        </w:tc>
      </w:tr>
      <w:tr w:rsidR="001A39EC" w:rsidRPr="00170E75" w14:paraId="08AD13F9" w14:textId="77777777" w:rsidTr="00BD65B3">
        <w:trPr>
          <w:gridAfter w:val="1"/>
          <w:wAfter w:w="1185" w:type="dxa"/>
          <w:trHeight w:val="300"/>
        </w:trPr>
        <w:tc>
          <w:tcPr>
            <w:tcW w:w="7803" w:type="dxa"/>
            <w:gridSpan w:val="6"/>
            <w:tcBorders>
              <w:top w:val="single" w:sz="8" w:space="0" w:color="auto"/>
              <w:left w:val="nil"/>
              <w:bottom w:val="nil"/>
              <w:right w:val="nil"/>
            </w:tcBorders>
            <w:shd w:val="clear" w:color="auto" w:fill="auto"/>
            <w:noWrap/>
            <w:vAlign w:val="bottom"/>
            <w:hideMark/>
          </w:tcPr>
          <w:p w14:paraId="719E6F32" w14:textId="77777777" w:rsidR="00170E75" w:rsidRPr="00BD65B3" w:rsidRDefault="00170E75" w:rsidP="00170E75">
            <w:pPr>
              <w:spacing w:line="240" w:lineRule="auto"/>
              <w:rPr>
                <w:rFonts w:eastAsia="Times New Roman" w:cs="Times New Roman"/>
                <w:iCs/>
                <w:color w:val="000000"/>
                <w:sz w:val="12"/>
                <w:szCs w:val="16"/>
              </w:rPr>
            </w:pPr>
          </w:p>
          <w:p w14:paraId="555A6A4E" w14:textId="43B59470" w:rsidR="001A39EC" w:rsidRPr="00170E75" w:rsidRDefault="00170E75" w:rsidP="00170E75">
            <w:pPr>
              <w:spacing w:line="240" w:lineRule="auto"/>
              <w:rPr>
                <w:rFonts w:eastAsia="Times New Roman" w:cs="Times New Roman"/>
                <w:iCs/>
                <w:color w:val="000000"/>
                <w:sz w:val="18"/>
                <w:szCs w:val="16"/>
              </w:rPr>
            </w:pPr>
            <w:r>
              <w:rPr>
                <w:rFonts w:eastAsia="Times New Roman" w:cs="Times New Roman"/>
                <w:iCs/>
                <w:color w:val="000000"/>
                <w:sz w:val="18"/>
                <w:szCs w:val="16"/>
              </w:rPr>
              <w:t>Source</w:t>
            </w:r>
            <w:r w:rsidR="001A39EC" w:rsidRPr="00170E75">
              <w:rPr>
                <w:rFonts w:eastAsia="Times New Roman" w:cs="Times New Roman"/>
                <w:iCs/>
                <w:color w:val="000000"/>
                <w:sz w:val="18"/>
                <w:szCs w:val="16"/>
              </w:rPr>
              <w:t>: CHAS Data 2006-2010</w:t>
            </w:r>
          </w:p>
        </w:tc>
      </w:tr>
    </w:tbl>
    <w:p w14:paraId="3058D3D0" w14:textId="77777777" w:rsidR="00D25635" w:rsidRDefault="00D25635" w:rsidP="00067077">
      <w:pPr>
        <w:rPr>
          <w:b/>
          <w:u w:val="single"/>
        </w:rPr>
      </w:pPr>
    </w:p>
    <w:p w14:paraId="3B65A5AA" w14:textId="20D08783" w:rsidR="00BE6E94" w:rsidRPr="006C4E74" w:rsidRDefault="00BE6E94" w:rsidP="00BD65B3">
      <w:pPr>
        <w:pStyle w:val="heading10"/>
        <w:rPr>
          <w:color w:val="0B5095"/>
        </w:rPr>
      </w:pPr>
      <w:r w:rsidRPr="006C4E74">
        <w:rPr>
          <w:color w:val="0B5095"/>
        </w:rPr>
        <w:t xml:space="preserve">Housing San Mateo County’s </w:t>
      </w:r>
      <w:r w:rsidR="006C4E74" w:rsidRPr="006C4E74">
        <w:rPr>
          <w:color w:val="0B5095"/>
        </w:rPr>
        <w:t>W</w:t>
      </w:r>
      <w:r w:rsidRPr="006C4E74">
        <w:rPr>
          <w:color w:val="0B5095"/>
        </w:rPr>
        <w:t xml:space="preserve">orkforce </w:t>
      </w:r>
    </w:p>
    <w:p w14:paraId="70C515F8" w14:textId="0CF71536" w:rsidR="00BE6E94" w:rsidRDefault="00BE6E94" w:rsidP="00BD65B3">
      <w:pPr>
        <w:pStyle w:val="21ElementsText"/>
      </w:pPr>
      <w:r>
        <w:t xml:space="preserve">Though San Mateo County has a robust economy, much of its workforce cannot afford to live within the county. </w:t>
      </w:r>
      <w:r w:rsidR="00F50779">
        <w:t>Job growth has been strong, although cyclical, over the past 10 years, and is projected to continue. However, housing development has not kept up the pace with the growth in local jobs. According to the Department of Housing</w:t>
      </w:r>
      <w:r w:rsidR="004D1335">
        <w:t xml:space="preserve"> (Housing Needs Study, 2007)</w:t>
      </w:r>
      <w:r w:rsidR="00F50779">
        <w:t>, by 2025, San Mateo County’s supply of housing will only meet one third to one half of the demand. Additionally, 40 percent of new jobs in the county will pay lower income wage</w:t>
      </w:r>
      <w:r w:rsidR="00964F69">
        <w:t>s</w:t>
      </w:r>
      <w:r w:rsidR="00F50779">
        <w:t xml:space="preserve">. </w:t>
      </w:r>
      <w:r w:rsidR="00195DA8">
        <w:t xml:space="preserve"> </w:t>
      </w:r>
    </w:p>
    <w:p w14:paraId="53E8AE4C" w14:textId="77777777" w:rsidR="00BE6E94" w:rsidRDefault="00BE6E94" w:rsidP="00067077">
      <w:pPr>
        <w:pStyle w:val="21ElementsText"/>
      </w:pPr>
    </w:p>
    <w:p w14:paraId="20738655" w14:textId="0E265BA9" w:rsidR="00BE6E94" w:rsidRDefault="00BE6E94" w:rsidP="00067077">
      <w:pPr>
        <w:pStyle w:val="21ElementsText"/>
      </w:pPr>
      <w:r w:rsidRPr="000B3742">
        <w:t>A home me</w:t>
      </w:r>
      <w:r>
        <w:t>ets the s</w:t>
      </w:r>
      <w:r w:rsidR="00964F69">
        <w:t>tandard definition of affordability</w:t>
      </w:r>
      <w:r w:rsidRPr="000B3742">
        <w:t xml:space="preserve"> if it does not cost more than 30 percent of a household’s income. A household that spends more than 30 percent of its gross income on housing is </w:t>
      </w:r>
      <w:r w:rsidR="00964F69">
        <w:t>considered to be</w:t>
      </w:r>
      <w:r w:rsidR="00964F69" w:rsidRPr="000B3742">
        <w:t xml:space="preserve"> overpaying for housing.</w:t>
      </w:r>
      <w:r w:rsidR="00964F69">
        <w:t xml:space="preserve"> Housing that costs more than 30% of household </w:t>
      </w:r>
      <w:r w:rsidR="00507DBA">
        <w:t xml:space="preserve">income </w:t>
      </w:r>
      <w:r w:rsidR="00964F69">
        <w:t>is a more acute problem for lower income households, since there is less discretionary money for other necessities.</w:t>
      </w:r>
    </w:p>
    <w:p w14:paraId="0AF533DD" w14:textId="77777777" w:rsidR="00BE6E94" w:rsidRDefault="00BE6E94" w:rsidP="00067077">
      <w:pPr>
        <w:pStyle w:val="21ElementsText"/>
      </w:pPr>
    </w:p>
    <w:p w14:paraId="15E8B66A" w14:textId="77777777" w:rsidR="005D0111" w:rsidRPr="00431D66" w:rsidRDefault="005D0111" w:rsidP="005D0111">
      <w:pPr>
        <w:pStyle w:val="21ElementsText"/>
      </w:pPr>
      <w:r>
        <w:t xml:space="preserve">While individual household income conditions vary, an example can be useful to illustrate affordability conditions for a low income family in San Mateo County.  A four-person family with one parent working fulltime as a cook and the other parent working in retail, can afford a monthly rent of about $1,400 and a home sales price of $222,000. A single parent family with the adult working as a police officer would be considered moderate income, and can afford a monthly rent of about $2,400 and a home costing $374,000. Neither of these example households can afford San Mateo County’s median condominium, costing </w:t>
      </w:r>
      <w:r w:rsidRPr="000A45D8">
        <w:t>$579,418</w:t>
      </w:r>
      <w:r>
        <w:t xml:space="preserve">, or single-family home, which costs </w:t>
      </w:r>
      <w:r w:rsidRPr="000A45D8">
        <w:t>$1,246,121</w:t>
      </w:r>
      <w:r>
        <w:t xml:space="preserve"> (SAMCAR), although the example single-parent family can afford the median county rent of $2,234. </w:t>
      </w:r>
    </w:p>
    <w:p w14:paraId="7BD3559C" w14:textId="618C0415" w:rsidR="00BE6E94" w:rsidRDefault="00BE6E94" w:rsidP="00067077">
      <w:pPr>
        <w:pStyle w:val="21ElementsText"/>
      </w:pPr>
    </w:p>
    <w:p w14:paraId="43FE997F" w14:textId="64CC2EEF" w:rsidR="005B6E52" w:rsidRPr="00431D66" w:rsidRDefault="005B6E52" w:rsidP="00067077">
      <w:pPr>
        <w:pStyle w:val="21ElementsText"/>
      </w:pPr>
      <w:r>
        <w:t xml:space="preserve">Other examples of affordable home sales and rents based on occupation are shown in the table below. </w:t>
      </w:r>
    </w:p>
    <w:p w14:paraId="758847F1" w14:textId="77777777" w:rsidR="00BE6E94" w:rsidRPr="00256487" w:rsidRDefault="00BE6E94" w:rsidP="00067077">
      <w:pPr>
        <w:outlineLvl w:val="0"/>
        <w:rPr>
          <w:sz w:val="18"/>
          <w:u w:val="single"/>
        </w:rPr>
      </w:pPr>
    </w:p>
    <w:tbl>
      <w:tblPr>
        <w:tblW w:w="7161" w:type="dxa"/>
        <w:tblInd w:w="93" w:type="dxa"/>
        <w:tblLayout w:type="fixed"/>
        <w:tblLook w:val="04A0" w:firstRow="1" w:lastRow="0" w:firstColumn="1" w:lastColumn="0" w:noHBand="0" w:noVBand="1"/>
      </w:tblPr>
      <w:tblGrid>
        <w:gridCol w:w="2715"/>
        <w:gridCol w:w="1269"/>
        <w:gridCol w:w="1603"/>
        <w:gridCol w:w="1358"/>
        <w:gridCol w:w="180"/>
        <w:gridCol w:w="36"/>
      </w:tblGrid>
      <w:tr w:rsidR="00BE6E94" w:rsidRPr="00C34E66" w14:paraId="20DA26F8" w14:textId="77777777" w:rsidTr="00256487">
        <w:trPr>
          <w:gridAfter w:val="1"/>
          <w:wAfter w:w="36" w:type="dxa"/>
          <w:trHeight w:val="320"/>
        </w:trPr>
        <w:tc>
          <w:tcPr>
            <w:tcW w:w="7125" w:type="dxa"/>
            <w:gridSpan w:val="5"/>
            <w:tcBorders>
              <w:top w:val="nil"/>
              <w:left w:val="nil"/>
              <w:bottom w:val="nil"/>
              <w:right w:val="nil"/>
            </w:tcBorders>
            <w:shd w:val="clear" w:color="000000" w:fill="000000"/>
            <w:noWrap/>
            <w:vAlign w:val="bottom"/>
            <w:hideMark/>
          </w:tcPr>
          <w:p w14:paraId="083CD593" w14:textId="3281A5DD" w:rsidR="00BE6E94" w:rsidRPr="00C34E66" w:rsidRDefault="00BE6E94" w:rsidP="00BD65B3">
            <w:pPr>
              <w:rPr>
                <w:rFonts w:eastAsia="Times New Roman" w:cs="Times New Roman"/>
                <w:b/>
                <w:bCs/>
                <w:color w:val="FFFFFF"/>
                <w:sz w:val="20"/>
                <w:szCs w:val="20"/>
              </w:rPr>
            </w:pPr>
            <w:r w:rsidRPr="00C34E66">
              <w:rPr>
                <w:rFonts w:eastAsia="Times New Roman" w:cs="Times New Roman"/>
                <w:b/>
                <w:bCs/>
                <w:color w:val="FFFFFF"/>
                <w:sz w:val="20"/>
                <w:szCs w:val="20"/>
              </w:rPr>
              <w:t>H</w:t>
            </w:r>
            <w:r w:rsidR="00832690">
              <w:rPr>
                <w:rFonts w:eastAsia="Times New Roman" w:cs="Times New Roman"/>
                <w:b/>
                <w:bCs/>
                <w:color w:val="FFFFFF"/>
                <w:sz w:val="20"/>
                <w:szCs w:val="20"/>
              </w:rPr>
              <w:t>ome Affordability by Occupation (2013)</w:t>
            </w:r>
          </w:p>
        </w:tc>
      </w:tr>
      <w:tr w:rsidR="00BE6E94" w:rsidRPr="00964F69" w14:paraId="51141859" w14:textId="77777777" w:rsidTr="00256487">
        <w:trPr>
          <w:trHeight w:val="300"/>
        </w:trPr>
        <w:tc>
          <w:tcPr>
            <w:tcW w:w="2715" w:type="dxa"/>
            <w:tcBorders>
              <w:top w:val="single" w:sz="8" w:space="0" w:color="auto"/>
              <w:left w:val="nil"/>
              <w:bottom w:val="single" w:sz="4" w:space="0" w:color="auto"/>
              <w:right w:val="nil"/>
            </w:tcBorders>
            <w:shd w:val="clear" w:color="auto" w:fill="auto"/>
            <w:noWrap/>
            <w:vAlign w:val="bottom"/>
            <w:hideMark/>
          </w:tcPr>
          <w:p w14:paraId="48137247" w14:textId="77777777" w:rsidR="00BE6E94" w:rsidRPr="00964F69" w:rsidRDefault="00BE6E94" w:rsidP="00964F69">
            <w:pPr>
              <w:spacing w:line="240" w:lineRule="auto"/>
              <w:rPr>
                <w:rFonts w:eastAsia="Times New Roman" w:cs="Times New Roman"/>
                <w:b/>
                <w:bCs/>
                <w:color w:val="000000"/>
                <w:sz w:val="18"/>
                <w:szCs w:val="18"/>
              </w:rPr>
            </w:pPr>
            <w:r w:rsidRPr="00964F69">
              <w:rPr>
                <w:rFonts w:eastAsia="Times New Roman" w:cs="Times New Roman"/>
                <w:b/>
                <w:bCs/>
                <w:color w:val="000000"/>
                <w:sz w:val="18"/>
                <w:szCs w:val="18"/>
              </w:rPr>
              <w:t>Occupation</w:t>
            </w:r>
          </w:p>
          <w:p w14:paraId="6C15C544" w14:textId="77777777" w:rsidR="00964F69" w:rsidRPr="00964F69" w:rsidRDefault="00964F69" w:rsidP="00964F69">
            <w:pPr>
              <w:spacing w:line="240" w:lineRule="auto"/>
              <w:rPr>
                <w:rFonts w:eastAsia="Times New Roman" w:cs="Times New Roman"/>
                <w:b/>
                <w:bCs/>
                <w:color w:val="000000"/>
                <w:sz w:val="10"/>
                <w:szCs w:val="18"/>
              </w:rPr>
            </w:pPr>
          </w:p>
        </w:tc>
        <w:tc>
          <w:tcPr>
            <w:tcW w:w="1269" w:type="dxa"/>
            <w:tcBorders>
              <w:top w:val="single" w:sz="8" w:space="0" w:color="auto"/>
              <w:left w:val="nil"/>
              <w:bottom w:val="single" w:sz="4" w:space="0" w:color="auto"/>
              <w:right w:val="nil"/>
            </w:tcBorders>
            <w:shd w:val="clear" w:color="auto" w:fill="auto"/>
            <w:noWrap/>
            <w:vAlign w:val="bottom"/>
            <w:hideMark/>
          </w:tcPr>
          <w:p w14:paraId="531CF517" w14:textId="77777777" w:rsidR="00964F69" w:rsidRPr="00964F69" w:rsidRDefault="00964F69" w:rsidP="005B6E52">
            <w:pPr>
              <w:spacing w:line="240" w:lineRule="auto"/>
              <w:jc w:val="right"/>
              <w:rPr>
                <w:rFonts w:eastAsia="Times New Roman" w:cs="Times New Roman"/>
                <w:b/>
                <w:color w:val="000000"/>
                <w:sz w:val="18"/>
                <w:szCs w:val="18"/>
              </w:rPr>
            </w:pPr>
          </w:p>
          <w:p w14:paraId="18F347BA" w14:textId="77777777" w:rsidR="00BE6E94" w:rsidRPr="00964F69" w:rsidRDefault="00BE6E94" w:rsidP="005B6E52">
            <w:pPr>
              <w:spacing w:line="240" w:lineRule="auto"/>
              <w:jc w:val="right"/>
              <w:rPr>
                <w:rFonts w:eastAsia="Times New Roman" w:cs="Times New Roman"/>
                <w:b/>
                <w:color w:val="000000"/>
                <w:sz w:val="18"/>
                <w:szCs w:val="18"/>
              </w:rPr>
            </w:pPr>
            <w:r w:rsidRPr="00964F69">
              <w:rPr>
                <w:rFonts w:eastAsia="Times New Roman" w:cs="Times New Roman"/>
                <w:b/>
                <w:color w:val="000000"/>
                <w:sz w:val="18"/>
                <w:szCs w:val="18"/>
              </w:rPr>
              <w:t>Annual Salary</w:t>
            </w:r>
          </w:p>
          <w:p w14:paraId="1A3DC55B" w14:textId="77777777" w:rsidR="00964F69" w:rsidRPr="00964F69" w:rsidRDefault="00964F69" w:rsidP="005B6E52">
            <w:pPr>
              <w:spacing w:line="240" w:lineRule="auto"/>
              <w:jc w:val="right"/>
              <w:rPr>
                <w:rFonts w:eastAsia="Times New Roman" w:cs="Times New Roman"/>
                <w:b/>
                <w:color w:val="000000"/>
                <w:sz w:val="10"/>
                <w:szCs w:val="18"/>
              </w:rPr>
            </w:pPr>
          </w:p>
        </w:tc>
        <w:tc>
          <w:tcPr>
            <w:tcW w:w="1603" w:type="dxa"/>
            <w:tcBorders>
              <w:top w:val="single" w:sz="8" w:space="0" w:color="auto"/>
              <w:left w:val="nil"/>
              <w:bottom w:val="single" w:sz="4" w:space="0" w:color="auto"/>
              <w:right w:val="nil"/>
            </w:tcBorders>
            <w:shd w:val="clear" w:color="auto" w:fill="auto"/>
            <w:noWrap/>
            <w:vAlign w:val="bottom"/>
            <w:hideMark/>
          </w:tcPr>
          <w:p w14:paraId="2D13E11D" w14:textId="77777777" w:rsidR="00BE6E94" w:rsidRPr="00964F69" w:rsidRDefault="00BE6E94" w:rsidP="00964F69">
            <w:pPr>
              <w:spacing w:line="240" w:lineRule="auto"/>
              <w:jc w:val="right"/>
              <w:rPr>
                <w:rFonts w:eastAsia="Times New Roman" w:cs="Times New Roman"/>
                <w:b/>
                <w:color w:val="000000"/>
                <w:sz w:val="18"/>
                <w:szCs w:val="18"/>
              </w:rPr>
            </w:pPr>
            <w:r w:rsidRPr="00964F69">
              <w:rPr>
                <w:rFonts w:eastAsia="Times New Roman" w:cs="Times New Roman"/>
                <w:b/>
                <w:color w:val="000000"/>
                <w:sz w:val="18"/>
                <w:szCs w:val="18"/>
              </w:rPr>
              <w:t>Affordable Home</w:t>
            </w:r>
          </w:p>
          <w:p w14:paraId="4EC8ED14" w14:textId="77777777" w:rsidR="00964F69" w:rsidRPr="00964F69" w:rsidRDefault="00964F69" w:rsidP="00964F69">
            <w:pPr>
              <w:spacing w:line="240" w:lineRule="auto"/>
              <w:jc w:val="right"/>
              <w:rPr>
                <w:rFonts w:eastAsia="Times New Roman" w:cs="Times New Roman"/>
                <w:b/>
                <w:color w:val="000000"/>
                <w:sz w:val="10"/>
                <w:szCs w:val="18"/>
              </w:rPr>
            </w:pPr>
          </w:p>
        </w:tc>
        <w:tc>
          <w:tcPr>
            <w:tcW w:w="1574" w:type="dxa"/>
            <w:gridSpan w:val="3"/>
            <w:tcBorders>
              <w:top w:val="single" w:sz="8" w:space="0" w:color="auto"/>
              <w:left w:val="nil"/>
              <w:bottom w:val="single" w:sz="4" w:space="0" w:color="auto"/>
              <w:right w:val="nil"/>
            </w:tcBorders>
            <w:shd w:val="clear" w:color="auto" w:fill="auto"/>
            <w:noWrap/>
            <w:vAlign w:val="bottom"/>
            <w:hideMark/>
          </w:tcPr>
          <w:p w14:paraId="72F6BF98" w14:textId="77777777" w:rsidR="00256487" w:rsidRDefault="00BE6E94" w:rsidP="00964F69">
            <w:pPr>
              <w:spacing w:line="240" w:lineRule="auto"/>
              <w:jc w:val="right"/>
              <w:rPr>
                <w:rFonts w:eastAsia="Times New Roman" w:cs="Times New Roman"/>
                <w:b/>
                <w:color w:val="000000"/>
                <w:sz w:val="18"/>
                <w:szCs w:val="18"/>
              </w:rPr>
            </w:pPr>
            <w:r w:rsidRPr="00964F69">
              <w:rPr>
                <w:rFonts w:eastAsia="Times New Roman" w:cs="Times New Roman"/>
                <w:b/>
                <w:color w:val="000000"/>
                <w:sz w:val="18"/>
                <w:szCs w:val="18"/>
              </w:rPr>
              <w:t xml:space="preserve">Affordable </w:t>
            </w:r>
          </w:p>
          <w:p w14:paraId="6EAFEEC6" w14:textId="7F2122A0" w:rsidR="00BE6E94" w:rsidRPr="00964F69" w:rsidRDefault="00BE6E94" w:rsidP="00964F69">
            <w:pPr>
              <w:spacing w:line="240" w:lineRule="auto"/>
              <w:jc w:val="right"/>
              <w:rPr>
                <w:rFonts w:eastAsia="Times New Roman" w:cs="Times New Roman"/>
                <w:b/>
                <w:color w:val="000000"/>
                <w:sz w:val="18"/>
                <w:szCs w:val="18"/>
              </w:rPr>
            </w:pPr>
            <w:r w:rsidRPr="00964F69">
              <w:rPr>
                <w:rFonts w:eastAsia="Times New Roman" w:cs="Times New Roman"/>
                <w:b/>
                <w:color w:val="000000"/>
                <w:sz w:val="18"/>
                <w:szCs w:val="18"/>
              </w:rPr>
              <w:t>Rent</w:t>
            </w:r>
          </w:p>
          <w:p w14:paraId="0D3BFAE0" w14:textId="77777777" w:rsidR="00964F69" w:rsidRPr="00964F69" w:rsidRDefault="00964F69" w:rsidP="00964F69">
            <w:pPr>
              <w:spacing w:line="240" w:lineRule="auto"/>
              <w:jc w:val="right"/>
              <w:rPr>
                <w:rFonts w:eastAsia="Times New Roman" w:cs="Times New Roman"/>
                <w:b/>
                <w:color w:val="000000"/>
                <w:sz w:val="10"/>
                <w:szCs w:val="18"/>
              </w:rPr>
            </w:pPr>
          </w:p>
        </w:tc>
      </w:tr>
      <w:tr w:rsidR="00BE6E94" w:rsidRPr="00C34E66" w14:paraId="37E66F08" w14:textId="77777777" w:rsidTr="00256487">
        <w:trPr>
          <w:trHeight w:val="300"/>
        </w:trPr>
        <w:tc>
          <w:tcPr>
            <w:tcW w:w="2715" w:type="dxa"/>
            <w:tcBorders>
              <w:top w:val="nil"/>
              <w:left w:val="nil"/>
              <w:bottom w:val="single" w:sz="4" w:space="0" w:color="808080"/>
              <w:right w:val="nil"/>
            </w:tcBorders>
            <w:shd w:val="clear" w:color="auto" w:fill="auto"/>
            <w:noWrap/>
            <w:vAlign w:val="bottom"/>
            <w:hideMark/>
          </w:tcPr>
          <w:p w14:paraId="0AF6F849" w14:textId="77777777" w:rsidR="00BE6E94" w:rsidRPr="00C34E66" w:rsidRDefault="00BE6E94" w:rsidP="00067077">
            <w:pPr>
              <w:rPr>
                <w:rFonts w:eastAsia="Times New Roman" w:cs="Times New Roman"/>
                <w:color w:val="000000"/>
                <w:sz w:val="18"/>
                <w:szCs w:val="18"/>
              </w:rPr>
            </w:pPr>
            <w:r w:rsidRPr="00C34E66">
              <w:rPr>
                <w:rFonts w:eastAsia="Times New Roman" w:cs="Times New Roman"/>
                <w:color w:val="000000"/>
                <w:sz w:val="18"/>
                <w:szCs w:val="18"/>
              </w:rPr>
              <w:t>Elementary School Teacher</w:t>
            </w:r>
          </w:p>
        </w:tc>
        <w:tc>
          <w:tcPr>
            <w:tcW w:w="1269" w:type="dxa"/>
            <w:tcBorders>
              <w:top w:val="nil"/>
              <w:left w:val="nil"/>
              <w:bottom w:val="nil"/>
              <w:right w:val="nil"/>
            </w:tcBorders>
            <w:shd w:val="clear" w:color="auto" w:fill="auto"/>
            <w:noWrap/>
            <w:vAlign w:val="bottom"/>
            <w:hideMark/>
          </w:tcPr>
          <w:p w14:paraId="3F9FB5DA" w14:textId="77777777" w:rsidR="00BE6E94" w:rsidRPr="00C34E66" w:rsidRDefault="00BE6E94" w:rsidP="005B6E52">
            <w:pPr>
              <w:jc w:val="right"/>
              <w:rPr>
                <w:rFonts w:eastAsia="Times New Roman" w:cs="Times New Roman"/>
                <w:color w:val="000000"/>
                <w:sz w:val="18"/>
                <w:szCs w:val="18"/>
              </w:rPr>
            </w:pPr>
            <w:r w:rsidRPr="00C34E66">
              <w:rPr>
                <w:rFonts w:eastAsia="Times New Roman" w:cs="Times New Roman"/>
                <w:color w:val="000000"/>
                <w:sz w:val="18"/>
                <w:szCs w:val="18"/>
              </w:rPr>
              <w:t>$66,590</w:t>
            </w:r>
          </w:p>
        </w:tc>
        <w:tc>
          <w:tcPr>
            <w:tcW w:w="1603" w:type="dxa"/>
            <w:tcBorders>
              <w:top w:val="nil"/>
              <w:left w:val="nil"/>
              <w:bottom w:val="nil"/>
              <w:right w:val="nil"/>
            </w:tcBorders>
            <w:shd w:val="clear" w:color="auto" w:fill="auto"/>
            <w:noWrap/>
            <w:vAlign w:val="bottom"/>
            <w:hideMark/>
          </w:tcPr>
          <w:p w14:paraId="6D1041E9"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$255,805</w:t>
            </w:r>
          </w:p>
        </w:tc>
        <w:tc>
          <w:tcPr>
            <w:tcW w:w="1574" w:type="dxa"/>
            <w:gridSpan w:val="3"/>
            <w:tcBorders>
              <w:top w:val="nil"/>
              <w:left w:val="nil"/>
              <w:bottom w:val="nil"/>
              <w:right w:val="nil"/>
            </w:tcBorders>
            <w:shd w:val="clear" w:color="auto" w:fill="auto"/>
            <w:noWrap/>
            <w:vAlign w:val="bottom"/>
            <w:hideMark/>
          </w:tcPr>
          <w:p w14:paraId="23BD800E"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$1,665</w:t>
            </w:r>
          </w:p>
        </w:tc>
      </w:tr>
      <w:tr w:rsidR="00BE6E94" w:rsidRPr="00C34E66" w14:paraId="6F6ACF47" w14:textId="77777777" w:rsidTr="00256487">
        <w:trPr>
          <w:trHeight w:val="300"/>
        </w:trPr>
        <w:tc>
          <w:tcPr>
            <w:tcW w:w="2715" w:type="dxa"/>
            <w:tcBorders>
              <w:top w:val="nil"/>
              <w:left w:val="nil"/>
              <w:bottom w:val="single" w:sz="4" w:space="0" w:color="808080"/>
              <w:right w:val="nil"/>
            </w:tcBorders>
            <w:shd w:val="clear" w:color="auto" w:fill="auto"/>
            <w:noWrap/>
            <w:vAlign w:val="bottom"/>
            <w:hideMark/>
          </w:tcPr>
          <w:p w14:paraId="1E3E467F" w14:textId="77777777" w:rsidR="00BE6E94" w:rsidRPr="00C34E66" w:rsidRDefault="00BE6E94" w:rsidP="00067077">
            <w:pPr>
              <w:rPr>
                <w:rFonts w:eastAsia="Times New Roman" w:cs="Times New Roman"/>
                <w:color w:val="000000"/>
                <w:sz w:val="18"/>
                <w:szCs w:val="18"/>
              </w:rPr>
            </w:pPr>
            <w:r w:rsidRPr="00C34E66">
              <w:rPr>
                <w:rFonts w:eastAsia="Times New Roman" w:cs="Times New Roman"/>
                <w:color w:val="000000"/>
                <w:sz w:val="18"/>
                <w:szCs w:val="18"/>
              </w:rPr>
              <w:t>Police Officer</w:t>
            </w:r>
          </w:p>
        </w:tc>
        <w:tc>
          <w:tcPr>
            <w:tcW w:w="1269" w:type="dxa"/>
            <w:tcBorders>
              <w:top w:val="single" w:sz="4" w:space="0" w:color="auto"/>
              <w:left w:val="nil"/>
              <w:bottom w:val="single" w:sz="4" w:space="0" w:color="808080"/>
              <w:right w:val="nil"/>
            </w:tcBorders>
            <w:shd w:val="clear" w:color="auto" w:fill="auto"/>
            <w:noWrap/>
            <w:vAlign w:val="bottom"/>
            <w:hideMark/>
          </w:tcPr>
          <w:p w14:paraId="56233FA4" w14:textId="77777777" w:rsidR="00BE6E94" w:rsidRPr="00C34E66" w:rsidRDefault="00BE6E94" w:rsidP="005B6E52">
            <w:pPr>
              <w:jc w:val="right"/>
              <w:rPr>
                <w:rFonts w:eastAsia="Times New Roman" w:cs="Times New Roman"/>
                <w:color w:val="000000"/>
                <w:sz w:val="18"/>
                <w:szCs w:val="18"/>
              </w:rPr>
            </w:pPr>
            <w:r w:rsidRPr="00C34E66">
              <w:rPr>
                <w:rFonts w:eastAsia="Times New Roman" w:cs="Times New Roman"/>
                <w:color w:val="000000"/>
                <w:sz w:val="18"/>
                <w:szCs w:val="18"/>
              </w:rPr>
              <w:t>$97,487</w:t>
            </w:r>
          </w:p>
        </w:tc>
        <w:tc>
          <w:tcPr>
            <w:tcW w:w="1603" w:type="dxa"/>
            <w:tcBorders>
              <w:top w:val="single" w:sz="4" w:space="0" w:color="auto"/>
              <w:left w:val="nil"/>
              <w:bottom w:val="single" w:sz="4" w:space="0" w:color="808080"/>
              <w:right w:val="nil"/>
            </w:tcBorders>
            <w:shd w:val="clear" w:color="auto" w:fill="auto"/>
            <w:noWrap/>
            <w:vAlign w:val="bottom"/>
            <w:hideMark/>
          </w:tcPr>
          <w:p w14:paraId="214D57B0"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$374,495</w:t>
            </w:r>
          </w:p>
        </w:tc>
        <w:tc>
          <w:tcPr>
            <w:tcW w:w="1574" w:type="dxa"/>
            <w:gridSpan w:val="3"/>
            <w:tcBorders>
              <w:top w:val="single" w:sz="4" w:space="0" w:color="auto"/>
              <w:left w:val="nil"/>
              <w:bottom w:val="single" w:sz="4" w:space="0" w:color="808080"/>
              <w:right w:val="nil"/>
            </w:tcBorders>
            <w:shd w:val="clear" w:color="auto" w:fill="auto"/>
            <w:noWrap/>
            <w:vAlign w:val="bottom"/>
            <w:hideMark/>
          </w:tcPr>
          <w:p w14:paraId="2F29BE00"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$2,437</w:t>
            </w:r>
          </w:p>
        </w:tc>
      </w:tr>
      <w:tr w:rsidR="00BE6E94" w:rsidRPr="00C34E66" w14:paraId="2C1C0AD2" w14:textId="77777777" w:rsidTr="00256487">
        <w:trPr>
          <w:trHeight w:val="300"/>
        </w:trPr>
        <w:tc>
          <w:tcPr>
            <w:tcW w:w="2715" w:type="dxa"/>
            <w:tcBorders>
              <w:top w:val="nil"/>
              <w:left w:val="nil"/>
              <w:bottom w:val="single" w:sz="4" w:space="0" w:color="808080"/>
              <w:right w:val="nil"/>
            </w:tcBorders>
            <w:shd w:val="clear" w:color="auto" w:fill="auto"/>
            <w:noWrap/>
            <w:vAlign w:val="bottom"/>
            <w:hideMark/>
          </w:tcPr>
          <w:p w14:paraId="6F9EC95B" w14:textId="77777777" w:rsidR="00BE6E94" w:rsidRPr="00C34E66" w:rsidRDefault="00BE6E94" w:rsidP="00067077">
            <w:pPr>
              <w:rPr>
                <w:rFonts w:eastAsia="Times New Roman" w:cs="Times New Roman"/>
                <w:color w:val="000000"/>
                <w:sz w:val="18"/>
                <w:szCs w:val="18"/>
              </w:rPr>
            </w:pPr>
            <w:r w:rsidRPr="00C34E66">
              <w:rPr>
                <w:rFonts w:eastAsia="Times New Roman" w:cs="Times New Roman"/>
                <w:color w:val="000000"/>
                <w:sz w:val="18"/>
                <w:szCs w:val="18"/>
              </w:rPr>
              <w:t>Cook</w:t>
            </w:r>
          </w:p>
        </w:tc>
        <w:tc>
          <w:tcPr>
            <w:tcW w:w="1269" w:type="dxa"/>
            <w:tcBorders>
              <w:top w:val="nil"/>
              <w:left w:val="nil"/>
              <w:bottom w:val="single" w:sz="4" w:space="0" w:color="808080"/>
              <w:right w:val="nil"/>
            </w:tcBorders>
            <w:shd w:val="clear" w:color="auto" w:fill="auto"/>
            <w:noWrap/>
            <w:vAlign w:val="bottom"/>
            <w:hideMark/>
          </w:tcPr>
          <w:p w14:paraId="399F9DEC" w14:textId="77777777" w:rsidR="00BE6E94" w:rsidRPr="00C34E66" w:rsidRDefault="00BE6E94" w:rsidP="005B6E52">
            <w:pPr>
              <w:jc w:val="right"/>
              <w:rPr>
                <w:rFonts w:eastAsia="Times New Roman" w:cs="Times New Roman"/>
                <w:color w:val="000000"/>
                <w:sz w:val="18"/>
                <w:szCs w:val="18"/>
              </w:rPr>
            </w:pPr>
            <w:r w:rsidRPr="00C34E66">
              <w:rPr>
                <w:rFonts w:eastAsia="Times New Roman" w:cs="Times New Roman"/>
                <w:color w:val="000000"/>
                <w:sz w:val="18"/>
                <w:szCs w:val="18"/>
              </w:rPr>
              <w:t>$29,247</w:t>
            </w:r>
          </w:p>
        </w:tc>
        <w:tc>
          <w:tcPr>
            <w:tcW w:w="1603" w:type="dxa"/>
            <w:tcBorders>
              <w:top w:val="nil"/>
              <w:left w:val="nil"/>
              <w:bottom w:val="single" w:sz="4" w:space="0" w:color="808080"/>
              <w:right w:val="nil"/>
            </w:tcBorders>
            <w:shd w:val="clear" w:color="auto" w:fill="auto"/>
            <w:noWrap/>
            <w:vAlign w:val="bottom"/>
            <w:hideMark/>
          </w:tcPr>
          <w:p w14:paraId="3B7A35EF"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$112,352</w:t>
            </w:r>
          </w:p>
        </w:tc>
        <w:tc>
          <w:tcPr>
            <w:tcW w:w="1574" w:type="dxa"/>
            <w:gridSpan w:val="3"/>
            <w:tcBorders>
              <w:top w:val="nil"/>
              <w:left w:val="nil"/>
              <w:bottom w:val="single" w:sz="4" w:space="0" w:color="808080"/>
              <w:right w:val="nil"/>
            </w:tcBorders>
            <w:shd w:val="clear" w:color="auto" w:fill="auto"/>
            <w:noWrap/>
            <w:vAlign w:val="bottom"/>
            <w:hideMark/>
          </w:tcPr>
          <w:p w14:paraId="5A73EB70"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$731</w:t>
            </w:r>
          </w:p>
        </w:tc>
      </w:tr>
      <w:tr w:rsidR="00BE6E94" w:rsidRPr="00C34E66" w14:paraId="26B2EB63" w14:textId="77777777" w:rsidTr="00256487">
        <w:trPr>
          <w:trHeight w:val="300"/>
        </w:trPr>
        <w:tc>
          <w:tcPr>
            <w:tcW w:w="2715" w:type="dxa"/>
            <w:tcBorders>
              <w:top w:val="nil"/>
              <w:left w:val="nil"/>
              <w:bottom w:val="single" w:sz="4" w:space="0" w:color="808080"/>
              <w:right w:val="nil"/>
            </w:tcBorders>
            <w:shd w:val="clear" w:color="auto" w:fill="auto"/>
            <w:noWrap/>
            <w:vAlign w:val="bottom"/>
            <w:hideMark/>
          </w:tcPr>
          <w:p w14:paraId="4AD7D9AE" w14:textId="77777777" w:rsidR="00BE6E94" w:rsidRPr="00C34E66" w:rsidRDefault="00BE6E94" w:rsidP="00067077">
            <w:pPr>
              <w:rPr>
                <w:rFonts w:eastAsia="Times New Roman" w:cs="Times New Roman"/>
                <w:color w:val="000000"/>
                <w:sz w:val="18"/>
                <w:szCs w:val="18"/>
              </w:rPr>
            </w:pPr>
            <w:r w:rsidRPr="00C34E66">
              <w:rPr>
                <w:rFonts w:eastAsia="Times New Roman" w:cs="Times New Roman"/>
                <w:color w:val="000000"/>
                <w:sz w:val="18"/>
                <w:szCs w:val="18"/>
              </w:rPr>
              <w:t>Retail Salesperson</w:t>
            </w:r>
          </w:p>
        </w:tc>
        <w:tc>
          <w:tcPr>
            <w:tcW w:w="1269" w:type="dxa"/>
            <w:tcBorders>
              <w:top w:val="nil"/>
              <w:left w:val="nil"/>
              <w:bottom w:val="single" w:sz="4" w:space="0" w:color="808080"/>
              <w:right w:val="nil"/>
            </w:tcBorders>
            <w:shd w:val="clear" w:color="auto" w:fill="auto"/>
            <w:noWrap/>
            <w:vAlign w:val="bottom"/>
            <w:hideMark/>
          </w:tcPr>
          <w:p w14:paraId="55C6B550" w14:textId="77777777" w:rsidR="00BE6E94" w:rsidRPr="00C34E66" w:rsidRDefault="00BE6E94" w:rsidP="005B6E52">
            <w:pPr>
              <w:jc w:val="right"/>
              <w:rPr>
                <w:rFonts w:eastAsia="Times New Roman" w:cs="Times New Roman"/>
                <w:color w:val="000000"/>
                <w:sz w:val="18"/>
                <w:szCs w:val="18"/>
              </w:rPr>
            </w:pPr>
            <w:r w:rsidRPr="00C34E66">
              <w:rPr>
                <w:rFonts w:eastAsia="Times New Roman" w:cs="Times New Roman"/>
                <w:color w:val="000000"/>
                <w:sz w:val="18"/>
                <w:szCs w:val="18"/>
              </w:rPr>
              <w:t>$28,427</w:t>
            </w:r>
          </w:p>
        </w:tc>
        <w:tc>
          <w:tcPr>
            <w:tcW w:w="1603" w:type="dxa"/>
            <w:tcBorders>
              <w:top w:val="nil"/>
              <w:left w:val="nil"/>
              <w:bottom w:val="single" w:sz="4" w:space="0" w:color="808080"/>
              <w:right w:val="nil"/>
            </w:tcBorders>
            <w:shd w:val="clear" w:color="auto" w:fill="auto"/>
            <w:noWrap/>
            <w:vAlign w:val="bottom"/>
            <w:hideMark/>
          </w:tcPr>
          <w:p w14:paraId="43269461"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$109,202</w:t>
            </w:r>
          </w:p>
        </w:tc>
        <w:tc>
          <w:tcPr>
            <w:tcW w:w="1574" w:type="dxa"/>
            <w:gridSpan w:val="3"/>
            <w:tcBorders>
              <w:top w:val="nil"/>
              <w:left w:val="nil"/>
              <w:bottom w:val="single" w:sz="4" w:space="0" w:color="808080"/>
              <w:right w:val="nil"/>
            </w:tcBorders>
            <w:shd w:val="clear" w:color="auto" w:fill="auto"/>
            <w:noWrap/>
            <w:vAlign w:val="bottom"/>
            <w:hideMark/>
          </w:tcPr>
          <w:p w14:paraId="3A1730AB"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$711</w:t>
            </w:r>
          </w:p>
        </w:tc>
      </w:tr>
      <w:tr w:rsidR="00BE6E94" w:rsidRPr="00C34E66" w14:paraId="6F9A2D1E" w14:textId="77777777" w:rsidTr="00256487">
        <w:trPr>
          <w:trHeight w:val="300"/>
        </w:trPr>
        <w:tc>
          <w:tcPr>
            <w:tcW w:w="2715" w:type="dxa"/>
            <w:tcBorders>
              <w:top w:val="nil"/>
              <w:left w:val="nil"/>
              <w:bottom w:val="single" w:sz="4" w:space="0" w:color="auto"/>
              <w:right w:val="nil"/>
            </w:tcBorders>
            <w:shd w:val="clear" w:color="auto" w:fill="auto"/>
            <w:noWrap/>
            <w:vAlign w:val="bottom"/>
            <w:hideMark/>
          </w:tcPr>
          <w:p w14:paraId="38FCF195" w14:textId="77777777" w:rsidR="00BE6E94" w:rsidRPr="00C34E66" w:rsidRDefault="00BE6E94" w:rsidP="00067077">
            <w:pPr>
              <w:rPr>
                <w:rFonts w:eastAsia="Times New Roman" w:cs="Times New Roman"/>
                <w:color w:val="000000"/>
                <w:sz w:val="18"/>
                <w:szCs w:val="18"/>
              </w:rPr>
            </w:pPr>
            <w:r w:rsidRPr="00C34E66">
              <w:rPr>
                <w:rFonts w:eastAsia="Times New Roman" w:cs="Times New Roman"/>
                <w:color w:val="000000"/>
                <w:sz w:val="18"/>
                <w:szCs w:val="18"/>
              </w:rPr>
              <w:t>Registered Nurse</w:t>
            </w:r>
          </w:p>
        </w:tc>
        <w:tc>
          <w:tcPr>
            <w:tcW w:w="1269" w:type="dxa"/>
            <w:tcBorders>
              <w:top w:val="nil"/>
              <w:left w:val="nil"/>
              <w:bottom w:val="single" w:sz="4" w:space="0" w:color="auto"/>
              <w:right w:val="nil"/>
            </w:tcBorders>
            <w:shd w:val="clear" w:color="auto" w:fill="auto"/>
            <w:noWrap/>
            <w:vAlign w:val="bottom"/>
            <w:hideMark/>
          </w:tcPr>
          <w:p w14:paraId="5ACCB8F2" w14:textId="77777777" w:rsidR="00BE6E94" w:rsidRPr="00C34E66" w:rsidRDefault="00BE6E94" w:rsidP="005B6E52">
            <w:pPr>
              <w:jc w:val="right"/>
              <w:rPr>
                <w:rFonts w:eastAsia="Times New Roman" w:cs="Times New Roman"/>
                <w:color w:val="000000"/>
                <w:sz w:val="18"/>
                <w:szCs w:val="18"/>
              </w:rPr>
            </w:pPr>
            <w:r w:rsidRPr="00C34E66">
              <w:rPr>
                <w:rFonts w:eastAsia="Times New Roman" w:cs="Times New Roman"/>
                <w:color w:val="000000"/>
                <w:sz w:val="18"/>
                <w:szCs w:val="18"/>
              </w:rPr>
              <w:t>$112,137</w:t>
            </w:r>
          </w:p>
        </w:tc>
        <w:tc>
          <w:tcPr>
            <w:tcW w:w="1603" w:type="dxa"/>
            <w:tcBorders>
              <w:top w:val="nil"/>
              <w:left w:val="nil"/>
              <w:bottom w:val="single" w:sz="4" w:space="0" w:color="auto"/>
              <w:right w:val="nil"/>
            </w:tcBorders>
            <w:shd w:val="clear" w:color="auto" w:fill="auto"/>
            <w:noWrap/>
            <w:vAlign w:val="bottom"/>
            <w:hideMark/>
          </w:tcPr>
          <w:p w14:paraId="7ADFF141"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$430,774</w:t>
            </w:r>
          </w:p>
        </w:tc>
        <w:tc>
          <w:tcPr>
            <w:tcW w:w="1574" w:type="dxa"/>
            <w:gridSpan w:val="3"/>
            <w:tcBorders>
              <w:top w:val="nil"/>
              <w:left w:val="nil"/>
              <w:bottom w:val="single" w:sz="4" w:space="0" w:color="auto"/>
              <w:right w:val="nil"/>
            </w:tcBorders>
            <w:shd w:val="clear" w:color="auto" w:fill="auto"/>
            <w:noWrap/>
            <w:vAlign w:val="bottom"/>
            <w:hideMark/>
          </w:tcPr>
          <w:p w14:paraId="7C37468B" w14:textId="77777777" w:rsidR="00BE6E94" w:rsidRPr="00C34E66" w:rsidRDefault="00BE6E94" w:rsidP="00067077">
            <w:pPr>
              <w:jc w:val="right"/>
              <w:rPr>
                <w:rFonts w:eastAsia="Times New Roman" w:cs="Times New Roman"/>
                <w:color w:val="000000"/>
                <w:sz w:val="18"/>
                <w:szCs w:val="18"/>
              </w:rPr>
            </w:pPr>
            <w:r w:rsidRPr="00C34E66">
              <w:rPr>
                <w:rFonts w:eastAsia="Times New Roman" w:cs="Times New Roman"/>
                <w:color w:val="000000"/>
                <w:sz w:val="18"/>
                <w:szCs w:val="18"/>
              </w:rPr>
              <w:t>$2,804</w:t>
            </w:r>
          </w:p>
        </w:tc>
      </w:tr>
      <w:tr w:rsidR="00BE6E94" w:rsidRPr="005C15A0" w14:paraId="0C89D1DB" w14:textId="77777777" w:rsidTr="00256487">
        <w:trPr>
          <w:gridAfter w:val="2"/>
          <w:wAfter w:w="216" w:type="dxa"/>
          <w:trHeight w:val="300"/>
        </w:trPr>
        <w:tc>
          <w:tcPr>
            <w:tcW w:w="6945" w:type="dxa"/>
            <w:gridSpan w:val="4"/>
            <w:tcBorders>
              <w:top w:val="single" w:sz="4" w:space="0" w:color="auto"/>
              <w:left w:val="nil"/>
              <w:bottom w:val="nil"/>
              <w:right w:val="nil"/>
            </w:tcBorders>
            <w:shd w:val="clear" w:color="auto" w:fill="auto"/>
            <w:noWrap/>
            <w:vAlign w:val="bottom"/>
            <w:hideMark/>
          </w:tcPr>
          <w:p w14:paraId="27F034E3" w14:textId="77777777" w:rsidR="005C15A0" w:rsidRDefault="005C15A0" w:rsidP="005C15A0">
            <w:pPr>
              <w:spacing w:line="240" w:lineRule="auto"/>
              <w:rPr>
                <w:rFonts w:eastAsia="Times New Roman" w:cs="Times New Roman"/>
                <w:iCs/>
                <w:color w:val="000000"/>
                <w:sz w:val="18"/>
                <w:szCs w:val="18"/>
              </w:rPr>
            </w:pPr>
          </w:p>
          <w:p w14:paraId="08C1C406" w14:textId="77777777" w:rsidR="00BE6E94" w:rsidRPr="005C15A0" w:rsidRDefault="00BE6E94" w:rsidP="005C15A0">
            <w:pPr>
              <w:spacing w:line="240" w:lineRule="auto"/>
              <w:rPr>
                <w:rFonts w:eastAsia="Times New Roman" w:cs="Times New Roman"/>
                <w:iCs/>
                <w:color w:val="000000"/>
                <w:sz w:val="18"/>
                <w:szCs w:val="18"/>
              </w:rPr>
            </w:pPr>
            <w:r w:rsidRPr="005C15A0">
              <w:rPr>
                <w:rFonts w:eastAsia="Times New Roman" w:cs="Times New Roman"/>
                <w:iCs/>
                <w:color w:val="000000"/>
                <w:sz w:val="18"/>
                <w:szCs w:val="18"/>
              </w:rPr>
              <w:t>Source: HCD State Income Limits 2013; www.hsh.com/calc-howmuch.html</w:t>
            </w:r>
          </w:p>
        </w:tc>
      </w:tr>
      <w:tr w:rsidR="00BE6E94" w:rsidRPr="005C15A0" w14:paraId="429B37A8" w14:textId="77777777" w:rsidTr="00256487">
        <w:trPr>
          <w:gridAfter w:val="2"/>
          <w:wAfter w:w="216" w:type="dxa"/>
          <w:trHeight w:val="100"/>
        </w:trPr>
        <w:tc>
          <w:tcPr>
            <w:tcW w:w="6945" w:type="dxa"/>
            <w:gridSpan w:val="4"/>
            <w:tcBorders>
              <w:top w:val="nil"/>
              <w:left w:val="nil"/>
              <w:bottom w:val="nil"/>
              <w:right w:val="nil"/>
            </w:tcBorders>
            <w:shd w:val="clear" w:color="auto" w:fill="auto"/>
            <w:vAlign w:val="center"/>
            <w:hideMark/>
          </w:tcPr>
          <w:p w14:paraId="1E447077" w14:textId="6CD8C795" w:rsidR="00BE6E94" w:rsidRPr="005C15A0" w:rsidRDefault="00BE6E94" w:rsidP="005C15A0">
            <w:pPr>
              <w:spacing w:line="240" w:lineRule="auto"/>
              <w:rPr>
                <w:rFonts w:eastAsia="Times New Roman" w:cs="Times New Roman"/>
                <w:iCs/>
                <w:color w:val="000000"/>
                <w:sz w:val="18"/>
                <w:szCs w:val="18"/>
              </w:rPr>
            </w:pPr>
            <w:r w:rsidRPr="005C15A0">
              <w:rPr>
                <w:rFonts w:eastAsia="Times New Roman" w:cs="Times New Roman"/>
                <w:iCs/>
                <w:color w:val="000000"/>
                <w:sz w:val="18"/>
                <w:szCs w:val="18"/>
              </w:rPr>
              <w:t>Maximum Affordable House Price is based on the following assumptions: 4.5% interest rate; 30-year fixed loan; 50% Yearly Salary as Down Payment; 1% property tax; PMI, .5% insurance rate; and no other monthly payments/debt.</w:t>
            </w:r>
          </w:p>
        </w:tc>
      </w:tr>
    </w:tbl>
    <w:p w14:paraId="6A686DD9" w14:textId="77DDE622" w:rsidR="00BD46FA" w:rsidRPr="00256487" w:rsidRDefault="00BD46FA" w:rsidP="00BD46FA">
      <w:pPr>
        <w:pStyle w:val="21ElementsText"/>
        <w:rPr>
          <w:sz w:val="20"/>
        </w:rPr>
      </w:pPr>
    </w:p>
    <w:p w14:paraId="4AD42B16" w14:textId="189D5055" w:rsidR="003C454C" w:rsidRPr="00256487" w:rsidRDefault="003C454C" w:rsidP="005D0111">
      <w:pPr>
        <w:tabs>
          <w:tab w:val="left" w:pos="990"/>
        </w:tabs>
      </w:pPr>
      <w:r w:rsidRPr="00256487">
        <w:t xml:space="preserve">There are a small number of jobs in Hillsborough, 1,180 jobs or approximately ten residents for every one job. Just over half of these jobs pay more than $3,333 per month, and a quarter pay less than $1,250 per month. According to census data, 91 percent of people who work in Hillsborough live elsewhere, and only nine percent of Hillsborough employed residents work within the city. </w:t>
      </w:r>
    </w:p>
    <w:p w14:paraId="4885CCB3" w14:textId="77777777" w:rsidR="003C454C" w:rsidRPr="00256487" w:rsidRDefault="003C454C" w:rsidP="003C454C">
      <w:r w:rsidRPr="00256487">
        <w:tab/>
      </w:r>
    </w:p>
    <w:p w14:paraId="62153A8E" w14:textId="472F3E70" w:rsidR="007866AE" w:rsidRPr="00EE08D5" w:rsidRDefault="003C454C" w:rsidP="007866AE">
      <w:pPr>
        <w:pStyle w:val="21ElementsText"/>
      </w:pPr>
      <w:r w:rsidRPr="00256487">
        <w:t xml:space="preserve">According to ABAG projections, Hillsborough can expect to lose three percent of its jobs, or 70 jobs, between 2000 and 2025. </w:t>
      </w:r>
      <w:r w:rsidR="007866AE" w:rsidRPr="00256487">
        <w:t>The table below shows the distribution of the workforce in Belmont and San Mateo County by age, salary and education.</w:t>
      </w:r>
    </w:p>
    <w:p w14:paraId="11A19291" w14:textId="77777777" w:rsidR="00151B5F" w:rsidRDefault="00151B5F" w:rsidP="00067077">
      <w:pPr>
        <w:rPr>
          <w:b/>
          <w:u w:val="single"/>
        </w:rPr>
      </w:pPr>
    </w:p>
    <w:tbl>
      <w:tblPr>
        <w:tblW w:w="6855" w:type="dxa"/>
        <w:tblInd w:w="93" w:type="dxa"/>
        <w:tblLayout w:type="fixed"/>
        <w:tblLook w:val="04A0" w:firstRow="1" w:lastRow="0" w:firstColumn="1" w:lastColumn="0" w:noHBand="0" w:noVBand="1"/>
      </w:tblPr>
      <w:tblGrid>
        <w:gridCol w:w="4065"/>
        <w:gridCol w:w="1350"/>
        <w:gridCol w:w="826"/>
        <w:gridCol w:w="614"/>
      </w:tblGrid>
      <w:tr w:rsidR="00151B5F" w:rsidRPr="00304CDB" w14:paraId="558AF0ED" w14:textId="77777777" w:rsidTr="00C44683">
        <w:trPr>
          <w:trHeight w:val="300"/>
        </w:trPr>
        <w:tc>
          <w:tcPr>
            <w:tcW w:w="6855" w:type="dxa"/>
            <w:gridSpan w:val="4"/>
            <w:tcBorders>
              <w:top w:val="nil"/>
              <w:left w:val="nil"/>
              <w:bottom w:val="nil"/>
              <w:right w:val="nil"/>
            </w:tcBorders>
            <w:shd w:val="clear" w:color="000000" w:fill="000000"/>
            <w:noWrap/>
            <w:vAlign w:val="bottom"/>
            <w:hideMark/>
          </w:tcPr>
          <w:p w14:paraId="3AF7F551" w14:textId="243B7163" w:rsidR="00151B5F" w:rsidRPr="00304CDB" w:rsidRDefault="00151B5F" w:rsidP="00BD65B3">
            <w:pPr>
              <w:rPr>
                <w:rFonts w:eastAsia="Times New Roman" w:cs="Times New Roman"/>
                <w:b/>
                <w:bCs/>
                <w:color w:val="FFFFFF"/>
                <w:sz w:val="20"/>
                <w:szCs w:val="20"/>
              </w:rPr>
            </w:pPr>
            <w:r w:rsidRPr="00304CDB">
              <w:rPr>
                <w:rFonts w:eastAsia="Times New Roman" w:cs="Times New Roman"/>
                <w:b/>
                <w:bCs/>
                <w:color w:val="FFFFFF"/>
                <w:sz w:val="20"/>
                <w:szCs w:val="20"/>
              </w:rPr>
              <w:t>Workforce Age, Salary and Education</w:t>
            </w:r>
            <w:r w:rsidR="00C44683">
              <w:rPr>
                <w:rFonts w:eastAsia="Times New Roman" w:cs="Times New Roman"/>
                <w:b/>
                <w:bCs/>
                <w:color w:val="FFFFFF"/>
                <w:sz w:val="20"/>
                <w:szCs w:val="20"/>
              </w:rPr>
              <w:t xml:space="preserve"> (2011)</w:t>
            </w:r>
          </w:p>
        </w:tc>
      </w:tr>
      <w:tr w:rsidR="00151B5F" w:rsidRPr="00304CDB" w14:paraId="11C580AF" w14:textId="77777777" w:rsidTr="00C44683">
        <w:trPr>
          <w:trHeight w:val="320"/>
        </w:trPr>
        <w:tc>
          <w:tcPr>
            <w:tcW w:w="4065" w:type="dxa"/>
            <w:tcBorders>
              <w:top w:val="nil"/>
              <w:left w:val="nil"/>
              <w:bottom w:val="nil"/>
              <w:right w:val="nil"/>
            </w:tcBorders>
            <w:shd w:val="clear" w:color="auto" w:fill="auto"/>
            <w:noWrap/>
            <w:vAlign w:val="bottom"/>
            <w:hideMark/>
          </w:tcPr>
          <w:p w14:paraId="4E499F65" w14:textId="77777777" w:rsidR="00151B5F" w:rsidRPr="00304CDB" w:rsidRDefault="00151B5F" w:rsidP="00BD65B3">
            <w:pPr>
              <w:spacing w:line="240" w:lineRule="auto"/>
              <w:jc w:val="right"/>
              <w:rPr>
                <w:rFonts w:eastAsia="Times New Roman" w:cs="Times New Roman"/>
                <w:color w:val="000000"/>
                <w:sz w:val="18"/>
                <w:szCs w:val="18"/>
              </w:rPr>
            </w:pPr>
          </w:p>
        </w:tc>
        <w:tc>
          <w:tcPr>
            <w:tcW w:w="1350" w:type="dxa"/>
            <w:tcBorders>
              <w:top w:val="nil"/>
              <w:left w:val="nil"/>
              <w:bottom w:val="nil"/>
              <w:right w:val="nil"/>
            </w:tcBorders>
            <w:shd w:val="clear" w:color="auto" w:fill="auto"/>
            <w:noWrap/>
            <w:vAlign w:val="bottom"/>
            <w:hideMark/>
          </w:tcPr>
          <w:p w14:paraId="7E808B2E" w14:textId="77777777" w:rsidR="00BD65B3" w:rsidRPr="00C44683" w:rsidRDefault="00BD65B3" w:rsidP="00BD65B3">
            <w:pPr>
              <w:spacing w:line="240" w:lineRule="auto"/>
              <w:jc w:val="right"/>
              <w:rPr>
                <w:rFonts w:eastAsia="Times New Roman" w:cs="Times New Roman"/>
                <w:b/>
                <w:bCs/>
                <w:color w:val="000000"/>
                <w:sz w:val="18"/>
                <w:szCs w:val="18"/>
              </w:rPr>
            </w:pPr>
          </w:p>
          <w:p w14:paraId="44320879" w14:textId="5544CA18" w:rsidR="00151B5F" w:rsidRPr="00C44683" w:rsidRDefault="003B70CF" w:rsidP="00BD65B3">
            <w:pPr>
              <w:spacing w:line="240" w:lineRule="auto"/>
              <w:jc w:val="right"/>
              <w:rPr>
                <w:rFonts w:eastAsia="Times New Roman" w:cs="Times New Roman"/>
                <w:b/>
                <w:bCs/>
                <w:color w:val="000000"/>
                <w:sz w:val="18"/>
                <w:szCs w:val="18"/>
              </w:rPr>
            </w:pPr>
            <w:r w:rsidRPr="00C44683">
              <w:rPr>
                <w:rFonts w:eastAsia="Times New Roman" w:cs="Times New Roman"/>
                <w:b/>
                <w:bCs/>
                <w:color w:val="000000"/>
                <w:sz w:val="18"/>
                <w:szCs w:val="18"/>
              </w:rPr>
              <w:t xml:space="preserve">Town of </w:t>
            </w:r>
            <w:r w:rsidR="00853231" w:rsidRPr="00C44683">
              <w:rPr>
                <w:rFonts w:eastAsia="Times New Roman" w:cs="Times New Roman"/>
                <w:b/>
                <w:bCs/>
                <w:color w:val="000000"/>
                <w:sz w:val="18"/>
                <w:szCs w:val="18"/>
              </w:rPr>
              <w:t>Hillsborough</w:t>
            </w:r>
          </w:p>
          <w:p w14:paraId="7974C3B9" w14:textId="246860FE" w:rsidR="00BD65B3" w:rsidRPr="00C44683" w:rsidRDefault="00BD65B3" w:rsidP="00BD65B3">
            <w:pPr>
              <w:spacing w:line="240" w:lineRule="auto"/>
              <w:jc w:val="right"/>
              <w:rPr>
                <w:rFonts w:eastAsia="Times New Roman" w:cs="Times New Roman"/>
                <w:b/>
                <w:bCs/>
                <w:color w:val="000000"/>
                <w:sz w:val="10"/>
                <w:szCs w:val="18"/>
              </w:rPr>
            </w:pPr>
          </w:p>
        </w:tc>
        <w:tc>
          <w:tcPr>
            <w:tcW w:w="1440" w:type="dxa"/>
            <w:gridSpan w:val="2"/>
            <w:tcBorders>
              <w:top w:val="nil"/>
              <w:left w:val="nil"/>
              <w:bottom w:val="nil"/>
              <w:right w:val="nil"/>
            </w:tcBorders>
            <w:shd w:val="clear" w:color="auto" w:fill="auto"/>
            <w:noWrap/>
            <w:vAlign w:val="bottom"/>
            <w:hideMark/>
          </w:tcPr>
          <w:p w14:paraId="2B9BA413" w14:textId="77777777" w:rsidR="00BD65B3" w:rsidRDefault="00BD65B3" w:rsidP="00BD65B3">
            <w:pPr>
              <w:spacing w:line="240" w:lineRule="auto"/>
              <w:jc w:val="right"/>
              <w:rPr>
                <w:rFonts w:eastAsia="Times New Roman" w:cs="Times New Roman"/>
                <w:b/>
                <w:bCs/>
                <w:color w:val="000000"/>
                <w:sz w:val="18"/>
                <w:szCs w:val="18"/>
              </w:rPr>
            </w:pPr>
          </w:p>
          <w:p w14:paraId="0CF23D9B" w14:textId="77777777" w:rsidR="00151B5F" w:rsidRDefault="00BD65B3" w:rsidP="00BD65B3">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San Mateo </w:t>
            </w:r>
            <w:r w:rsidR="00151B5F" w:rsidRPr="00304CDB">
              <w:rPr>
                <w:rFonts w:eastAsia="Times New Roman" w:cs="Times New Roman"/>
                <w:b/>
                <w:bCs/>
                <w:color w:val="000000"/>
                <w:sz w:val="18"/>
                <w:szCs w:val="18"/>
              </w:rPr>
              <w:t>County</w:t>
            </w:r>
          </w:p>
          <w:p w14:paraId="0F858ED7" w14:textId="535DBEB9" w:rsidR="00BD65B3" w:rsidRPr="00BD65B3" w:rsidRDefault="00BD65B3" w:rsidP="00BD65B3">
            <w:pPr>
              <w:spacing w:line="240" w:lineRule="auto"/>
              <w:jc w:val="right"/>
              <w:rPr>
                <w:rFonts w:eastAsia="Times New Roman" w:cs="Times New Roman"/>
                <w:b/>
                <w:bCs/>
                <w:color w:val="000000"/>
                <w:sz w:val="10"/>
                <w:szCs w:val="18"/>
              </w:rPr>
            </w:pPr>
          </w:p>
        </w:tc>
      </w:tr>
      <w:tr w:rsidR="00151B5F" w:rsidRPr="00304CDB" w14:paraId="3F4BF3EA" w14:textId="77777777" w:rsidTr="00C44683">
        <w:trPr>
          <w:trHeight w:val="300"/>
        </w:trPr>
        <w:tc>
          <w:tcPr>
            <w:tcW w:w="4065" w:type="dxa"/>
            <w:tcBorders>
              <w:top w:val="single" w:sz="8" w:space="0" w:color="auto"/>
              <w:left w:val="nil"/>
              <w:bottom w:val="nil"/>
              <w:right w:val="nil"/>
            </w:tcBorders>
            <w:shd w:val="clear" w:color="auto" w:fill="auto"/>
            <w:noWrap/>
            <w:vAlign w:val="bottom"/>
            <w:hideMark/>
          </w:tcPr>
          <w:p w14:paraId="0AAFDECD" w14:textId="77777777" w:rsidR="00BD65B3" w:rsidRPr="00BD65B3" w:rsidRDefault="00BD65B3" w:rsidP="00964F69">
            <w:pPr>
              <w:spacing w:line="240" w:lineRule="auto"/>
              <w:rPr>
                <w:rFonts w:eastAsia="Times New Roman" w:cs="Times New Roman"/>
                <w:b/>
                <w:bCs/>
                <w:sz w:val="10"/>
                <w:szCs w:val="18"/>
              </w:rPr>
            </w:pPr>
          </w:p>
          <w:p w14:paraId="60E6845A" w14:textId="77777777" w:rsidR="00151B5F" w:rsidRPr="00304CDB" w:rsidRDefault="00151B5F" w:rsidP="00964F69">
            <w:pPr>
              <w:spacing w:line="240" w:lineRule="auto"/>
              <w:rPr>
                <w:rFonts w:eastAsia="Times New Roman" w:cs="Times New Roman"/>
                <w:b/>
                <w:bCs/>
                <w:sz w:val="18"/>
                <w:szCs w:val="18"/>
              </w:rPr>
            </w:pPr>
            <w:r w:rsidRPr="00304CDB">
              <w:rPr>
                <w:rFonts w:eastAsia="Times New Roman" w:cs="Times New Roman"/>
                <w:b/>
                <w:bCs/>
                <w:sz w:val="18"/>
                <w:szCs w:val="18"/>
              </w:rPr>
              <w:t>Jobs by Worker Age</w:t>
            </w:r>
          </w:p>
        </w:tc>
        <w:tc>
          <w:tcPr>
            <w:tcW w:w="1350" w:type="dxa"/>
            <w:tcBorders>
              <w:top w:val="single" w:sz="8" w:space="0" w:color="auto"/>
              <w:left w:val="nil"/>
              <w:bottom w:val="nil"/>
              <w:right w:val="nil"/>
            </w:tcBorders>
            <w:shd w:val="clear" w:color="auto" w:fill="auto"/>
            <w:noWrap/>
            <w:vAlign w:val="bottom"/>
            <w:hideMark/>
          </w:tcPr>
          <w:p w14:paraId="0670552E" w14:textId="77777777" w:rsidR="00151B5F" w:rsidRPr="00C44683" w:rsidRDefault="00151B5F" w:rsidP="00964F69">
            <w:pPr>
              <w:spacing w:line="240" w:lineRule="auto"/>
              <w:rPr>
                <w:rFonts w:eastAsia="Times New Roman" w:cs="Times New Roman"/>
                <w:color w:val="000000"/>
                <w:sz w:val="18"/>
                <w:szCs w:val="18"/>
              </w:rPr>
            </w:pPr>
            <w:r w:rsidRPr="00C44683">
              <w:rPr>
                <w:rFonts w:eastAsia="Times New Roman" w:cs="Times New Roman"/>
                <w:color w:val="000000"/>
                <w:sz w:val="18"/>
                <w:szCs w:val="18"/>
              </w:rPr>
              <w:t> </w:t>
            </w:r>
          </w:p>
        </w:tc>
        <w:tc>
          <w:tcPr>
            <w:tcW w:w="1440" w:type="dxa"/>
            <w:gridSpan w:val="2"/>
            <w:tcBorders>
              <w:top w:val="single" w:sz="8" w:space="0" w:color="auto"/>
              <w:left w:val="nil"/>
              <w:bottom w:val="nil"/>
              <w:right w:val="nil"/>
            </w:tcBorders>
            <w:shd w:val="clear" w:color="auto" w:fill="auto"/>
            <w:noWrap/>
            <w:vAlign w:val="bottom"/>
            <w:hideMark/>
          </w:tcPr>
          <w:p w14:paraId="1E806914" w14:textId="77777777" w:rsidR="00151B5F" w:rsidRPr="00304CDB" w:rsidRDefault="00151B5F" w:rsidP="00964F69">
            <w:pPr>
              <w:spacing w:line="240" w:lineRule="auto"/>
              <w:rPr>
                <w:rFonts w:eastAsia="Times New Roman" w:cs="Times New Roman"/>
                <w:color w:val="000000"/>
                <w:sz w:val="18"/>
                <w:szCs w:val="18"/>
              </w:rPr>
            </w:pPr>
            <w:r w:rsidRPr="00304CDB">
              <w:rPr>
                <w:rFonts w:eastAsia="Times New Roman" w:cs="Times New Roman"/>
                <w:color w:val="000000"/>
                <w:sz w:val="18"/>
                <w:szCs w:val="18"/>
              </w:rPr>
              <w:t> </w:t>
            </w:r>
          </w:p>
        </w:tc>
      </w:tr>
      <w:tr w:rsidR="00C44683" w:rsidRPr="00304CDB" w14:paraId="3409358F"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5FD93511"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Age 29 or Younger</w:t>
            </w:r>
          </w:p>
        </w:tc>
        <w:tc>
          <w:tcPr>
            <w:tcW w:w="1350" w:type="dxa"/>
            <w:tcBorders>
              <w:top w:val="nil"/>
              <w:left w:val="nil"/>
              <w:bottom w:val="single" w:sz="4" w:space="0" w:color="808080"/>
              <w:right w:val="nil"/>
            </w:tcBorders>
            <w:shd w:val="clear" w:color="auto" w:fill="auto"/>
            <w:noWrap/>
            <w:vAlign w:val="bottom"/>
            <w:hideMark/>
          </w:tcPr>
          <w:p w14:paraId="2AD5BDF2" w14:textId="2EB0D535"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20%</w:t>
            </w:r>
          </w:p>
        </w:tc>
        <w:tc>
          <w:tcPr>
            <w:tcW w:w="1440" w:type="dxa"/>
            <w:gridSpan w:val="2"/>
            <w:tcBorders>
              <w:top w:val="nil"/>
              <w:left w:val="nil"/>
              <w:bottom w:val="single" w:sz="4" w:space="0" w:color="808080"/>
              <w:right w:val="nil"/>
            </w:tcBorders>
            <w:shd w:val="clear" w:color="auto" w:fill="auto"/>
            <w:noWrap/>
            <w:vAlign w:val="bottom"/>
            <w:hideMark/>
          </w:tcPr>
          <w:p w14:paraId="64E4AE8D"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19%</w:t>
            </w:r>
          </w:p>
        </w:tc>
      </w:tr>
      <w:tr w:rsidR="00C44683" w:rsidRPr="00304CDB" w14:paraId="064546E7"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60587CB9"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Age 30 to 54</w:t>
            </w:r>
          </w:p>
        </w:tc>
        <w:tc>
          <w:tcPr>
            <w:tcW w:w="1350" w:type="dxa"/>
            <w:tcBorders>
              <w:top w:val="nil"/>
              <w:left w:val="nil"/>
              <w:bottom w:val="single" w:sz="4" w:space="0" w:color="808080"/>
              <w:right w:val="nil"/>
            </w:tcBorders>
            <w:shd w:val="clear" w:color="auto" w:fill="auto"/>
            <w:noWrap/>
            <w:vAlign w:val="bottom"/>
            <w:hideMark/>
          </w:tcPr>
          <w:p w14:paraId="3DB5B3E0" w14:textId="2412BD5B"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52%</w:t>
            </w:r>
          </w:p>
        </w:tc>
        <w:tc>
          <w:tcPr>
            <w:tcW w:w="1440" w:type="dxa"/>
            <w:gridSpan w:val="2"/>
            <w:tcBorders>
              <w:top w:val="nil"/>
              <w:left w:val="nil"/>
              <w:bottom w:val="single" w:sz="4" w:space="0" w:color="808080"/>
              <w:right w:val="nil"/>
            </w:tcBorders>
            <w:shd w:val="clear" w:color="auto" w:fill="auto"/>
            <w:noWrap/>
            <w:vAlign w:val="bottom"/>
            <w:hideMark/>
          </w:tcPr>
          <w:p w14:paraId="7EC27D13"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61%</w:t>
            </w:r>
          </w:p>
        </w:tc>
      </w:tr>
      <w:tr w:rsidR="00C44683" w:rsidRPr="00304CDB" w14:paraId="20DA4B90" w14:textId="77777777" w:rsidTr="00C44683">
        <w:trPr>
          <w:trHeight w:val="300"/>
        </w:trPr>
        <w:tc>
          <w:tcPr>
            <w:tcW w:w="4065" w:type="dxa"/>
            <w:tcBorders>
              <w:top w:val="single" w:sz="4" w:space="0" w:color="808080"/>
              <w:left w:val="nil"/>
              <w:right w:val="nil"/>
            </w:tcBorders>
            <w:shd w:val="clear" w:color="auto" w:fill="auto"/>
            <w:noWrap/>
            <w:vAlign w:val="bottom"/>
            <w:hideMark/>
          </w:tcPr>
          <w:p w14:paraId="2ABDCF48"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Age 55 or Older</w:t>
            </w:r>
          </w:p>
        </w:tc>
        <w:tc>
          <w:tcPr>
            <w:tcW w:w="1350" w:type="dxa"/>
            <w:tcBorders>
              <w:top w:val="single" w:sz="4" w:space="0" w:color="808080"/>
              <w:left w:val="nil"/>
              <w:right w:val="nil"/>
            </w:tcBorders>
            <w:shd w:val="clear" w:color="auto" w:fill="auto"/>
            <w:noWrap/>
            <w:vAlign w:val="bottom"/>
            <w:hideMark/>
          </w:tcPr>
          <w:p w14:paraId="4EC5BBF2" w14:textId="0B67B1E6"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28%</w:t>
            </w:r>
          </w:p>
        </w:tc>
        <w:tc>
          <w:tcPr>
            <w:tcW w:w="1440" w:type="dxa"/>
            <w:gridSpan w:val="2"/>
            <w:tcBorders>
              <w:top w:val="single" w:sz="4" w:space="0" w:color="808080"/>
              <w:left w:val="nil"/>
              <w:right w:val="nil"/>
            </w:tcBorders>
            <w:shd w:val="clear" w:color="auto" w:fill="auto"/>
            <w:noWrap/>
            <w:vAlign w:val="bottom"/>
            <w:hideMark/>
          </w:tcPr>
          <w:p w14:paraId="12C81500"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20%</w:t>
            </w:r>
          </w:p>
        </w:tc>
      </w:tr>
      <w:tr w:rsidR="00C44683" w:rsidRPr="00304CDB" w14:paraId="7211FF34" w14:textId="77777777" w:rsidTr="00C44683">
        <w:trPr>
          <w:trHeight w:val="300"/>
        </w:trPr>
        <w:tc>
          <w:tcPr>
            <w:tcW w:w="4065" w:type="dxa"/>
            <w:tcBorders>
              <w:left w:val="nil"/>
              <w:bottom w:val="nil"/>
              <w:right w:val="nil"/>
            </w:tcBorders>
            <w:shd w:val="clear" w:color="auto" w:fill="auto"/>
            <w:noWrap/>
            <w:vAlign w:val="bottom"/>
            <w:hideMark/>
          </w:tcPr>
          <w:p w14:paraId="4E7BE764" w14:textId="77777777" w:rsidR="00C44683" w:rsidRPr="00BD65B3" w:rsidRDefault="00C44683" w:rsidP="00964F69">
            <w:pPr>
              <w:spacing w:line="240" w:lineRule="auto"/>
              <w:rPr>
                <w:rFonts w:eastAsia="Times New Roman" w:cs="Times New Roman"/>
                <w:b/>
                <w:bCs/>
                <w:sz w:val="12"/>
                <w:szCs w:val="18"/>
              </w:rPr>
            </w:pPr>
          </w:p>
          <w:p w14:paraId="71918D61" w14:textId="77777777" w:rsidR="00C44683" w:rsidRPr="00304CDB" w:rsidRDefault="00C44683" w:rsidP="00964F69">
            <w:pPr>
              <w:spacing w:line="240" w:lineRule="auto"/>
              <w:rPr>
                <w:rFonts w:eastAsia="Times New Roman" w:cs="Times New Roman"/>
                <w:b/>
                <w:bCs/>
                <w:sz w:val="18"/>
                <w:szCs w:val="18"/>
              </w:rPr>
            </w:pPr>
            <w:r w:rsidRPr="00304CDB">
              <w:rPr>
                <w:rFonts w:eastAsia="Times New Roman" w:cs="Times New Roman"/>
                <w:b/>
                <w:bCs/>
                <w:sz w:val="18"/>
                <w:szCs w:val="18"/>
              </w:rPr>
              <w:t>Salaries Paid by Jurisdiction Employers</w:t>
            </w:r>
          </w:p>
        </w:tc>
        <w:tc>
          <w:tcPr>
            <w:tcW w:w="1350" w:type="dxa"/>
            <w:tcBorders>
              <w:left w:val="nil"/>
              <w:bottom w:val="nil"/>
              <w:right w:val="nil"/>
            </w:tcBorders>
            <w:shd w:val="clear" w:color="auto" w:fill="auto"/>
            <w:noWrap/>
            <w:vAlign w:val="bottom"/>
            <w:hideMark/>
          </w:tcPr>
          <w:p w14:paraId="77E9B9AC" w14:textId="0AA433DC" w:rsidR="00C44683" w:rsidRPr="00C44683" w:rsidRDefault="00C44683" w:rsidP="00964F69">
            <w:pPr>
              <w:spacing w:line="240" w:lineRule="auto"/>
              <w:rPr>
                <w:rFonts w:eastAsia="Times New Roman" w:cs="Times New Roman"/>
                <w:color w:val="000000"/>
                <w:sz w:val="18"/>
                <w:szCs w:val="18"/>
              </w:rPr>
            </w:pPr>
            <w:r w:rsidRPr="00084C7B">
              <w:rPr>
                <w:rFonts w:eastAsia="Times New Roman" w:cs="Times New Roman"/>
                <w:color w:val="000000"/>
                <w:sz w:val="18"/>
                <w:szCs w:val="18"/>
              </w:rPr>
              <w:t> </w:t>
            </w:r>
          </w:p>
        </w:tc>
        <w:tc>
          <w:tcPr>
            <w:tcW w:w="1440" w:type="dxa"/>
            <w:gridSpan w:val="2"/>
            <w:tcBorders>
              <w:left w:val="nil"/>
              <w:bottom w:val="nil"/>
              <w:right w:val="nil"/>
            </w:tcBorders>
            <w:shd w:val="clear" w:color="auto" w:fill="auto"/>
            <w:noWrap/>
            <w:vAlign w:val="bottom"/>
            <w:hideMark/>
          </w:tcPr>
          <w:p w14:paraId="5C84EA01" w14:textId="77777777" w:rsidR="00C44683" w:rsidRPr="00304CDB" w:rsidRDefault="00C44683" w:rsidP="00964F69">
            <w:pPr>
              <w:spacing w:line="240" w:lineRule="auto"/>
              <w:rPr>
                <w:rFonts w:eastAsia="Times New Roman" w:cs="Times New Roman"/>
                <w:color w:val="000000"/>
                <w:sz w:val="18"/>
                <w:szCs w:val="18"/>
              </w:rPr>
            </w:pPr>
            <w:r w:rsidRPr="00304CDB">
              <w:rPr>
                <w:rFonts w:eastAsia="Times New Roman" w:cs="Times New Roman"/>
                <w:color w:val="000000"/>
                <w:sz w:val="18"/>
                <w:szCs w:val="18"/>
              </w:rPr>
              <w:t> </w:t>
            </w:r>
          </w:p>
        </w:tc>
      </w:tr>
      <w:tr w:rsidR="00C44683" w:rsidRPr="00304CDB" w14:paraId="13D6342D"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37785BBD"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$1,250 per Month or Less</w:t>
            </w:r>
          </w:p>
        </w:tc>
        <w:tc>
          <w:tcPr>
            <w:tcW w:w="1350" w:type="dxa"/>
            <w:tcBorders>
              <w:top w:val="nil"/>
              <w:left w:val="nil"/>
              <w:bottom w:val="single" w:sz="4" w:space="0" w:color="808080"/>
              <w:right w:val="nil"/>
            </w:tcBorders>
            <w:shd w:val="clear" w:color="auto" w:fill="auto"/>
            <w:noWrap/>
            <w:vAlign w:val="bottom"/>
            <w:hideMark/>
          </w:tcPr>
          <w:p w14:paraId="1F64203A" w14:textId="65856F42"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26%</w:t>
            </w:r>
          </w:p>
        </w:tc>
        <w:tc>
          <w:tcPr>
            <w:tcW w:w="1440" w:type="dxa"/>
            <w:gridSpan w:val="2"/>
            <w:tcBorders>
              <w:top w:val="nil"/>
              <w:left w:val="nil"/>
              <w:bottom w:val="single" w:sz="4" w:space="0" w:color="808080"/>
              <w:right w:val="nil"/>
            </w:tcBorders>
            <w:shd w:val="clear" w:color="auto" w:fill="auto"/>
            <w:noWrap/>
            <w:vAlign w:val="bottom"/>
            <w:hideMark/>
          </w:tcPr>
          <w:p w14:paraId="5F351E3F"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14%</w:t>
            </w:r>
          </w:p>
        </w:tc>
      </w:tr>
      <w:tr w:rsidR="00C44683" w:rsidRPr="00304CDB" w14:paraId="14F39F87"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1B9C5B4C"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$1,251 to $3,333 per Month</w:t>
            </w:r>
          </w:p>
        </w:tc>
        <w:tc>
          <w:tcPr>
            <w:tcW w:w="1350" w:type="dxa"/>
            <w:tcBorders>
              <w:top w:val="nil"/>
              <w:left w:val="nil"/>
              <w:bottom w:val="single" w:sz="4" w:space="0" w:color="808080"/>
              <w:right w:val="nil"/>
            </w:tcBorders>
            <w:shd w:val="clear" w:color="auto" w:fill="auto"/>
            <w:noWrap/>
            <w:vAlign w:val="bottom"/>
            <w:hideMark/>
          </w:tcPr>
          <w:p w14:paraId="586727E2" w14:textId="5D19E940"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22%</w:t>
            </w:r>
          </w:p>
        </w:tc>
        <w:tc>
          <w:tcPr>
            <w:tcW w:w="1440" w:type="dxa"/>
            <w:gridSpan w:val="2"/>
            <w:tcBorders>
              <w:top w:val="nil"/>
              <w:left w:val="nil"/>
              <w:bottom w:val="single" w:sz="4" w:space="0" w:color="808080"/>
              <w:right w:val="nil"/>
            </w:tcBorders>
            <w:shd w:val="clear" w:color="auto" w:fill="auto"/>
            <w:noWrap/>
            <w:vAlign w:val="bottom"/>
            <w:hideMark/>
          </w:tcPr>
          <w:p w14:paraId="0871E890"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27%</w:t>
            </w:r>
          </w:p>
        </w:tc>
      </w:tr>
      <w:tr w:rsidR="00C44683" w:rsidRPr="00304CDB" w14:paraId="7837A419" w14:textId="77777777" w:rsidTr="00C44683">
        <w:trPr>
          <w:trHeight w:val="300"/>
        </w:trPr>
        <w:tc>
          <w:tcPr>
            <w:tcW w:w="4065" w:type="dxa"/>
            <w:tcBorders>
              <w:top w:val="single" w:sz="4" w:space="0" w:color="808080"/>
              <w:left w:val="nil"/>
              <w:right w:val="nil"/>
            </w:tcBorders>
            <w:shd w:val="clear" w:color="auto" w:fill="auto"/>
            <w:noWrap/>
            <w:vAlign w:val="bottom"/>
            <w:hideMark/>
          </w:tcPr>
          <w:p w14:paraId="613BAEE5"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More than $3,333 per Month</w:t>
            </w:r>
          </w:p>
        </w:tc>
        <w:tc>
          <w:tcPr>
            <w:tcW w:w="1350" w:type="dxa"/>
            <w:tcBorders>
              <w:top w:val="single" w:sz="4" w:space="0" w:color="808080"/>
              <w:left w:val="nil"/>
              <w:right w:val="nil"/>
            </w:tcBorders>
            <w:shd w:val="clear" w:color="auto" w:fill="auto"/>
            <w:noWrap/>
            <w:vAlign w:val="bottom"/>
            <w:hideMark/>
          </w:tcPr>
          <w:p w14:paraId="49B17184" w14:textId="5A9EE7E7"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52%</w:t>
            </w:r>
          </w:p>
        </w:tc>
        <w:tc>
          <w:tcPr>
            <w:tcW w:w="1440" w:type="dxa"/>
            <w:gridSpan w:val="2"/>
            <w:tcBorders>
              <w:top w:val="single" w:sz="4" w:space="0" w:color="808080"/>
              <w:left w:val="nil"/>
              <w:right w:val="nil"/>
            </w:tcBorders>
            <w:shd w:val="clear" w:color="auto" w:fill="auto"/>
            <w:noWrap/>
            <w:vAlign w:val="bottom"/>
            <w:hideMark/>
          </w:tcPr>
          <w:p w14:paraId="375CA521"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59%</w:t>
            </w:r>
          </w:p>
        </w:tc>
      </w:tr>
      <w:tr w:rsidR="00C44683" w:rsidRPr="00304CDB" w14:paraId="0BF92403" w14:textId="77777777" w:rsidTr="00C44683">
        <w:trPr>
          <w:trHeight w:val="300"/>
        </w:trPr>
        <w:tc>
          <w:tcPr>
            <w:tcW w:w="4065" w:type="dxa"/>
            <w:tcBorders>
              <w:left w:val="nil"/>
              <w:bottom w:val="nil"/>
              <w:right w:val="nil"/>
            </w:tcBorders>
            <w:shd w:val="clear" w:color="auto" w:fill="auto"/>
            <w:noWrap/>
            <w:vAlign w:val="bottom"/>
            <w:hideMark/>
          </w:tcPr>
          <w:p w14:paraId="0268D494" w14:textId="77777777" w:rsidR="00C44683" w:rsidRPr="00BD65B3" w:rsidRDefault="00C44683" w:rsidP="00964F69">
            <w:pPr>
              <w:spacing w:line="240" w:lineRule="auto"/>
              <w:rPr>
                <w:rFonts w:eastAsia="Times New Roman" w:cs="Times New Roman"/>
                <w:b/>
                <w:bCs/>
                <w:sz w:val="12"/>
                <w:szCs w:val="18"/>
              </w:rPr>
            </w:pPr>
          </w:p>
          <w:p w14:paraId="099F4D5E" w14:textId="77777777" w:rsidR="00C44683" w:rsidRPr="00304CDB" w:rsidRDefault="00C44683" w:rsidP="00964F69">
            <w:pPr>
              <w:spacing w:line="240" w:lineRule="auto"/>
              <w:rPr>
                <w:rFonts w:eastAsia="Times New Roman" w:cs="Times New Roman"/>
                <w:b/>
                <w:bCs/>
                <w:sz w:val="18"/>
                <w:szCs w:val="18"/>
              </w:rPr>
            </w:pPr>
            <w:r w:rsidRPr="00304CDB">
              <w:rPr>
                <w:rFonts w:eastAsia="Times New Roman" w:cs="Times New Roman"/>
                <w:b/>
                <w:bCs/>
                <w:sz w:val="18"/>
                <w:szCs w:val="18"/>
              </w:rPr>
              <w:t>Jobs by Worker Educational Attainment</w:t>
            </w:r>
          </w:p>
        </w:tc>
        <w:tc>
          <w:tcPr>
            <w:tcW w:w="1350" w:type="dxa"/>
            <w:tcBorders>
              <w:left w:val="nil"/>
              <w:bottom w:val="nil"/>
              <w:right w:val="nil"/>
            </w:tcBorders>
            <w:shd w:val="clear" w:color="auto" w:fill="auto"/>
            <w:noWrap/>
            <w:vAlign w:val="bottom"/>
            <w:hideMark/>
          </w:tcPr>
          <w:p w14:paraId="3F67D369" w14:textId="5909EB02" w:rsidR="00C44683" w:rsidRPr="00C44683" w:rsidRDefault="00C44683" w:rsidP="00964F69">
            <w:pPr>
              <w:spacing w:line="240" w:lineRule="auto"/>
              <w:rPr>
                <w:rFonts w:eastAsia="Times New Roman" w:cs="Times New Roman"/>
                <w:color w:val="000000"/>
                <w:sz w:val="18"/>
                <w:szCs w:val="18"/>
              </w:rPr>
            </w:pPr>
            <w:r w:rsidRPr="00084C7B">
              <w:rPr>
                <w:rFonts w:eastAsia="Times New Roman" w:cs="Times New Roman"/>
                <w:color w:val="000000"/>
                <w:sz w:val="18"/>
                <w:szCs w:val="18"/>
              </w:rPr>
              <w:t> </w:t>
            </w:r>
          </w:p>
        </w:tc>
        <w:tc>
          <w:tcPr>
            <w:tcW w:w="1440" w:type="dxa"/>
            <w:gridSpan w:val="2"/>
            <w:tcBorders>
              <w:left w:val="nil"/>
              <w:bottom w:val="nil"/>
              <w:right w:val="nil"/>
            </w:tcBorders>
            <w:shd w:val="clear" w:color="auto" w:fill="auto"/>
            <w:noWrap/>
            <w:vAlign w:val="bottom"/>
            <w:hideMark/>
          </w:tcPr>
          <w:p w14:paraId="0D2628D5" w14:textId="77777777" w:rsidR="00C44683" w:rsidRPr="00304CDB" w:rsidRDefault="00C44683" w:rsidP="00964F69">
            <w:pPr>
              <w:spacing w:line="240" w:lineRule="auto"/>
              <w:rPr>
                <w:rFonts w:eastAsia="Times New Roman" w:cs="Times New Roman"/>
                <w:color w:val="000000"/>
                <w:sz w:val="18"/>
                <w:szCs w:val="18"/>
              </w:rPr>
            </w:pPr>
            <w:r w:rsidRPr="00304CDB">
              <w:rPr>
                <w:rFonts w:eastAsia="Times New Roman" w:cs="Times New Roman"/>
                <w:color w:val="000000"/>
                <w:sz w:val="18"/>
                <w:szCs w:val="18"/>
              </w:rPr>
              <w:t> </w:t>
            </w:r>
          </w:p>
        </w:tc>
      </w:tr>
      <w:tr w:rsidR="00C44683" w:rsidRPr="00304CDB" w14:paraId="7A620C56"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6FE73624"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Less than High School</w:t>
            </w:r>
          </w:p>
        </w:tc>
        <w:tc>
          <w:tcPr>
            <w:tcW w:w="1350" w:type="dxa"/>
            <w:tcBorders>
              <w:top w:val="nil"/>
              <w:left w:val="nil"/>
              <w:bottom w:val="single" w:sz="4" w:space="0" w:color="808080"/>
              <w:right w:val="nil"/>
            </w:tcBorders>
            <w:shd w:val="clear" w:color="auto" w:fill="auto"/>
            <w:noWrap/>
            <w:vAlign w:val="bottom"/>
            <w:hideMark/>
          </w:tcPr>
          <w:p w14:paraId="141505FB" w14:textId="735A1765"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9%</w:t>
            </w:r>
          </w:p>
        </w:tc>
        <w:tc>
          <w:tcPr>
            <w:tcW w:w="1440" w:type="dxa"/>
            <w:gridSpan w:val="2"/>
            <w:tcBorders>
              <w:top w:val="nil"/>
              <w:left w:val="nil"/>
              <w:bottom w:val="single" w:sz="4" w:space="0" w:color="808080"/>
              <w:right w:val="nil"/>
            </w:tcBorders>
            <w:shd w:val="clear" w:color="auto" w:fill="auto"/>
            <w:noWrap/>
            <w:vAlign w:val="bottom"/>
            <w:hideMark/>
          </w:tcPr>
          <w:p w14:paraId="05932E40"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9%</w:t>
            </w:r>
          </w:p>
        </w:tc>
      </w:tr>
      <w:tr w:rsidR="00C44683" w:rsidRPr="00304CDB" w14:paraId="4E8A8CA2"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1E803D33"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High school or Equivalent, No College</w:t>
            </w:r>
          </w:p>
        </w:tc>
        <w:tc>
          <w:tcPr>
            <w:tcW w:w="1350" w:type="dxa"/>
            <w:tcBorders>
              <w:top w:val="nil"/>
              <w:left w:val="nil"/>
              <w:bottom w:val="single" w:sz="4" w:space="0" w:color="808080"/>
              <w:right w:val="nil"/>
            </w:tcBorders>
            <w:shd w:val="clear" w:color="auto" w:fill="auto"/>
            <w:noWrap/>
            <w:vAlign w:val="bottom"/>
            <w:hideMark/>
          </w:tcPr>
          <w:p w14:paraId="38B88E0B" w14:textId="5F6F88D5"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13%</w:t>
            </w:r>
          </w:p>
        </w:tc>
        <w:tc>
          <w:tcPr>
            <w:tcW w:w="1440" w:type="dxa"/>
            <w:gridSpan w:val="2"/>
            <w:tcBorders>
              <w:top w:val="nil"/>
              <w:left w:val="nil"/>
              <w:bottom w:val="single" w:sz="4" w:space="0" w:color="808080"/>
              <w:right w:val="nil"/>
            </w:tcBorders>
            <w:shd w:val="clear" w:color="auto" w:fill="auto"/>
            <w:noWrap/>
            <w:vAlign w:val="bottom"/>
            <w:hideMark/>
          </w:tcPr>
          <w:p w14:paraId="1B2DFE89"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13%</w:t>
            </w:r>
          </w:p>
        </w:tc>
      </w:tr>
      <w:tr w:rsidR="00C44683" w:rsidRPr="00304CDB" w14:paraId="18480C39"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34420BE7"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Some College or Associate Degree</w:t>
            </w:r>
          </w:p>
        </w:tc>
        <w:tc>
          <w:tcPr>
            <w:tcW w:w="1350" w:type="dxa"/>
            <w:tcBorders>
              <w:top w:val="nil"/>
              <w:left w:val="nil"/>
              <w:bottom w:val="single" w:sz="4" w:space="0" w:color="808080"/>
              <w:right w:val="nil"/>
            </w:tcBorders>
            <w:shd w:val="clear" w:color="auto" w:fill="auto"/>
            <w:noWrap/>
            <w:vAlign w:val="bottom"/>
            <w:hideMark/>
          </w:tcPr>
          <w:p w14:paraId="64CF69B8" w14:textId="60F787D4"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20%</w:t>
            </w:r>
          </w:p>
        </w:tc>
        <w:tc>
          <w:tcPr>
            <w:tcW w:w="1440" w:type="dxa"/>
            <w:gridSpan w:val="2"/>
            <w:tcBorders>
              <w:top w:val="nil"/>
              <w:left w:val="nil"/>
              <w:bottom w:val="single" w:sz="4" w:space="0" w:color="808080"/>
              <w:right w:val="nil"/>
            </w:tcBorders>
            <w:shd w:val="clear" w:color="auto" w:fill="auto"/>
            <w:noWrap/>
            <w:vAlign w:val="bottom"/>
            <w:hideMark/>
          </w:tcPr>
          <w:p w14:paraId="041798A8"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23%</w:t>
            </w:r>
          </w:p>
        </w:tc>
      </w:tr>
      <w:tr w:rsidR="00C44683" w:rsidRPr="00304CDB" w14:paraId="3742A651" w14:textId="77777777" w:rsidTr="00C44683">
        <w:trPr>
          <w:trHeight w:val="300"/>
        </w:trPr>
        <w:tc>
          <w:tcPr>
            <w:tcW w:w="4065" w:type="dxa"/>
            <w:tcBorders>
              <w:top w:val="nil"/>
              <w:left w:val="nil"/>
              <w:bottom w:val="single" w:sz="4" w:space="0" w:color="808080"/>
              <w:right w:val="nil"/>
            </w:tcBorders>
            <w:shd w:val="clear" w:color="auto" w:fill="auto"/>
            <w:noWrap/>
            <w:vAlign w:val="bottom"/>
            <w:hideMark/>
          </w:tcPr>
          <w:p w14:paraId="1F099A1C"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Bachelor's Degree or Advanced Degree</w:t>
            </w:r>
          </w:p>
        </w:tc>
        <w:tc>
          <w:tcPr>
            <w:tcW w:w="1350" w:type="dxa"/>
            <w:tcBorders>
              <w:top w:val="nil"/>
              <w:left w:val="nil"/>
              <w:bottom w:val="single" w:sz="4" w:space="0" w:color="808080"/>
              <w:right w:val="nil"/>
            </w:tcBorders>
            <w:shd w:val="clear" w:color="auto" w:fill="auto"/>
            <w:noWrap/>
            <w:vAlign w:val="bottom"/>
            <w:hideMark/>
          </w:tcPr>
          <w:p w14:paraId="4E69EEE0" w14:textId="3661CB22"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38%</w:t>
            </w:r>
          </w:p>
        </w:tc>
        <w:tc>
          <w:tcPr>
            <w:tcW w:w="1440" w:type="dxa"/>
            <w:gridSpan w:val="2"/>
            <w:tcBorders>
              <w:top w:val="nil"/>
              <w:left w:val="nil"/>
              <w:bottom w:val="single" w:sz="4" w:space="0" w:color="808080"/>
              <w:right w:val="nil"/>
            </w:tcBorders>
            <w:shd w:val="clear" w:color="auto" w:fill="auto"/>
            <w:noWrap/>
            <w:vAlign w:val="bottom"/>
            <w:hideMark/>
          </w:tcPr>
          <w:p w14:paraId="50FDE4E3"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36%</w:t>
            </w:r>
          </w:p>
        </w:tc>
      </w:tr>
      <w:tr w:rsidR="00C44683" w:rsidRPr="00304CDB" w14:paraId="2FBEA757" w14:textId="77777777" w:rsidTr="00C44683">
        <w:trPr>
          <w:trHeight w:val="300"/>
        </w:trPr>
        <w:tc>
          <w:tcPr>
            <w:tcW w:w="4065" w:type="dxa"/>
            <w:tcBorders>
              <w:top w:val="single" w:sz="4" w:space="0" w:color="808080"/>
              <w:left w:val="nil"/>
              <w:right w:val="nil"/>
            </w:tcBorders>
            <w:shd w:val="clear" w:color="auto" w:fill="auto"/>
            <w:noWrap/>
            <w:vAlign w:val="bottom"/>
            <w:hideMark/>
          </w:tcPr>
          <w:p w14:paraId="12F340B4" w14:textId="77777777" w:rsidR="00C44683" w:rsidRPr="00304CDB" w:rsidRDefault="00C44683" w:rsidP="00964F69">
            <w:pPr>
              <w:spacing w:line="240" w:lineRule="auto"/>
              <w:rPr>
                <w:rFonts w:eastAsia="Times New Roman" w:cs="Times New Roman"/>
                <w:sz w:val="18"/>
                <w:szCs w:val="18"/>
              </w:rPr>
            </w:pPr>
            <w:r w:rsidRPr="00304CDB">
              <w:rPr>
                <w:rFonts w:eastAsia="Times New Roman" w:cs="Times New Roman"/>
                <w:sz w:val="18"/>
                <w:szCs w:val="18"/>
              </w:rPr>
              <w:t>Educational Attainment Not Available</w:t>
            </w:r>
          </w:p>
        </w:tc>
        <w:tc>
          <w:tcPr>
            <w:tcW w:w="1350" w:type="dxa"/>
            <w:tcBorders>
              <w:top w:val="single" w:sz="4" w:space="0" w:color="808080"/>
              <w:left w:val="nil"/>
              <w:right w:val="nil"/>
            </w:tcBorders>
            <w:shd w:val="clear" w:color="auto" w:fill="auto"/>
            <w:noWrap/>
            <w:vAlign w:val="bottom"/>
            <w:hideMark/>
          </w:tcPr>
          <w:p w14:paraId="1905F39D" w14:textId="7421227F" w:rsidR="00C44683" w:rsidRPr="00C44683" w:rsidRDefault="00C44683" w:rsidP="00964F69">
            <w:pPr>
              <w:spacing w:line="240" w:lineRule="auto"/>
              <w:jc w:val="right"/>
              <w:rPr>
                <w:rFonts w:eastAsia="Times New Roman" w:cs="Times New Roman"/>
                <w:color w:val="000000"/>
                <w:sz w:val="18"/>
                <w:szCs w:val="18"/>
              </w:rPr>
            </w:pPr>
            <w:r w:rsidRPr="00084C7B">
              <w:rPr>
                <w:rFonts w:eastAsia="Times New Roman" w:cs="Times New Roman"/>
                <w:color w:val="000000"/>
                <w:sz w:val="18"/>
                <w:szCs w:val="18"/>
              </w:rPr>
              <w:t>20%</w:t>
            </w:r>
          </w:p>
        </w:tc>
        <w:tc>
          <w:tcPr>
            <w:tcW w:w="1440" w:type="dxa"/>
            <w:gridSpan w:val="2"/>
            <w:tcBorders>
              <w:top w:val="single" w:sz="4" w:space="0" w:color="808080"/>
              <w:left w:val="nil"/>
              <w:right w:val="nil"/>
            </w:tcBorders>
            <w:shd w:val="clear" w:color="auto" w:fill="auto"/>
            <w:noWrap/>
            <w:vAlign w:val="bottom"/>
            <w:hideMark/>
          </w:tcPr>
          <w:p w14:paraId="145F86AF" w14:textId="77777777" w:rsidR="00C44683" w:rsidRPr="00304CDB" w:rsidRDefault="00C44683" w:rsidP="00964F69">
            <w:pPr>
              <w:spacing w:line="240" w:lineRule="auto"/>
              <w:jc w:val="right"/>
              <w:rPr>
                <w:rFonts w:eastAsia="Times New Roman" w:cs="Times New Roman"/>
                <w:color w:val="000000"/>
                <w:sz w:val="18"/>
                <w:szCs w:val="18"/>
              </w:rPr>
            </w:pPr>
            <w:r w:rsidRPr="00304CDB">
              <w:rPr>
                <w:rFonts w:eastAsia="Times New Roman" w:cs="Times New Roman"/>
                <w:color w:val="000000"/>
                <w:sz w:val="18"/>
                <w:szCs w:val="18"/>
              </w:rPr>
              <w:t>19%</w:t>
            </w:r>
          </w:p>
        </w:tc>
      </w:tr>
      <w:tr w:rsidR="00C44683" w:rsidRPr="00C44683" w14:paraId="2A7D17D4" w14:textId="77777777" w:rsidTr="00C44683">
        <w:trPr>
          <w:trHeight w:val="300"/>
        </w:trPr>
        <w:tc>
          <w:tcPr>
            <w:tcW w:w="4065" w:type="dxa"/>
            <w:tcBorders>
              <w:left w:val="nil"/>
              <w:right w:val="nil"/>
            </w:tcBorders>
            <w:shd w:val="clear" w:color="auto" w:fill="auto"/>
            <w:noWrap/>
            <w:vAlign w:val="bottom"/>
            <w:hideMark/>
          </w:tcPr>
          <w:p w14:paraId="52A42C50" w14:textId="77777777" w:rsidR="00C44683" w:rsidRPr="00C44683" w:rsidRDefault="00C44683" w:rsidP="00964F69">
            <w:pPr>
              <w:spacing w:line="240" w:lineRule="auto"/>
              <w:rPr>
                <w:rFonts w:eastAsia="Times New Roman" w:cs="Times New Roman"/>
                <w:b/>
                <w:sz w:val="6"/>
                <w:szCs w:val="18"/>
              </w:rPr>
            </w:pPr>
          </w:p>
          <w:p w14:paraId="40267E2F" w14:textId="77777777" w:rsidR="00C44683" w:rsidRPr="00C44683" w:rsidRDefault="00C44683" w:rsidP="00964F69">
            <w:pPr>
              <w:spacing w:line="240" w:lineRule="auto"/>
              <w:rPr>
                <w:rFonts w:eastAsia="Times New Roman" w:cs="Times New Roman"/>
                <w:b/>
                <w:sz w:val="18"/>
                <w:szCs w:val="18"/>
              </w:rPr>
            </w:pPr>
            <w:r w:rsidRPr="00C44683">
              <w:rPr>
                <w:rFonts w:eastAsia="Times New Roman" w:cs="Times New Roman"/>
                <w:b/>
                <w:sz w:val="18"/>
                <w:szCs w:val="18"/>
              </w:rPr>
              <w:t>Total Workers</w:t>
            </w:r>
          </w:p>
        </w:tc>
        <w:tc>
          <w:tcPr>
            <w:tcW w:w="1350" w:type="dxa"/>
            <w:tcBorders>
              <w:left w:val="nil"/>
              <w:right w:val="nil"/>
            </w:tcBorders>
            <w:shd w:val="clear" w:color="auto" w:fill="auto"/>
            <w:noWrap/>
            <w:vAlign w:val="bottom"/>
            <w:hideMark/>
          </w:tcPr>
          <w:p w14:paraId="1FC3B927" w14:textId="38EAD6B3" w:rsidR="00C44683" w:rsidRPr="00C44683" w:rsidRDefault="00C44683" w:rsidP="00964F69">
            <w:pPr>
              <w:spacing w:line="240" w:lineRule="auto"/>
              <w:jc w:val="right"/>
              <w:rPr>
                <w:rFonts w:eastAsia="Times New Roman" w:cs="Times New Roman"/>
                <w:b/>
                <w:color w:val="000000"/>
                <w:sz w:val="18"/>
                <w:szCs w:val="18"/>
              </w:rPr>
            </w:pPr>
            <w:r w:rsidRPr="00C44683">
              <w:rPr>
                <w:rFonts w:eastAsia="Times New Roman" w:cs="Times New Roman"/>
                <w:b/>
                <w:color w:val="000000"/>
                <w:sz w:val="18"/>
                <w:szCs w:val="18"/>
              </w:rPr>
              <w:t>1,180</w:t>
            </w:r>
          </w:p>
        </w:tc>
        <w:tc>
          <w:tcPr>
            <w:tcW w:w="1440" w:type="dxa"/>
            <w:gridSpan w:val="2"/>
            <w:tcBorders>
              <w:left w:val="nil"/>
              <w:right w:val="nil"/>
            </w:tcBorders>
            <w:shd w:val="clear" w:color="auto" w:fill="auto"/>
            <w:noWrap/>
            <w:vAlign w:val="bottom"/>
            <w:hideMark/>
          </w:tcPr>
          <w:p w14:paraId="32A2CC1C" w14:textId="77777777" w:rsidR="00C44683" w:rsidRPr="00C44683" w:rsidRDefault="00C44683" w:rsidP="00964F69">
            <w:pPr>
              <w:spacing w:line="240" w:lineRule="auto"/>
              <w:jc w:val="right"/>
              <w:rPr>
                <w:rFonts w:eastAsia="Times New Roman" w:cs="Times New Roman"/>
                <w:b/>
                <w:color w:val="000000"/>
                <w:sz w:val="18"/>
                <w:szCs w:val="18"/>
              </w:rPr>
            </w:pPr>
            <w:r w:rsidRPr="00C44683">
              <w:rPr>
                <w:rFonts w:eastAsia="Times New Roman" w:cs="Times New Roman"/>
                <w:b/>
                <w:color w:val="000000"/>
                <w:sz w:val="18"/>
                <w:szCs w:val="18"/>
              </w:rPr>
              <w:t>303,529</w:t>
            </w:r>
          </w:p>
        </w:tc>
      </w:tr>
      <w:tr w:rsidR="00151B5F" w:rsidRPr="00BD65B3" w14:paraId="7676D5D8" w14:textId="77777777" w:rsidTr="00C44683">
        <w:trPr>
          <w:gridAfter w:val="1"/>
          <w:wAfter w:w="614" w:type="dxa"/>
          <w:trHeight w:val="300"/>
        </w:trPr>
        <w:tc>
          <w:tcPr>
            <w:tcW w:w="6241" w:type="dxa"/>
            <w:gridSpan w:val="3"/>
            <w:tcBorders>
              <w:left w:val="nil"/>
              <w:bottom w:val="nil"/>
              <w:right w:val="nil"/>
            </w:tcBorders>
            <w:shd w:val="clear" w:color="auto" w:fill="auto"/>
            <w:noWrap/>
            <w:vAlign w:val="bottom"/>
            <w:hideMark/>
          </w:tcPr>
          <w:p w14:paraId="18031853" w14:textId="77777777" w:rsidR="00BD65B3" w:rsidRPr="00BD65B3" w:rsidRDefault="00BD65B3" w:rsidP="00BD65B3">
            <w:pPr>
              <w:spacing w:line="240" w:lineRule="auto"/>
              <w:rPr>
                <w:rFonts w:eastAsia="Times New Roman" w:cs="Times New Roman"/>
                <w:iCs/>
                <w:color w:val="000000"/>
                <w:sz w:val="14"/>
                <w:szCs w:val="18"/>
              </w:rPr>
            </w:pPr>
          </w:p>
          <w:p w14:paraId="1C07E8B3" w14:textId="77777777" w:rsidR="00151B5F" w:rsidRPr="00BD65B3" w:rsidRDefault="00151B5F" w:rsidP="00BD65B3">
            <w:pPr>
              <w:spacing w:line="240" w:lineRule="auto"/>
              <w:rPr>
                <w:rFonts w:eastAsia="Times New Roman" w:cs="Times New Roman"/>
                <w:iCs/>
                <w:color w:val="000000"/>
                <w:sz w:val="18"/>
                <w:szCs w:val="18"/>
              </w:rPr>
            </w:pPr>
            <w:r w:rsidRPr="00BD65B3">
              <w:rPr>
                <w:rFonts w:eastAsia="Times New Roman" w:cs="Times New Roman"/>
                <w:iCs/>
                <w:color w:val="000000"/>
                <w:sz w:val="18"/>
                <w:szCs w:val="18"/>
              </w:rPr>
              <w:t>Source: 2011 U.S. Census On The Map</w:t>
            </w:r>
          </w:p>
        </w:tc>
      </w:tr>
      <w:tr w:rsidR="00151B5F" w:rsidRPr="00BD65B3" w14:paraId="5DC57671" w14:textId="77777777" w:rsidTr="00C44683">
        <w:trPr>
          <w:gridAfter w:val="1"/>
          <w:wAfter w:w="614" w:type="dxa"/>
          <w:trHeight w:val="225"/>
        </w:trPr>
        <w:tc>
          <w:tcPr>
            <w:tcW w:w="6241" w:type="dxa"/>
            <w:gridSpan w:val="3"/>
            <w:tcBorders>
              <w:top w:val="nil"/>
              <w:left w:val="nil"/>
              <w:bottom w:val="nil"/>
              <w:right w:val="nil"/>
            </w:tcBorders>
            <w:shd w:val="clear" w:color="auto" w:fill="auto"/>
            <w:noWrap/>
            <w:vAlign w:val="bottom"/>
            <w:hideMark/>
          </w:tcPr>
          <w:p w14:paraId="47F6AFDC" w14:textId="13AE5D53" w:rsidR="00151B5F" w:rsidRPr="00BD65B3" w:rsidRDefault="0043122A" w:rsidP="00BD65B3">
            <w:pPr>
              <w:spacing w:line="240" w:lineRule="auto"/>
              <w:rPr>
                <w:rFonts w:eastAsia="Times New Roman" w:cs="Times New Roman"/>
                <w:iCs/>
                <w:color w:val="000000"/>
                <w:sz w:val="18"/>
                <w:szCs w:val="18"/>
              </w:rPr>
            </w:pPr>
            <w:r>
              <w:rPr>
                <w:rFonts w:eastAsia="Times New Roman" w:cs="Times New Roman"/>
                <w:iCs/>
                <w:color w:val="000000"/>
                <w:sz w:val="18"/>
                <w:szCs w:val="18"/>
              </w:rPr>
              <w:t>(E</w:t>
            </w:r>
            <w:r w:rsidR="00151B5F" w:rsidRPr="00BD65B3">
              <w:rPr>
                <w:rFonts w:eastAsia="Times New Roman" w:cs="Times New Roman"/>
                <w:iCs/>
                <w:color w:val="000000"/>
                <w:sz w:val="18"/>
                <w:szCs w:val="18"/>
              </w:rPr>
              <w:t>ducational Attainment Not Available is for workers 29 and younger</w:t>
            </w:r>
            <w:r>
              <w:rPr>
                <w:rFonts w:eastAsia="Times New Roman" w:cs="Times New Roman"/>
                <w:iCs/>
                <w:color w:val="000000"/>
                <w:sz w:val="18"/>
                <w:szCs w:val="18"/>
              </w:rPr>
              <w:t>)</w:t>
            </w:r>
          </w:p>
        </w:tc>
      </w:tr>
    </w:tbl>
    <w:p w14:paraId="1CD37B57" w14:textId="77777777" w:rsidR="00151B5F" w:rsidRPr="005B6E52" w:rsidRDefault="00151B5F" w:rsidP="00067077">
      <w:pPr>
        <w:rPr>
          <w:rFonts w:eastAsia="Times New Roman" w:cs="Times New Roman"/>
          <w:sz w:val="28"/>
          <w:szCs w:val="18"/>
        </w:rPr>
      </w:pPr>
    </w:p>
    <w:p w14:paraId="4D770B5F" w14:textId="788AEDE2" w:rsidR="003C454C" w:rsidRPr="00D03FA1" w:rsidRDefault="00D25635" w:rsidP="00D03FA1">
      <w:pPr>
        <w:pStyle w:val="heading10"/>
        <w:rPr>
          <w:color w:val="0B5095"/>
        </w:rPr>
      </w:pPr>
      <w:r w:rsidRPr="006C4E74">
        <w:rPr>
          <w:color w:val="0B5095"/>
        </w:rPr>
        <w:t xml:space="preserve">Home Prices and </w:t>
      </w:r>
      <w:r w:rsidR="005B6E52">
        <w:rPr>
          <w:color w:val="0B5095"/>
        </w:rPr>
        <w:t xml:space="preserve">Sales Housing </w:t>
      </w:r>
      <w:r w:rsidRPr="006C4E74">
        <w:rPr>
          <w:color w:val="0B5095"/>
        </w:rPr>
        <w:t>Affordability</w:t>
      </w:r>
    </w:p>
    <w:p w14:paraId="6594FACD" w14:textId="1BEC2CC7" w:rsidR="003C454C" w:rsidRPr="00256487" w:rsidRDefault="003C454C" w:rsidP="003C454C">
      <w:r w:rsidRPr="00256487">
        <w:t xml:space="preserve">According to Zillow data from October 2013, the median sale price for a single-family home in Hillsborough </w:t>
      </w:r>
      <w:r w:rsidR="00256487" w:rsidRPr="00256487">
        <w:t>was</w:t>
      </w:r>
      <w:r w:rsidRPr="00256487">
        <w:t xml:space="preserve"> $3,436,200. According to Zillow, home prices in Hillsborough have increased by more than</w:t>
      </w:r>
      <w:r w:rsidR="007A61EA">
        <w:t xml:space="preserve"> a</w:t>
      </w:r>
      <w:r w:rsidRPr="00256487">
        <w:t xml:space="preserve"> fifth in the past year. Hillsborough housing prices are more than four times as expensive as countywide averages. </w:t>
      </w:r>
    </w:p>
    <w:p w14:paraId="1F66873B" w14:textId="77777777" w:rsidR="003C454C" w:rsidRPr="00256487" w:rsidRDefault="003C454C" w:rsidP="003C454C"/>
    <w:p w14:paraId="6F8FE636" w14:textId="59E43B0C" w:rsidR="00D25635" w:rsidRDefault="003C454C" w:rsidP="00D47833">
      <w:r w:rsidRPr="00256487">
        <w:t xml:space="preserve">As a result of these extremely high housing prices, even families earning a moderate income are still millions of dollars short of being able to afford a home in Hillsborough. A household would need to earn close to $700,000 annually in order to afford the median-priced home. </w:t>
      </w:r>
      <w:r w:rsidR="00D25635" w:rsidRPr="00256487">
        <w:t>A lack of affordable</w:t>
      </w:r>
      <w:r w:rsidR="00D25635">
        <w:t xml:space="preserve"> housing can lead to overcr</w:t>
      </w:r>
      <w:r w:rsidR="007939A1">
        <w:t xml:space="preserve">owding or overpayment for lower </w:t>
      </w:r>
      <w:r w:rsidR="00D25635">
        <w:t>income hous</w:t>
      </w:r>
      <w:r w:rsidR="007A61EA">
        <w:t>eholds.</w:t>
      </w:r>
    </w:p>
    <w:p w14:paraId="59442462" w14:textId="77777777" w:rsidR="00256487" w:rsidRDefault="00256487" w:rsidP="00D47833"/>
    <w:p w14:paraId="5E4BD8EF" w14:textId="564F0523" w:rsidR="00964F69" w:rsidRDefault="00964F69" w:rsidP="00067077">
      <w:pPr>
        <w:pStyle w:val="21ElementsText"/>
      </w:pPr>
      <w:r>
        <w:t>The tables below are from the San Mateo County Association of Realtors (SAMCAR) and show median single family home price trends between 2005 and the third quarter of 2013. The average price of a single family home in San Mateo County increased between 2005 and 2013 by about $150,000 (from $1,095,951 i</w:t>
      </w:r>
      <w:r w:rsidR="007A61EA">
        <w:t xml:space="preserve">n 2005 to $1,246,121 in 2013). </w:t>
      </w:r>
    </w:p>
    <w:p w14:paraId="5C575C96" w14:textId="77777777" w:rsidR="00F83EF7" w:rsidRDefault="00F83EF7" w:rsidP="00067077">
      <w:pPr>
        <w:pStyle w:val="21ElementsText"/>
      </w:pPr>
    </w:p>
    <w:p w14:paraId="5C949A25" w14:textId="5D281122" w:rsidR="00F83EF7" w:rsidRPr="00236E9F" w:rsidRDefault="00F83EF7" w:rsidP="00F83EF7">
      <w:pPr>
        <w:spacing w:line="240" w:lineRule="auto"/>
        <w:rPr>
          <w:rFonts w:ascii="Arial" w:hAnsi="Arial" w:cs="Arial"/>
          <w:sz w:val="12"/>
          <w:szCs w:val="22"/>
        </w:rPr>
      </w:pPr>
    </w:p>
    <w:tbl>
      <w:tblPr>
        <w:tblW w:w="9270" w:type="dxa"/>
        <w:tblInd w:w="108" w:type="dxa"/>
        <w:tblLayout w:type="fixed"/>
        <w:tblLook w:val="0000" w:firstRow="0" w:lastRow="0" w:firstColumn="0" w:lastColumn="0" w:noHBand="0" w:noVBand="0"/>
      </w:tblPr>
      <w:tblGrid>
        <w:gridCol w:w="2340"/>
        <w:gridCol w:w="1260"/>
        <w:gridCol w:w="1440"/>
        <w:gridCol w:w="1260"/>
        <w:gridCol w:w="1530"/>
        <w:gridCol w:w="1440"/>
      </w:tblGrid>
      <w:tr w:rsidR="00F83EF7" w:rsidRPr="00BD0120" w14:paraId="382DFEA0" w14:textId="77777777" w:rsidTr="00BA1843">
        <w:trPr>
          <w:trHeight w:val="300"/>
        </w:trPr>
        <w:tc>
          <w:tcPr>
            <w:tcW w:w="7830" w:type="dxa"/>
            <w:gridSpan w:val="5"/>
            <w:tcBorders>
              <w:top w:val="nil"/>
              <w:left w:val="nil"/>
              <w:bottom w:val="nil"/>
              <w:right w:val="nil"/>
            </w:tcBorders>
            <w:shd w:val="solid" w:color="000000" w:fill="auto"/>
            <w:vAlign w:val="center"/>
          </w:tcPr>
          <w:p w14:paraId="4BEA7806" w14:textId="77777777" w:rsidR="00F83EF7" w:rsidRPr="00BD0120" w:rsidRDefault="00F83EF7" w:rsidP="00BA1843">
            <w:pPr>
              <w:pStyle w:val="Heading1"/>
              <w:spacing w:before="60"/>
              <w:ind w:right="-918"/>
            </w:pPr>
            <w:r w:rsidRPr="00BD0120">
              <w:t xml:space="preserve"> </w:t>
            </w:r>
            <w:r>
              <w:t>Median Single Family Home Sales Prices (2005, 2010, 2012 and 3</w:t>
            </w:r>
            <w:r w:rsidRPr="009D603D">
              <w:rPr>
                <w:vertAlign w:val="superscript"/>
              </w:rPr>
              <w:t>rd</w:t>
            </w:r>
            <w:r>
              <w:t xml:space="preserve"> Quarter 2013)</w:t>
            </w:r>
          </w:p>
        </w:tc>
        <w:tc>
          <w:tcPr>
            <w:tcW w:w="1440" w:type="dxa"/>
            <w:tcBorders>
              <w:top w:val="nil"/>
              <w:left w:val="nil"/>
              <w:bottom w:val="nil"/>
              <w:right w:val="nil"/>
            </w:tcBorders>
            <w:shd w:val="solid" w:color="000000" w:fill="auto"/>
          </w:tcPr>
          <w:p w14:paraId="7D0B5E4F" w14:textId="77777777" w:rsidR="00F83EF7" w:rsidRPr="00BD0120" w:rsidRDefault="00F83EF7" w:rsidP="00BA1843">
            <w:pPr>
              <w:pStyle w:val="Heading1"/>
              <w:spacing w:before="60"/>
            </w:pPr>
          </w:p>
        </w:tc>
      </w:tr>
      <w:tr w:rsidR="00F83EF7" w:rsidRPr="009D603D" w14:paraId="0BF589E5" w14:textId="77777777" w:rsidTr="00BA1843">
        <w:trPr>
          <w:trHeight w:val="319"/>
        </w:trPr>
        <w:tc>
          <w:tcPr>
            <w:tcW w:w="2340" w:type="dxa"/>
            <w:tcBorders>
              <w:top w:val="nil"/>
              <w:left w:val="nil"/>
              <w:bottom w:val="single" w:sz="12" w:space="0" w:color="auto"/>
              <w:right w:val="nil"/>
            </w:tcBorders>
            <w:vAlign w:val="bottom"/>
          </w:tcPr>
          <w:p w14:paraId="578E18C4" w14:textId="77777777" w:rsidR="00F83EF7" w:rsidRPr="009D603D" w:rsidRDefault="00F83EF7" w:rsidP="00BA1843">
            <w:pPr>
              <w:widowControl w:val="0"/>
              <w:autoSpaceDE w:val="0"/>
              <w:autoSpaceDN w:val="0"/>
              <w:adjustRightInd w:val="0"/>
              <w:spacing w:line="240" w:lineRule="auto"/>
              <w:jc w:val="right"/>
              <w:rPr>
                <w:rFonts w:cs="Century Gothic"/>
                <w:color w:val="000000"/>
                <w:sz w:val="18"/>
                <w:szCs w:val="18"/>
              </w:rPr>
            </w:pPr>
          </w:p>
        </w:tc>
        <w:tc>
          <w:tcPr>
            <w:tcW w:w="1260" w:type="dxa"/>
            <w:tcBorders>
              <w:left w:val="nil"/>
              <w:bottom w:val="single" w:sz="12" w:space="0" w:color="auto"/>
              <w:right w:val="nil"/>
            </w:tcBorders>
            <w:vAlign w:val="bottom"/>
          </w:tcPr>
          <w:p w14:paraId="4B74AC8E"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r w:rsidRPr="009D603D">
              <w:rPr>
                <w:rFonts w:cs="Century Gothic"/>
                <w:b/>
                <w:color w:val="000000"/>
                <w:sz w:val="18"/>
                <w:szCs w:val="18"/>
              </w:rPr>
              <w:t>2005</w:t>
            </w:r>
          </w:p>
          <w:p w14:paraId="560CB22E" w14:textId="77777777" w:rsidR="00F83EF7" w:rsidRPr="009D603D" w:rsidRDefault="00F83EF7" w:rsidP="00BA1843">
            <w:pPr>
              <w:widowControl w:val="0"/>
              <w:autoSpaceDE w:val="0"/>
              <w:autoSpaceDN w:val="0"/>
              <w:adjustRightInd w:val="0"/>
              <w:spacing w:line="240" w:lineRule="auto"/>
              <w:jc w:val="right"/>
              <w:rPr>
                <w:rFonts w:cs="Century Gothic"/>
                <w:color w:val="000000"/>
                <w:sz w:val="18"/>
                <w:szCs w:val="18"/>
              </w:rPr>
            </w:pPr>
          </w:p>
        </w:tc>
        <w:tc>
          <w:tcPr>
            <w:tcW w:w="1440" w:type="dxa"/>
            <w:tcBorders>
              <w:left w:val="nil"/>
              <w:bottom w:val="single" w:sz="12" w:space="0" w:color="auto"/>
              <w:right w:val="nil"/>
            </w:tcBorders>
            <w:vAlign w:val="bottom"/>
          </w:tcPr>
          <w:p w14:paraId="401C77E9"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p>
          <w:p w14:paraId="1F310063"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r>
              <w:rPr>
                <w:rFonts w:cs="Century Gothic"/>
                <w:b/>
                <w:color w:val="000000"/>
                <w:sz w:val="18"/>
                <w:szCs w:val="18"/>
              </w:rPr>
              <w:t>2010</w:t>
            </w:r>
          </w:p>
          <w:p w14:paraId="35E8882B" w14:textId="77777777" w:rsidR="00F83EF7" w:rsidRPr="009D603D" w:rsidRDefault="00F83EF7" w:rsidP="00BA1843">
            <w:pPr>
              <w:widowControl w:val="0"/>
              <w:autoSpaceDE w:val="0"/>
              <w:autoSpaceDN w:val="0"/>
              <w:adjustRightInd w:val="0"/>
              <w:spacing w:line="240" w:lineRule="auto"/>
              <w:jc w:val="right"/>
              <w:rPr>
                <w:rFonts w:cs="Century Gothic"/>
                <w:color w:val="000000"/>
                <w:sz w:val="18"/>
                <w:szCs w:val="18"/>
              </w:rPr>
            </w:pPr>
          </w:p>
        </w:tc>
        <w:tc>
          <w:tcPr>
            <w:tcW w:w="1260" w:type="dxa"/>
            <w:tcBorders>
              <w:left w:val="nil"/>
              <w:bottom w:val="single" w:sz="12" w:space="0" w:color="auto"/>
              <w:right w:val="nil"/>
            </w:tcBorders>
            <w:vAlign w:val="bottom"/>
          </w:tcPr>
          <w:p w14:paraId="34BCA7EC"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p>
          <w:p w14:paraId="4482DB75"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r>
              <w:rPr>
                <w:rFonts w:cs="Century Gothic"/>
                <w:b/>
                <w:color w:val="000000"/>
                <w:sz w:val="18"/>
                <w:szCs w:val="18"/>
              </w:rPr>
              <w:t>2012</w:t>
            </w:r>
          </w:p>
          <w:p w14:paraId="6B29DF5C" w14:textId="77777777" w:rsidR="00F83EF7" w:rsidRPr="009D603D" w:rsidRDefault="00F83EF7" w:rsidP="00BA1843">
            <w:pPr>
              <w:widowControl w:val="0"/>
              <w:autoSpaceDE w:val="0"/>
              <w:autoSpaceDN w:val="0"/>
              <w:adjustRightInd w:val="0"/>
              <w:spacing w:line="240" w:lineRule="auto"/>
              <w:jc w:val="right"/>
              <w:rPr>
                <w:rFonts w:cs="Century Gothic"/>
                <w:color w:val="000000"/>
                <w:sz w:val="18"/>
                <w:szCs w:val="18"/>
              </w:rPr>
            </w:pPr>
          </w:p>
        </w:tc>
        <w:tc>
          <w:tcPr>
            <w:tcW w:w="1530" w:type="dxa"/>
            <w:tcBorders>
              <w:left w:val="nil"/>
              <w:bottom w:val="single" w:sz="12" w:space="0" w:color="auto"/>
              <w:right w:val="nil"/>
            </w:tcBorders>
            <w:vAlign w:val="bottom"/>
          </w:tcPr>
          <w:p w14:paraId="406AADAE"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p>
          <w:p w14:paraId="5795BD5B"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r>
              <w:rPr>
                <w:rFonts w:cs="Century Gothic"/>
                <w:b/>
                <w:color w:val="000000"/>
                <w:sz w:val="18"/>
                <w:szCs w:val="18"/>
              </w:rPr>
              <w:t>Third-Quarter of 2013</w:t>
            </w:r>
          </w:p>
          <w:p w14:paraId="268E4166" w14:textId="77777777" w:rsidR="00F83EF7" w:rsidRPr="009D603D" w:rsidRDefault="00F83EF7" w:rsidP="00BA1843">
            <w:pPr>
              <w:widowControl w:val="0"/>
              <w:autoSpaceDE w:val="0"/>
              <w:autoSpaceDN w:val="0"/>
              <w:adjustRightInd w:val="0"/>
              <w:spacing w:line="240" w:lineRule="auto"/>
              <w:jc w:val="right"/>
              <w:rPr>
                <w:rFonts w:cs="Century Gothic"/>
                <w:color w:val="000000"/>
                <w:sz w:val="18"/>
                <w:szCs w:val="18"/>
              </w:rPr>
            </w:pPr>
          </w:p>
        </w:tc>
        <w:tc>
          <w:tcPr>
            <w:tcW w:w="1440" w:type="dxa"/>
            <w:tcBorders>
              <w:left w:val="nil"/>
              <w:bottom w:val="single" w:sz="12" w:space="0" w:color="auto"/>
              <w:right w:val="nil"/>
            </w:tcBorders>
            <w:vAlign w:val="bottom"/>
          </w:tcPr>
          <w:p w14:paraId="3A6FAAC4"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p>
          <w:p w14:paraId="68F6EA55"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r>
              <w:rPr>
                <w:rFonts w:cs="Century Gothic"/>
                <w:b/>
                <w:color w:val="000000"/>
                <w:sz w:val="18"/>
                <w:szCs w:val="18"/>
              </w:rPr>
              <w:t>Actual Change (2005-2013)</w:t>
            </w:r>
          </w:p>
          <w:p w14:paraId="6388A381" w14:textId="77777777" w:rsidR="00F83EF7" w:rsidRPr="009D603D" w:rsidRDefault="00F83EF7" w:rsidP="00BA1843">
            <w:pPr>
              <w:widowControl w:val="0"/>
              <w:autoSpaceDE w:val="0"/>
              <w:autoSpaceDN w:val="0"/>
              <w:adjustRightInd w:val="0"/>
              <w:spacing w:line="240" w:lineRule="auto"/>
              <w:jc w:val="right"/>
              <w:rPr>
                <w:rFonts w:cs="Century Gothic"/>
                <w:b/>
                <w:color w:val="000000"/>
                <w:sz w:val="18"/>
                <w:szCs w:val="18"/>
              </w:rPr>
            </w:pPr>
          </w:p>
        </w:tc>
      </w:tr>
      <w:tr w:rsidR="00F83EF7" w:rsidRPr="009C57FF" w14:paraId="5C075307" w14:textId="77777777" w:rsidTr="00BA1843">
        <w:trPr>
          <w:trHeight w:val="141"/>
        </w:trPr>
        <w:tc>
          <w:tcPr>
            <w:tcW w:w="2340" w:type="dxa"/>
            <w:tcBorders>
              <w:top w:val="nil"/>
              <w:left w:val="nil"/>
              <w:bottom w:val="single" w:sz="6" w:space="0" w:color="808080"/>
              <w:right w:val="nil"/>
            </w:tcBorders>
            <w:vAlign w:val="bottom"/>
          </w:tcPr>
          <w:p w14:paraId="65B7DD99" w14:textId="745B50C6" w:rsidR="00F83EF7" w:rsidRPr="009C57FF" w:rsidRDefault="00E0242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Atherton</w:t>
            </w:r>
          </w:p>
        </w:tc>
        <w:tc>
          <w:tcPr>
            <w:tcW w:w="1260" w:type="dxa"/>
            <w:tcBorders>
              <w:top w:val="nil"/>
              <w:left w:val="nil"/>
              <w:bottom w:val="single" w:sz="6" w:space="0" w:color="808080"/>
              <w:right w:val="nil"/>
            </w:tcBorders>
            <w:vAlign w:val="bottom"/>
          </w:tcPr>
          <w:p w14:paraId="59BD1464"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$3,000,000</w:t>
            </w:r>
          </w:p>
        </w:tc>
        <w:tc>
          <w:tcPr>
            <w:tcW w:w="1440" w:type="dxa"/>
            <w:tcBorders>
              <w:top w:val="nil"/>
              <w:left w:val="nil"/>
              <w:bottom w:val="single" w:sz="6" w:space="0" w:color="808080"/>
              <w:right w:val="nil"/>
            </w:tcBorders>
            <w:vAlign w:val="bottom"/>
          </w:tcPr>
          <w:p w14:paraId="45C42A0D"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$2,900,000</w:t>
            </w:r>
          </w:p>
        </w:tc>
        <w:tc>
          <w:tcPr>
            <w:tcW w:w="1260" w:type="dxa"/>
            <w:tcBorders>
              <w:top w:val="nil"/>
              <w:left w:val="nil"/>
              <w:bottom w:val="single" w:sz="6" w:space="0" w:color="808080"/>
              <w:right w:val="nil"/>
            </w:tcBorders>
            <w:vAlign w:val="bottom"/>
          </w:tcPr>
          <w:p w14:paraId="118E19E1"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$3,200,000</w:t>
            </w:r>
          </w:p>
        </w:tc>
        <w:tc>
          <w:tcPr>
            <w:tcW w:w="1530" w:type="dxa"/>
            <w:tcBorders>
              <w:top w:val="nil"/>
              <w:left w:val="nil"/>
              <w:bottom w:val="single" w:sz="6" w:space="0" w:color="808080"/>
              <w:right w:val="nil"/>
            </w:tcBorders>
            <w:vAlign w:val="bottom"/>
          </w:tcPr>
          <w:p w14:paraId="13838876"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$3,225,000</w:t>
            </w:r>
          </w:p>
        </w:tc>
        <w:tc>
          <w:tcPr>
            <w:tcW w:w="1440" w:type="dxa"/>
            <w:tcBorders>
              <w:top w:val="nil"/>
              <w:left w:val="nil"/>
              <w:bottom w:val="single" w:sz="6" w:space="0" w:color="808080"/>
              <w:right w:val="nil"/>
            </w:tcBorders>
            <w:vAlign w:val="bottom"/>
          </w:tcPr>
          <w:p w14:paraId="3816C16D"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+$225,000</w:t>
            </w:r>
          </w:p>
        </w:tc>
      </w:tr>
      <w:tr w:rsidR="00F83EF7" w:rsidRPr="00A81C9A" w14:paraId="1C8373D4" w14:textId="77777777" w:rsidTr="00BA1843">
        <w:trPr>
          <w:trHeight w:val="93"/>
        </w:trPr>
        <w:tc>
          <w:tcPr>
            <w:tcW w:w="2340" w:type="dxa"/>
            <w:tcBorders>
              <w:top w:val="single" w:sz="6" w:space="0" w:color="808080"/>
              <w:left w:val="nil"/>
              <w:bottom w:val="single" w:sz="6" w:space="0" w:color="808080"/>
              <w:right w:val="nil"/>
            </w:tcBorders>
            <w:vAlign w:val="bottom"/>
          </w:tcPr>
          <w:p w14:paraId="20092AFB" w14:textId="77777777" w:rsidR="00F83EF7" w:rsidRPr="00A81C9A" w:rsidRDefault="00F83EF7" w:rsidP="00BA1843">
            <w:pPr>
              <w:widowControl w:val="0"/>
              <w:autoSpaceDE w:val="0"/>
              <w:autoSpaceDN w:val="0"/>
              <w:adjustRightInd w:val="0"/>
              <w:ind w:left="-108"/>
              <w:rPr>
                <w:rFonts w:cs="Century Gothic"/>
                <w:color w:val="000000"/>
                <w:sz w:val="18"/>
                <w:szCs w:val="18"/>
              </w:rPr>
            </w:pPr>
            <w:r w:rsidRPr="00A81C9A">
              <w:rPr>
                <w:rFonts w:cs="Century Gothic"/>
                <w:color w:val="000000"/>
                <w:sz w:val="18"/>
                <w:szCs w:val="18"/>
              </w:rPr>
              <w:t>Belmont</w:t>
            </w:r>
          </w:p>
        </w:tc>
        <w:tc>
          <w:tcPr>
            <w:tcW w:w="1260" w:type="dxa"/>
            <w:tcBorders>
              <w:top w:val="single" w:sz="6" w:space="0" w:color="808080"/>
              <w:left w:val="nil"/>
              <w:bottom w:val="single" w:sz="6" w:space="0" w:color="808080"/>
              <w:right w:val="nil"/>
            </w:tcBorders>
            <w:vAlign w:val="bottom"/>
          </w:tcPr>
          <w:p w14:paraId="1AC2A731" w14:textId="77777777" w:rsidR="00F83EF7" w:rsidRPr="00A81C9A"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$920,500</w:t>
            </w:r>
          </w:p>
        </w:tc>
        <w:tc>
          <w:tcPr>
            <w:tcW w:w="1440" w:type="dxa"/>
            <w:tcBorders>
              <w:top w:val="single" w:sz="6" w:space="0" w:color="808080"/>
              <w:left w:val="nil"/>
              <w:bottom w:val="single" w:sz="6" w:space="0" w:color="808080"/>
              <w:right w:val="nil"/>
            </w:tcBorders>
            <w:vAlign w:val="bottom"/>
          </w:tcPr>
          <w:p w14:paraId="3894CBA2" w14:textId="77777777" w:rsidR="00F83EF7" w:rsidRPr="00A81C9A"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$882,000</w:t>
            </w:r>
          </w:p>
        </w:tc>
        <w:tc>
          <w:tcPr>
            <w:tcW w:w="1260" w:type="dxa"/>
            <w:tcBorders>
              <w:top w:val="single" w:sz="6" w:space="0" w:color="808080"/>
              <w:left w:val="nil"/>
              <w:bottom w:val="single" w:sz="6" w:space="0" w:color="808080"/>
              <w:right w:val="nil"/>
            </w:tcBorders>
            <w:vAlign w:val="bottom"/>
          </w:tcPr>
          <w:p w14:paraId="3F54CE9B" w14:textId="77777777" w:rsidR="00F83EF7" w:rsidRPr="00A81C9A"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$912,000</w:t>
            </w:r>
          </w:p>
        </w:tc>
        <w:tc>
          <w:tcPr>
            <w:tcW w:w="1530" w:type="dxa"/>
            <w:tcBorders>
              <w:top w:val="single" w:sz="6" w:space="0" w:color="808080"/>
              <w:left w:val="nil"/>
              <w:bottom w:val="single" w:sz="6" w:space="0" w:color="808080"/>
              <w:right w:val="nil"/>
            </w:tcBorders>
            <w:vAlign w:val="bottom"/>
          </w:tcPr>
          <w:p w14:paraId="3386F876" w14:textId="77777777" w:rsidR="00F83EF7" w:rsidRPr="00A81C9A"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$1,123,500</w:t>
            </w:r>
          </w:p>
        </w:tc>
        <w:tc>
          <w:tcPr>
            <w:tcW w:w="1440" w:type="dxa"/>
            <w:tcBorders>
              <w:top w:val="single" w:sz="6" w:space="0" w:color="808080"/>
              <w:left w:val="nil"/>
              <w:bottom w:val="single" w:sz="6" w:space="0" w:color="808080"/>
              <w:right w:val="nil"/>
            </w:tcBorders>
            <w:vAlign w:val="bottom"/>
          </w:tcPr>
          <w:p w14:paraId="5BF68CC6" w14:textId="77777777" w:rsidR="00F83EF7" w:rsidRPr="00A81C9A"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+$203,000</w:t>
            </w:r>
          </w:p>
        </w:tc>
      </w:tr>
      <w:tr w:rsidR="00F83EF7" w14:paraId="3EF34A8E" w14:textId="77777777" w:rsidTr="00BA1843">
        <w:trPr>
          <w:trHeight w:val="138"/>
        </w:trPr>
        <w:tc>
          <w:tcPr>
            <w:tcW w:w="2340" w:type="dxa"/>
            <w:tcBorders>
              <w:top w:val="single" w:sz="6" w:space="0" w:color="808080"/>
              <w:left w:val="nil"/>
              <w:bottom w:val="single" w:sz="6" w:space="0" w:color="808080"/>
              <w:right w:val="nil"/>
            </w:tcBorders>
            <w:vAlign w:val="bottom"/>
          </w:tcPr>
          <w:p w14:paraId="79FF5511"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Brisbane</w:t>
            </w:r>
          </w:p>
        </w:tc>
        <w:tc>
          <w:tcPr>
            <w:tcW w:w="1260" w:type="dxa"/>
            <w:tcBorders>
              <w:top w:val="single" w:sz="6" w:space="0" w:color="808080"/>
              <w:left w:val="nil"/>
              <w:bottom w:val="single" w:sz="6" w:space="0" w:color="808080"/>
              <w:right w:val="nil"/>
            </w:tcBorders>
            <w:vAlign w:val="bottom"/>
          </w:tcPr>
          <w:p w14:paraId="536F7133"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$690,500</w:t>
            </w:r>
          </w:p>
        </w:tc>
        <w:tc>
          <w:tcPr>
            <w:tcW w:w="1440" w:type="dxa"/>
            <w:tcBorders>
              <w:top w:val="single" w:sz="6" w:space="0" w:color="808080"/>
              <w:left w:val="nil"/>
              <w:bottom w:val="single" w:sz="6" w:space="0" w:color="808080"/>
              <w:right w:val="nil"/>
            </w:tcBorders>
            <w:vAlign w:val="bottom"/>
          </w:tcPr>
          <w:p w14:paraId="75568D76"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$532,500</w:t>
            </w:r>
          </w:p>
        </w:tc>
        <w:tc>
          <w:tcPr>
            <w:tcW w:w="1260" w:type="dxa"/>
            <w:tcBorders>
              <w:top w:val="single" w:sz="6" w:space="0" w:color="808080"/>
              <w:left w:val="nil"/>
              <w:bottom w:val="single" w:sz="6" w:space="0" w:color="808080"/>
              <w:right w:val="nil"/>
            </w:tcBorders>
            <w:vAlign w:val="bottom"/>
          </w:tcPr>
          <w:p w14:paraId="147DE334"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$597,500</w:t>
            </w:r>
          </w:p>
        </w:tc>
        <w:tc>
          <w:tcPr>
            <w:tcW w:w="1530" w:type="dxa"/>
            <w:tcBorders>
              <w:top w:val="single" w:sz="6" w:space="0" w:color="808080"/>
              <w:left w:val="nil"/>
              <w:bottom w:val="single" w:sz="6" w:space="0" w:color="808080"/>
              <w:right w:val="nil"/>
            </w:tcBorders>
            <w:vAlign w:val="bottom"/>
          </w:tcPr>
          <w:p w14:paraId="3C81F4C4"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$720,000</w:t>
            </w:r>
          </w:p>
        </w:tc>
        <w:tc>
          <w:tcPr>
            <w:tcW w:w="1440" w:type="dxa"/>
            <w:tcBorders>
              <w:top w:val="single" w:sz="6" w:space="0" w:color="808080"/>
              <w:left w:val="nil"/>
              <w:bottom w:val="single" w:sz="6" w:space="0" w:color="808080"/>
              <w:right w:val="nil"/>
            </w:tcBorders>
            <w:vAlign w:val="bottom"/>
          </w:tcPr>
          <w:p w14:paraId="6097E9DA"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+$29,500</w:t>
            </w:r>
          </w:p>
        </w:tc>
      </w:tr>
      <w:tr w:rsidR="00F83EF7" w14:paraId="43EE8FC5" w14:textId="77777777" w:rsidTr="00BA1843">
        <w:trPr>
          <w:trHeight w:val="93"/>
        </w:trPr>
        <w:tc>
          <w:tcPr>
            <w:tcW w:w="2340" w:type="dxa"/>
            <w:tcBorders>
              <w:top w:val="single" w:sz="6" w:space="0" w:color="808080"/>
              <w:left w:val="nil"/>
              <w:bottom w:val="single" w:sz="6" w:space="0" w:color="808080"/>
              <w:right w:val="nil"/>
            </w:tcBorders>
            <w:vAlign w:val="bottom"/>
          </w:tcPr>
          <w:p w14:paraId="167FF4D1" w14:textId="77777777" w:rsidR="00F83EF7" w:rsidRPr="009F7E9D" w:rsidRDefault="00F83EF7" w:rsidP="00BA1843">
            <w:pPr>
              <w:widowControl w:val="0"/>
              <w:autoSpaceDE w:val="0"/>
              <w:autoSpaceDN w:val="0"/>
              <w:adjustRightInd w:val="0"/>
              <w:ind w:left="-108"/>
              <w:rPr>
                <w:rFonts w:cs="Century Gothic"/>
                <w:color w:val="000000"/>
                <w:sz w:val="18"/>
                <w:szCs w:val="18"/>
              </w:rPr>
            </w:pPr>
            <w:r w:rsidRPr="009F7E9D">
              <w:rPr>
                <w:rFonts w:cs="Century Gothic"/>
                <w:color w:val="000000"/>
                <w:sz w:val="18"/>
                <w:szCs w:val="18"/>
              </w:rPr>
              <w:t>Burlingame</w:t>
            </w:r>
          </w:p>
        </w:tc>
        <w:tc>
          <w:tcPr>
            <w:tcW w:w="1260" w:type="dxa"/>
            <w:tcBorders>
              <w:top w:val="single" w:sz="6" w:space="0" w:color="808080"/>
              <w:left w:val="nil"/>
              <w:bottom w:val="single" w:sz="6" w:space="0" w:color="808080"/>
              <w:right w:val="nil"/>
            </w:tcBorders>
            <w:vAlign w:val="bottom"/>
          </w:tcPr>
          <w:p w14:paraId="45DFB77D" w14:textId="77777777" w:rsidR="00F83EF7" w:rsidRPr="009F7E9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$1,250,000</w:t>
            </w:r>
          </w:p>
        </w:tc>
        <w:tc>
          <w:tcPr>
            <w:tcW w:w="1440" w:type="dxa"/>
            <w:tcBorders>
              <w:top w:val="single" w:sz="6" w:space="0" w:color="808080"/>
              <w:left w:val="nil"/>
              <w:bottom w:val="single" w:sz="6" w:space="0" w:color="808080"/>
              <w:right w:val="nil"/>
            </w:tcBorders>
            <w:vAlign w:val="bottom"/>
          </w:tcPr>
          <w:p w14:paraId="328F0DC7" w14:textId="77777777" w:rsidR="00F83EF7" w:rsidRPr="009F7E9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$1,080,000</w:t>
            </w:r>
          </w:p>
        </w:tc>
        <w:tc>
          <w:tcPr>
            <w:tcW w:w="1260" w:type="dxa"/>
            <w:tcBorders>
              <w:top w:val="single" w:sz="6" w:space="0" w:color="808080"/>
              <w:left w:val="nil"/>
              <w:bottom w:val="single" w:sz="6" w:space="0" w:color="808080"/>
              <w:right w:val="nil"/>
            </w:tcBorders>
            <w:vAlign w:val="bottom"/>
          </w:tcPr>
          <w:p w14:paraId="35105D31" w14:textId="77777777" w:rsidR="00F83EF7" w:rsidRPr="009F7E9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$1,300,000</w:t>
            </w:r>
          </w:p>
        </w:tc>
        <w:tc>
          <w:tcPr>
            <w:tcW w:w="1530" w:type="dxa"/>
            <w:tcBorders>
              <w:top w:val="single" w:sz="6" w:space="0" w:color="808080"/>
              <w:left w:val="nil"/>
              <w:bottom w:val="single" w:sz="6" w:space="0" w:color="808080"/>
              <w:right w:val="nil"/>
            </w:tcBorders>
            <w:vAlign w:val="bottom"/>
          </w:tcPr>
          <w:p w14:paraId="4FD3E8BB" w14:textId="77777777" w:rsidR="00F83EF7" w:rsidRPr="009F7E9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$1,520,500</w:t>
            </w:r>
          </w:p>
        </w:tc>
        <w:tc>
          <w:tcPr>
            <w:tcW w:w="1440" w:type="dxa"/>
            <w:tcBorders>
              <w:top w:val="single" w:sz="6" w:space="0" w:color="808080"/>
              <w:left w:val="nil"/>
              <w:bottom w:val="single" w:sz="6" w:space="0" w:color="808080"/>
              <w:right w:val="nil"/>
            </w:tcBorders>
            <w:vAlign w:val="bottom"/>
          </w:tcPr>
          <w:p w14:paraId="0F94362A" w14:textId="77777777" w:rsidR="00F83EF7" w:rsidRPr="009F7E9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+$270,500</w:t>
            </w:r>
          </w:p>
        </w:tc>
      </w:tr>
      <w:tr w:rsidR="00F83EF7" w:rsidRPr="00BC783E" w14:paraId="52958155" w14:textId="77777777" w:rsidTr="00BA1843">
        <w:trPr>
          <w:trHeight w:val="138"/>
        </w:trPr>
        <w:tc>
          <w:tcPr>
            <w:tcW w:w="2340" w:type="dxa"/>
            <w:tcBorders>
              <w:top w:val="single" w:sz="6" w:space="0" w:color="808080"/>
              <w:left w:val="nil"/>
              <w:bottom w:val="single" w:sz="6" w:space="0" w:color="808080"/>
              <w:right w:val="nil"/>
            </w:tcBorders>
            <w:vAlign w:val="bottom"/>
          </w:tcPr>
          <w:p w14:paraId="320E6058" w14:textId="3DD82570" w:rsidR="00F83EF7" w:rsidRPr="00BC783E" w:rsidRDefault="00BC783E" w:rsidP="00BA1843">
            <w:pPr>
              <w:widowControl w:val="0"/>
              <w:autoSpaceDE w:val="0"/>
              <w:autoSpaceDN w:val="0"/>
              <w:adjustRightInd w:val="0"/>
              <w:ind w:left="-108"/>
              <w:rPr>
                <w:rFonts w:cs="Century Gothic"/>
                <w:color w:val="000000"/>
                <w:sz w:val="18"/>
                <w:szCs w:val="18"/>
              </w:rPr>
            </w:pPr>
            <w:r w:rsidRPr="00BC783E">
              <w:rPr>
                <w:rFonts w:cs="Century Gothic"/>
                <w:color w:val="000000"/>
                <w:sz w:val="18"/>
                <w:szCs w:val="18"/>
              </w:rPr>
              <w:t>Colma</w:t>
            </w:r>
          </w:p>
        </w:tc>
        <w:tc>
          <w:tcPr>
            <w:tcW w:w="1260" w:type="dxa"/>
            <w:tcBorders>
              <w:top w:val="single" w:sz="6" w:space="0" w:color="808080"/>
              <w:left w:val="nil"/>
              <w:bottom w:val="single" w:sz="6" w:space="0" w:color="808080"/>
              <w:right w:val="nil"/>
            </w:tcBorders>
            <w:vAlign w:val="bottom"/>
          </w:tcPr>
          <w:p w14:paraId="6C92D965" w14:textId="77777777" w:rsidR="00F83EF7" w:rsidRPr="00BC783E" w:rsidRDefault="00F83EF7" w:rsidP="00BA1843">
            <w:pPr>
              <w:widowControl w:val="0"/>
              <w:autoSpaceDE w:val="0"/>
              <w:autoSpaceDN w:val="0"/>
              <w:adjustRightInd w:val="0"/>
              <w:jc w:val="right"/>
              <w:rPr>
                <w:rFonts w:cs="Century Gothic"/>
                <w:color w:val="000000"/>
                <w:sz w:val="18"/>
                <w:szCs w:val="18"/>
              </w:rPr>
            </w:pPr>
            <w:r w:rsidRPr="00BC783E">
              <w:rPr>
                <w:rFonts w:cs="Century Gothic"/>
                <w:color w:val="000000"/>
                <w:sz w:val="18"/>
                <w:szCs w:val="18"/>
              </w:rPr>
              <w:t>$792,500</w:t>
            </w:r>
          </w:p>
        </w:tc>
        <w:tc>
          <w:tcPr>
            <w:tcW w:w="1440" w:type="dxa"/>
            <w:tcBorders>
              <w:top w:val="single" w:sz="6" w:space="0" w:color="808080"/>
              <w:left w:val="nil"/>
              <w:bottom w:val="single" w:sz="6" w:space="0" w:color="808080"/>
              <w:right w:val="nil"/>
            </w:tcBorders>
            <w:vAlign w:val="bottom"/>
          </w:tcPr>
          <w:p w14:paraId="58AAF831" w14:textId="77777777" w:rsidR="00F83EF7" w:rsidRPr="00BC783E" w:rsidRDefault="00F83EF7" w:rsidP="00BA1843">
            <w:pPr>
              <w:widowControl w:val="0"/>
              <w:autoSpaceDE w:val="0"/>
              <w:autoSpaceDN w:val="0"/>
              <w:adjustRightInd w:val="0"/>
              <w:jc w:val="right"/>
              <w:rPr>
                <w:rFonts w:cs="Century Gothic"/>
                <w:color w:val="000000"/>
                <w:sz w:val="18"/>
                <w:szCs w:val="18"/>
              </w:rPr>
            </w:pPr>
            <w:r w:rsidRPr="00BC783E">
              <w:rPr>
                <w:rFonts w:cs="Century Gothic"/>
                <w:color w:val="000000"/>
                <w:sz w:val="18"/>
                <w:szCs w:val="18"/>
              </w:rPr>
              <w:t>$462,500</w:t>
            </w:r>
          </w:p>
        </w:tc>
        <w:tc>
          <w:tcPr>
            <w:tcW w:w="1260" w:type="dxa"/>
            <w:tcBorders>
              <w:top w:val="single" w:sz="6" w:space="0" w:color="808080"/>
              <w:left w:val="nil"/>
              <w:bottom w:val="single" w:sz="6" w:space="0" w:color="808080"/>
              <w:right w:val="nil"/>
            </w:tcBorders>
            <w:vAlign w:val="bottom"/>
          </w:tcPr>
          <w:p w14:paraId="32005D6C" w14:textId="77777777" w:rsidR="00F83EF7" w:rsidRPr="00BC783E" w:rsidRDefault="00F83EF7" w:rsidP="00BA1843">
            <w:pPr>
              <w:widowControl w:val="0"/>
              <w:autoSpaceDE w:val="0"/>
              <w:autoSpaceDN w:val="0"/>
              <w:adjustRightInd w:val="0"/>
              <w:jc w:val="right"/>
              <w:rPr>
                <w:rFonts w:cs="Century Gothic"/>
                <w:color w:val="000000"/>
                <w:sz w:val="18"/>
                <w:szCs w:val="18"/>
              </w:rPr>
            </w:pPr>
            <w:r w:rsidRPr="00BC783E">
              <w:rPr>
                <w:rFonts w:cs="Century Gothic"/>
                <w:color w:val="000000"/>
                <w:sz w:val="18"/>
                <w:szCs w:val="18"/>
              </w:rPr>
              <w:t>$432,500</w:t>
            </w:r>
          </w:p>
        </w:tc>
        <w:tc>
          <w:tcPr>
            <w:tcW w:w="1530" w:type="dxa"/>
            <w:tcBorders>
              <w:top w:val="single" w:sz="6" w:space="0" w:color="808080"/>
              <w:left w:val="nil"/>
              <w:bottom w:val="single" w:sz="6" w:space="0" w:color="808080"/>
              <w:right w:val="nil"/>
            </w:tcBorders>
            <w:vAlign w:val="bottom"/>
          </w:tcPr>
          <w:p w14:paraId="530CC81B" w14:textId="77777777" w:rsidR="00F83EF7" w:rsidRPr="00BC783E" w:rsidRDefault="00F83EF7" w:rsidP="00BA1843">
            <w:pPr>
              <w:widowControl w:val="0"/>
              <w:autoSpaceDE w:val="0"/>
              <w:autoSpaceDN w:val="0"/>
              <w:adjustRightInd w:val="0"/>
              <w:jc w:val="right"/>
              <w:rPr>
                <w:rFonts w:cs="Century Gothic"/>
                <w:color w:val="000000"/>
                <w:sz w:val="18"/>
                <w:szCs w:val="18"/>
              </w:rPr>
            </w:pPr>
            <w:r w:rsidRPr="00BC783E">
              <w:rPr>
                <w:rFonts w:cs="Century Gothic"/>
                <w:color w:val="000000"/>
                <w:sz w:val="18"/>
                <w:szCs w:val="18"/>
              </w:rPr>
              <w:t>$400,000</w:t>
            </w:r>
          </w:p>
        </w:tc>
        <w:tc>
          <w:tcPr>
            <w:tcW w:w="1440" w:type="dxa"/>
            <w:tcBorders>
              <w:top w:val="single" w:sz="6" w:space="0" w:color="808080"/>
              <w:left w:val="nil"/>
              <w:bottom w:val="single" w:sz="6" w:space="0" w:color="808080"/>
              <w:right w:val="nil"/>
            </w:tcBorders>
            <w:vAlign w:val="bottom"/>
          </w:tcPr>
          <w:p w14:paraId="2C65A5C7" w14:textId="77777777" w:rsidR="00F83EF7" w:rsidRPr="00BC783E" w:rsidRDefault="00F83EF7" w:rsidP="00BA1843">
            <w:pPr>
              <w:widowControl w:val="0"/>
              <w:autoSpaceDE w:val="0"/>
              <w:autoSpaceDN w:val="0"/>
              <w:adjustRightInd w:val="0"/>
              <w:jc w:val="right"/>
              <w:rPr>
                <w:rFonts w:cs="Century Gothic"/>
                <w:color w:val="000000"/>
                <w:sz w:val="18"/>
                <w:szCs w:val="18"/>
              </w:rPr>
            </w:pPr>
            <w:r w:rsidRPr="00BC783E">
              <w:rPr>
                <w:rFonts w:cs="Century Gothic"/>
                <w:color w:val="000000"/>
                <w:sz w:val="18"/>
                <w:szCs w:val="18"/>
              </w:rPr>
              <w:t>-$392,500</w:t>
            </w:r>
          </w:p>
        </w:tc>
      </w:tr>
      <w:tr w:rsidR="00F83EF7" w14:paraId="06FBF4BA" w14:textId="77777777" w:rsidTr="00BA1843">
        <w:trPr>
          <w:trHeight w:val="183"/>
        </w:trPr>
        <w:tc>
          <w:tcPr>
            <w:tcW w:w="2340" w:type="dxa"/>
            <w:tcBorders>
              <w:top w:val="single" w:sz="6" w:space="0" w:color="808080"/>
              <w:left w:val="nil"/>
              <w:bottom w:val="single" w:sz="6" w:space="0" w:color="808080"/>
              <w:right w:val="nil"/>
            </w:tcBorders>
            <w:vAlign w:val="bottom"/>
          </w:tcPr>
          <w:p w14:paraId="4C8F8301"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Daly City</w:t>
            </w:r>
          </w:p>
        </w:tc>
        <w:tc>
          <w:tcPr>
            <w:tcW w:w="1260" w:type="dxa"/>
            <w:tcBorders>
              <w:top w:val="single" w:sz="6" w:space="0" w:color="808080"/>
              <w:left w:val="nil"/>
              <w:bottom w:val="single" w:sz="6" w:space="0" w:color="808080"/>
              <w:right w:val="nil"/>
            </w:tcBorders>
            <w:vAlign w:val="bottom"/>
          </w:tcPr>
          <w:p w14:paraId="38A19122"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$730,000</w:t>
            </w:r>
          </w:p>
        </w:tc>
        <w:tc>
          <w:tcPr>
            <w:tcW w:w="1440" w:type="dxa"/>
            <w:tcBorders>
              <w:top w:val="single" w:sz="6" w:space="0" w:color="808080"/>
              <w:left w:val="nil"/>
              <w:bottom w:val="single" w:sz="6" w:space="0" w:color="808080"/>
              <w:right w:val="nil"/>
            </w:tcBorders>
            <w:vAlign w:val="bottom"/>
          </w:tcPr>
          <w:p w14:paraId="2949A20A"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$520,000</w:t>
            </w:r>
          </w:p>
        </w:tc>
        <w:tc>
          <w:tcPr>
            <w:tcW w:w="1260" w:type="dxa"/>
            <w:tcBorders>
              <w:top w:val="single" w:sz="6" w:space="0" w:color="808080"/>
              <w:left w:val="nil"/>
              <w:bottom w:val="single" w:sz="6" w:space="0" w:color="808080"/>
              <w:right w:val="nil"/>
            </w:tcBorders>
            <w:vAlign w:val="bottom"/>
          </w:tcPr>
          <w:p w14:paraId="08DA279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$485,000</w:t>
            </w:r>
          </w:p>
        </w:tc>
        <w:tc>
          <w:tcPr>
            <w:tcW w:w="1530" w:type="dxa"/>
            <w:tcBorders>
              <w:top w:val="single" w:sz="6" w:space="0" w:color="808080"/>
              <w:left w:val="nil"/>
              <w:bottom w:val="single" w:sz="6" w:space="0" w:color="808080"/>
              <w:right w:val="nil"/>
            </w:tcBorders>
            <w:vAlign w:val="bottom"/>
          </w:tcPr>
          <w:p w14:paraId="342C6F31"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$630,767</w:t>
            </w:r>
          </w:p>
        </w:tc>
        <w:tc>
          <w:tcPr>
            <w:tcW w:w="1440" w:type="dxa"/>
            <w:tcBorders>
              <w:top w:val="single" w:sz="6" w:space="0" w:color="808080"/>
              <w:left w:val="nil"/>
              <w:bottom w:val="single" w:sz="6" w:space="0" w:color="808080"/>
              <w:right w:val="nil"/>
            </w:tcBorders>
            <w:vAlign w:val="bottom"/>
          </w:tcPr>
          <w:p w14:paraId="27B28744"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-$99,233</w:t>
            </w:r>
          </w:p>
        </w:tc>
      </w:tr>
      <w:tr w:rsidR="00F83EF7" w14:paraId="52F1FA7D" w14:textId="77777777" w:rsidTr="00BA1843">
        <w:trPr>
          <w:trHeight w:val="138"/>
        </w:trPr>
        <w:tc>
          <w:tcPr>
            <w:tcW w:w="2340" w:type="dxa"/>
            <w:tcBorders>
              <w:top w:val="single" w:sz="6" w:space="0" w:color="808080"/>
              <w:left w:val="nil"/>
              <w:bottom w:val="single" w:sz="6" w:space="0" w:color="808080"/>
              <w:right w:val="nil"/>
            </w:tcBorders>
            <w:vAlign w:val="bottom"/>
          </w:tcPr>
          <w:p w14:paraId="0AE83FD1" w14:textId="77777777" w:rsidR="00F83EF7" w:rsidRPr="00D03A64" w:rsidRDefault="00F83EF7" w:rsidP="00BA1843">
            <w:pPr>
              <w:widowControl w:val="0"/>
              <w:autoSpaceDE w:val="0"/>
              <w:autoSpaceDN w:val="0"/>
              <w:adjustRightInd w:val="0"/>
              <w:ind w:left="-108"/>
              <w:rPr>
                <w:rFonts w:cs="Century Gothic"/>
                <w:color w:val="000000"/>
                <w:sz w:val="18"/>
                <w:szCs w:val="18"/>
              </w:rPr>
            </w:pPr>
            <w:r w:rsidRPr="00D03A64">
              <w:rPr>
                <w:rFonts w:cs="Century Gothic"/>
                <w:color w:val="000000"/>
                <w:sz w:val="18"/>
                <w:szCs w:val="18"/>
              </w:rPr>
              <w:t>East Palo Alto</w:t>
            </w:r>
          </w:p>
        </w:tc>
        <w:tc>
          <w:tcPr>
            <w:tcW w:w="1260" w:type="dxa"/>
            <w:tcBorders>
              <w:top w:val="single" w:sz="6" w:space="0" w:color="808080"/>
              <w:left w:val="nil"/>
              <w:bottom w:val="single" w:sz="6" w:space="0" w:color="808080"/>
              <w:right w:val="nil"/>
            </w:tcBorders>
            <w:vAlign w:val="bottom"/>
          </w:tcPr>
          <w:p w14:paraId="0AE4E9E7" w14:textId="77777777" w:rsidR="00F83EF7" w:rsidRPr="00D03A64"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$605,000</w:t>
            </w:r>
          </w:p>
        </w:tc>
        <w:tc>
          <w:tcPr>
            <w:tcW w:w="1440" w:type="dxa"/>
            <w:tcBorders>
              <w:top w:val="single" w:sz="6" w:space="0" w:color="808080"/>
              <w:left w:val="nil"/>
              <w:bottom w:val="single" w:sz="6" w:space="0" w:color="808080"/>
              <w:right w:val="nil"/>
            </w:tcBorders>
            <w:vAlign w:val="bottom"/>
          </w:tcPr>
          <w:p w14:paraId="0AEE0682" w14:textId="77777777" w:rsidR="00F83EF7" w:rsidRPr="00D03A64"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$247,250</w:t>
            </w:r>
          </w:p>
        </w:tc>
        <w:tc>
          <w:tcPr>
            <w:tcW w:w="1260" w:type="dxa"/>
            <w:tcBorders>
              <w:top w:val="single" w:sz="6" w:space="0" w:color="808080"/>
              <w:left w:val="nil"/>
              <w:bottom w:val="single" w:sz="6" w:space="0" w:color="808080"/>
              <w:right w:val="nil"/>
            </w:tcBorders>
            <w:vAlign w:val="bottom"/>
          </w:tcPr>
          <w:p w14:paraId="687C568E" w14:textId="77777777" w:rsidR="00F83EF7" w:rsidRPr="00D03A64"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$285,000</w:t>
            </w:r>
          </w:p>
        </w:tc>
        <w:tc>
          <w:tcPr>
            <w:tcW w:w="1530" w:type="dxa"/>
            <w:tcBorders>
              <w:top w:val="single" w:sz="6" w:space="0" w:color="808080"/>
              <w:left w:val="nil"/>
              <w:bottom w:val="single" w:sz="6" w:space="0" w:color="808080"/>
              <w:right w:val="nil"/>
            </w:tcBorders>
            <w:vAlign w:val="bottom"/>
          </w:tcPr>
          <w:p w14:paraId="051181AC" w14:textId="77777777" w:rsidR="00F83EF7" w:rsidRPr="00D03A64"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$400,000</w:t>
            </w:r>
          </w:p>
        </w:tc>
        <w:tc>
          <w:tcPr>
            <w:tcW w:w="1440" w:type="dxa"/>
            <w:tcBorders>
              <w:top w:val="single" w:sz="6" w:space="0" w:color="808080"/>
              <w:left w:val="nil"/>
              <w:bottom w:val="single" w:sz="6" w:space="0" w:color="808080"/>
              <w:right w:val="nil"/>
            </w:tcBorders>
            <w:vAlign w:val="bottom"/>
          </w:tcPr>
          <w:p w14:paraId="0BA84F2C" w14:textId="77777777" w:rsidR="00F83EF7" w:rsidRPr="00D03A64"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-$205,000</w:t>
            </w:r>
          </w:p>
        </w:tc>
      </w:tr>
      <w:tr w:rsidR="00F83EF7" w14:paraId="6F63BA1A" w14:textId="77777777" w:rsidTr="00BA1843">
        <w:trPr>
          <w:trHeight w:val="93"/>
        </w:trPr>
        <w:tc>
          <w:tcPr>
            <w:tcW w:w="2340" w:type="dxa"/>
            <w:tcBorders>
              <w:top w:val="single" w:sz="6" w:space="0" w:color="808080"/>
              <w:left w:val="nil"/>
              <w:bottom w:val="single" w:sz="6" w:space="0" w:color="808080"/>
              <w:right w:val="nil"/>
            </w:tcBorders>
            <w:vAlign w:val="bottom"/>
          </w:tcPr>
          <w:p w14:paraId="28236D65"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Foster City</w:t>
            </w:r>
          </w:p>
        </w:tc>
        <w:tc>
          <w:tcPr>
            <w:tcW w:w="1260" w:type="dxa"/>
            <w:tcBorders>
              <w:top w:val="single" w:sz="6" w:space="0" w:color="808080"/>
              <w:left w:val="nil"/>
              <w:bottom w:val="single" w:sz="6" w:space="0" w:color="808080"/>
              <w:right w:val="nil"/>
            </w:tcBorders>
            <w:vAlign w:val="bottom"/>
          </w:tcPr>
          <w:p w14:paraId="7228895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$1,050,000</w:t>
            </w:r>
          </w:p>
        </w:tc>
        <w:tc>
          <w:tcPr>
            <w:tcW w:w="1440" w:type="dxa"/>
            <w:tcBorders>
              <w:top w:val="single" w:sz="6" w:space="0" w:color="808080"/>
              <w:left w:val="nil"/>
              <w:bottom w:val="single" w:sz="6" w:space="0" w:color="808080"/>
              <w:right w:val="nil"/>
            </w:tcBorders>
            <w:vAlign w:val="bottom"/>
          </w:tcPr>
          <w:p w14:paraId="1828C929"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$962,500</w:t>
            </w:r>
          </w:p>
        </w:tc>
        <w:tc>
          <w:tcPr>
            <w:tcW w:w="1260" w:type="dxa"/>
            <w:tcBorders>
              <w:top w:val="single" w:sz="6" w:space="0" w:color="808080"/>
              <w:left w:val="nil"/>
              <w:bottom w:val="single" w:sz="6" w:space="0" w:color="808080"/>
              <w:right w:val="nil"/>
            </w:tcBorders>
            <w:vAlign w:val="bottom"/>
          </w:tcPr>
          <w:p w14:paraId="6FB9F08D"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$1,000,000</w:t>
            </w:r>
          </w:p>
        </w:tc>
        <w:tc>
          <w:tcPr>
            <w:tcW w:w="1530" w:type="dxa"/>
            <w:tcBorders>
              <w:top w:val="single" w:sz="6" w:space="0" w:color="808080"/>
              <w:left w:val="nil"/>
              <w:bottom w:val="single" w:sz="6" w:space="0" w:color="808080"/>
              <w:right w:val="nil"/>
            </w:tcBorders>
            <w:vAlign w:val="bottom"/>
          </w:tcPr>
          <w:p w14:paraId="4B4E3613"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$1,278,000</w:t>
            </w:r>
          </w:p>
        </w:tc>
        <w:tc>
          <w:tcPr>
            <w:tcW w:w="1440" w:type="dxa"/>
            <w:tcBorders>
              <w:top w:val="single" w:sz="6" w:space="0" w:color="808080"/>
              <w:left w:val="nil"/>
              <w:bottom w:val="single" w:sz="6" w:space="0" w:color="808080"/>
              <w:right w:val="nil"/>
            </w:tcBorders>
            <w:vAlign w:val="bottom"/>
          </w:tcPr>
          <w:p w14:paraId="127D63A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+$228,000</w:t>
            </w:r>
          </w:p>
        </w:tc>
      </w:tr>
      <w:tr w:rsidR="00F83EF7" w14:paraId="1127BDC5" w14:textId="77777777" w:rsidTr="00BA1843">
        <w:trPr>
          <w:trHeight w:val="138"/>
        </w:trPr>
        <w:tc>
          <w:tcPr>
            <w:tcW w:w="2340" w:type="dxa"/>
            <w:tcBorders>
              <w:top w:val="single" w:sz="6" w:space="0" w:color="808080"/>
              <w:left w:val="nil"/>
              <w:bottom w:val="single" w:sz="6" w:space="0" w:color="808080"/>
              <w:right w:val="nil"/>
            </w:tcBorders>
            <w:vAlign w:val="bottom"/>
          </w:tcPr>
          <w:p w14:paraId="5FE77480"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Half Moon Bay</w:t>
            </w:r>
          </w:p>
        </w:tc>
        <w:tc>
          <w:tcPr>
            <w:tcW w:w="1260" w:type="dxa"/>
            <w:tcBorders>
              <w:top w:val="single" w:sz="6" w:space="0" w:color="808080"/>
              <w:left w:val="nil"/>
              <w:bottom w:val="single" w:sz="6" w:space="0" w:color="808080"/>
              <w:right w:val="nil"/>
            </w:tcBorders>
            <w:vAlign w:val="bottom"/>
          </w:tcPr>
          <w:p w14:paraId="4D6D327C"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$965,000</w:t>
            </w:r>
          </w:p>
        </w:tc>
        <w:tc>
          <w:tcPr>
            <w:tcW w:w="1440" w:type="dxa"/>
            <w:tcBorders>
              <w:top w:val="single" w:sz="6" w:space="0" w:color="808080"/>
              <w:left w:val="nil"/>
              <w:bottom w:val="single" w:sz="6" w:space="0" w:color="808080"/>
              <w:right w:val="nil"/>
            </w:tcBorders>
            <w:vAlign w:val="bottom"/>
          </w:tcPr>
          <w:p w14:paraId="71368CAB"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$725,000</w:t>
            </w:r>
          </w:p>
        </w:tc>
        <w:tc>
          <w:tcPr>
            <w:tcW w:w="1260" w:type="dxa"/>
            <w:tcBorders>
              <w:top w:val="single" w:sz="6" w:space="0" w:color="808080"/>
              <w:left w:val="nil"/>
              <w:bottom w:val="single" w:sz="6" w:space="0" w:color="808080"/>
              <w:right w:val="nil"/>
            </w:tcBorders>
            <w:vAlign w:val="bottom"/>
          </w:tcPr>
          <w:p w14:paraId="54BF8337"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$735,500</w:t>
            </w:r>
          </w:p>
        </w:tc>
        <w:tc>
          <w:tcPr>
            <w:tcW w:w="1530" w:type="dxa"/>
            <w:tcBorders>
              <w:top w:val="single" w:sz="6" w:space="0" w:color="808080"/>
              <w:left w:val="nil"/>
              <w:bottom w:val="single" w:sz="6" w:space="0" w:color="808080"/>
              <w:right w:val="nil"/>
            </w:tcBorders>
            <w:vAlign w:val="bottom"/>
          </w:tcPr>
          <w:p w14:paraId="5219C20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$849,900</w:t>
            </w:r>
          </w:p>
        </w:tc>
        <w:tc>
          <w:tcPr>
            <w:tcW w:w="1440" w:type="dxa"/>
            <w:tcBorders>
              <w:top w:val="single" w:sz="6" w:space="0" w:color="808080"/>
              <w:left w:val="nil"/>
              <w:bottom w:val="single" w:sz="6" w:space="0" w:color="808080"/>
              <w:right w:val="nil"/>
            </w:tcBorders>
            <w:vAlign w:val="bottom"/>
          </w:tcPr>
          <w:p w14:paraId="41345EDB"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-$115,100</w:t>
            </w:r>
          </w:p>
        </w:tc>
      </w:tr>
      <w:tr w:rsidR="00F83EF7" w:rsidRPr="00BC783E" w14:paraId="42C7DAEC" w14:textId="77777777" w:rsidTr="00BA1843">
        <w:trPr>
          <w:trHeight w:val="93"/>
        </w:trPr>
        <w:tc>
          <w:tcPr>
            <w:tcW w:w="2340" w:type="dxa"/>
            <w:tcBorders>
              <w:top w:val="single" w:sz="6" w:space="0" w:color="808080"/>
              <w:left w:val="nil"/>
              <w:bottom w:val="single" w:sz="6" w:space="0" w:color="808080"/>
              <w:right w:val="nil"/>
            </w:tcBorders>
            <w:vAlign w:val="bottom"/>
          </w:tcPr>
          <w:p w14:paraId="3CA7E99C" w14:textId="77777777" w:rsidR="00F83EF7" w:rsidRPr="00BC783E" w:rsidRDefault="00F83EF7" w:rsidP="00BA1843">
            <w:pPr>
              <w:widowControl w:val="0"/>
              <w:autoSpaceDE w:val="0"/>
              <w:autoSpaceDN w:val="0"/>
              <w:adjustRightInd w:val="0"/>
              <w:ind w:left="-108"/>
              <w:rPr>
                <w:rFonts w:cs="Century Gothic"/>
                <w:b/>
                <w:color w:val="000000"/>
                <w:sz w:val="18"/>
                <w:szCs w:val="18"/>
              </w:rPr>
            </w:pPr>
            <w:r w:rsidRPr="00BC783E">
              <w:rPr>
                <w:rFonts w:cs="Century Gothic"/>
                <w:b/>
                <w:color w:val="000000"/>
                <w:sz w:val="18"/>
                <w:szCs w:val="18"/>
              </w:rPr>
              <w:t>Hillsborough</w:t>
            </w:r>
          </w:p>
        </w:tc>
        <w:tc>
          <w:tcPr>
            <w:tcW w:w="1260" w:type="dxa"/>
            <w:tcBorders>
              <w:top w:val="single" w:sz="6" w:space="0" w:color="808080"/>
              <w:left w:val="nil"/>
              <w:bottom w:val="single" w:sz="6" w:space="0" w:color="808080"/>
              <w:right w:val="nil"/>
            </w:tcBorders>
            <w:vAlign w:val="bottom"/>
          </w:tcPr>
          <w:p w14:paraId="10B9E49C" w14:textId="77777777" w:rsidR="00F83EF7" w:rsidRPr="00BC783E" w:rsidRDefault="00F83EF7" w:rsidP="00BA1843">
            <w:pPr>
              <w:widowControl w:val="0"/>
              <w:autoSpaceDE w:val="0"/>
              <w:autoSpaceDN w:val="0"/>
              <w:adjustRightInd w:val="0"/>
              <w:jc w:val="right"/>
              <w:rPr>
                <w:rFonts w:cs="Century Gothic"/>
                <w:b/>
                <w:color w:val="000000"/>
                <w:sz w:val="18"/>
                <w:szCs w:val="18"/>
              </w:rPr>
            </w:pPr>
            <w:r w:rsidRPr="00BC783E">
              <w:rPr>
                <w:rFonts w:cs="Century Gothic"/>
                <w:b/>
                <w:color w:val="000000"/>
                <w:sz w:val="18"/>
                <w:szCs w:val="18"/>
              </w:rPr>
              <w:t>$2,500,000</w:t>
            </w:r>
          </w:p>
        </w:tc>
        <w:tc>
          <w:tcPr>
            <w:tcW w:w="1440" w:type="dxa"/>
            <w:tcBorders>
              <w:top w:val="single" w:sz="6" w:space="0" w:color="808080"/>
              <w:left w:val="nil"/>
              <w:bottom w:val="single" w:sz="6" w:space="0" w:color="808080"/>
              <w:right w:val="nil"/>
            </w:tcBorders>
            <w:vAlign w:val="bottom"/>
          </w:tcPr>
          <w:p w14:paraId="4683ED78" w14:textId="77777777" w:rsidR="00F83EF7" w:rsidRPr="00BC783E" w:rsidRDefault="00F83EF7" w:rsidP="00BA1843">
            <w:pPr>
              <w:widowControl w:val="0"/>
              <w:autoSpaceDE w:val="0"/>
              <w:autoSpaceDN w:val="0"/>
              <w:adjustRightInd w:val="0"/>
              <w:jc w:val="right"/>
              <w:rPr>
                <w:rFonts w:cs="Century Gothic"/>
                <w:b/>
                <w:color w:val="000000"/>
                <w:sz w:val="18"/>
                <w:szCs w:val="18"/>
              </w:rPr>
            </w:pPr>
            <w:r w:rsidRPr="00BC783E">
              <w:rPr>
                <w:rFonts w:cs="Century Gothic"/>
                <w:b/>
                <w:color w:val="000000"/>
                <w:sz w:val="18"/>
                <w:szCs w:val="18"/>
              </w:rPr>
              <w:t>$2,375,000</w:t>
            </w:r>
          </w:p>
        </w:tc>
        <w:tc>
          <w:tcPr>
            <w:tcW w:w="1260" w:type="dxa"/>
            <w:tcBorders>
              <w:top w:val="single" w:sz="6" w:space="0" w:color="808080"/>
              <w:left w:val="nil"/>
              <w:bottom w:val="single" w:sz="6" w:space="0" w:color="808080"/>
              <w:right w:val="nil"/>
            </w:tcBorders>
            <w:vAlign w:val="bottom"/>
          </w:tcPr>
          <w:p w14:paraId="4E39E24B" w14:textId="77777777" w:rsidR="00F83EF7" w:rsidRPr="00BC783E" w:rsidRDefault="00F83EF7" w:rsidP="00BA1843">
            <w:pPr>
              <w:widowControl w:val="0"/>
              <w:autoSpaceDE w:val="0"/>
              <w:autoSpaceDN w:val="0"/>
              <w:adjustRightInd w:val="0"/>
              <w:jc w:val="right"/>
              <w:rPr>
                <w:rFonts w:cs="Century Gothic"/>
                <w:b/>
                <w:color w:val="000000"/>
                <w:sz w:val="18"/>
                <w:szCs w:val="18"/>
              </w:rPr>
            </w:pPr>
            <w:r w:rsidRPr="00BC783E">
              <w:rPr>
                <w:rFonts w:cs="Century Gothic"/>
                <w:b/>
                <w:color w:val="000000"/>
                <w:sz w:val="18"/>
                <w:szCs w:val="18"/>
              </w:rPr>
              <w:t>$2,750,000</w:t>
            </w:r>
          </w:p>
        </w:tc>
        <w:tc>
          <w:tcPr>
            <w:tcW w:w="1530" w:type="dxa"/>
            <w:tcBorders>
              <w:top w:val="single" w:sz="6" w:space="0" w:color="808080"/>
              <w:left w:val="nil"/>
              <w:bottom w:val="single" w:sz="6" w:space="0" w:color="808080"/>
              <w:right w:val="nil"/>
            </w:tcBorders>
            <w:vAlign w:val="bottom"/>
          </w:tcPr>
          <w:p w14:paraId="1DAB3EF3" w14:textId="77777777" w:rsidR="00F83EF7" w:rsidRPr="00BC783E" w:rsidRDefault="00F83EF7" w:rsidP="00BA1843">
            <w:pPr>
              <w:widowControl w:val="0"/>
              <w:autoSpaceDE w:val="0"/>
              <w:autoSpaceDN w:val="0"/>
              <w:adjustRightInd w:val="0"/>
              <w:jc w:val="right"/>
              <w:rPr>
                <w:rFonts w:cs="Century Gothic"/>
                <w:b/>
                <w:color w:val="000000"/>
                <w:sz w:val="18"/>
                <w:szCs w:val="18"/>
              </w:rPr>
            </w:pPr>
            <w:r w:rsidRPr="00BC783E">
              <w:rPr>
                <w:rFonts w:cs="Century Gothic"/>
                <w:b/>
                <w:color w:val="000000"/>
                <w:sz w:val="18"/>
                <w:szCs w:val="18"/>
              </w:rPr>
              <w:t>$3,250,000</w:t>
            </w:r>
          </w:p>
        </w:tc>
        <w:tc>
          <w:tcPr>
            <w:tcW w:w="1440" w:type="dxa"/>
            <w:tcBorders>
              <w:top w:val="single" w:sz="6" w:space="0" w:color="808080"/>
              <w:left w:val="nil"/>
              <w:bottom w:val="single" w:sz="6" w:space="0" w:color="808080"/>
              <w:right w:val="nil"/>
            </w:tcBorders>
            <w:vAlign w:val="bottom"/>
          </w:tcPr>
          <w:p w14:paraId="4D9AB2BD" w14:textId="77777777" w:rsidR="00F83EF7" w:rsidRPr="00BC783E" w:rsidRDefault="00F83EF7" w:rsidP="00BA1843">
            <w:pPr>
              <w:widowControl w:val="0"/>
              <w:autoSpaceDE w:val="0"/>
              <w:autoSpaceDN w:val="0"/>
              <w:adjustRightInd w:val="0"/>
              <w:jc w:val="right"/>
              <w:rPr>
                <w:rFonts w:cs="Century Gothic"/>
                <w:b/>
                <w:color w:val="000000"/>
                <w:sz w:val="18"/>
                <w:szCs w:val="18"/>
              </w:rPr>
            </w:pPr>
            <w:r w:rsidRPr="00BC783E">
              <w:rPr>
                <w:rFonts w:cs="Century Gothic"/>
                <w:b/>
                <w:color w:val="000000"/>
                <w:sz w:val="18"/>
                <w:szCs w:val="18"/>
              </w:rPr>
              <w:t>+$750,000</w:t>
            </w:r>
          </w:p>
        </w:tc>
      </w:tr>
      <w:tr w:rsidR="00F83EF7" w14:paraId="0C23205F" w14:textId="77777777" w:rsidTr="00BA1843">
        <w:trPr>
          <w:trHeight w:val="138"/>
        </w:trPr>
        <w:tc>
          <w:tcPr>
            <w:tcW w:w="2340" w:type="dxa"/>
            <w:tcBorders>
              <w:top w:val="single" w:sz="6" w:space="0" w:color="808080"/>
              <w:left w:val="nil"/>
              <w:bottom w:val="single" w:sz="6" w:space="0" w:color="808080"/>
              <w:right w:val="nil"/>
            </w:tcBorders>
            <w:vAlign w:val="bottom"/>
          </w:tcPr>
          <w:p w14:paraId="0826568C" w14:textId="77777777" w:rsidR="00F83EF7" w:rsidRPr="000B147D" w:rsidRDefault="00F83EF7" w:rsidP="00BA1843">
            <w:pPr>
              <w:widowControl w:val="0"/>
              <w:autoSpaceDE w:val="0"/>
              <w:autoSpaceDN w:val="0"/>
              <w:adjustRightInd w:val="0"/>
              <w:ind w:left="-108"/>
              <w:rPr>
                <w:rFonts w:cs="Century Gothic"/>
                <w:color w:val="000000"/>
                <w:sz w:val="18"/>
                <w:szCs w:val="18"/>
              </w:rPr>
            </w:pPr>
            <w:r w:rsidRPr="000B147D">
              <w:rPr>
                <w:rFonts w:cs="Century Gothic"/>
                <w:color w:val="000000"/>
                <w:sz w:val="18"/>
                <w:szCs w:val="18"/>
              </w:rPr>
              <w:t>Menlo Park</w:t>
            </w:r>
          </w:p>
        </w:tc>
        <w:tc>
          <w:tcPr>
            <w:tcW w:w="1260" w:type="dxa"/>
            <w:tcBorders>
              <w:top w:val="single" w:sz="6" w:space="0" w:color="808080"/>
              <w:left w:val="nil"/>
              <w:bottom w:val="single" w:sz="6" w:space="0" w:color="808080"/>
              <w:right w:val="nil"/>
            </w:tcBorders>
            <w:vAlign w:val="bottom"/>
          </w:tcPr>
          <w:p w14:paraId="41D2DEEC" w14:textId="77777777" w:rsidR="00F83EF7" w:rsidRPr="000B147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$1,255,000</w:t>
            </w:r>
          </w:p>
        </w:tc>
        <w:tc>
          <w:tcPr>
            <w:tcW w:w="1440" w:type="dxa"/>
            <w:tcBorders>
              <w:top w:val="single" w:sz="6" w:space="0" w:color="808080"/>
              <w:left w:val="nil"/>
              <w:bottom w:val="single" w:sz="6" w:space="0" w:color="808080"/>
              <w:right w:val="nil"/>
            </w:tcBorders>
            <w:vAlign w:val="bottom"/>
          </w:tcPr>
          <w:p w14:paraId="51BEE810" w14:textId="77777777" w:rsidR="00F83EF7" w:rsidRPr="000B147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$1,200,000</w:t>
            </w:r>
          </w:p>
        </w:tc>
        <w:tc>
          <w:tcPr>
            <w:tcW w:w="1260" w:type="dxa"/>
            <w:tcBorders>
              <w:top w:val="single" w:sz="6" w:space="0" w:color="808080"/>
              <w:left w:val="nil"/>
              <w:bottom w:val="single" w:sz="6" w:space="0" w:color="808080"/>
              <w:right w:val="nil"/>
            </w:tcBorders>
            <w:vAlign w:val="bottom"/>
          </w:tcPr>
          <w:p w14:paraId="23D98FF8" w14:textId="77777777" w:rsidR="00F83EF7" w:rsidRPr="000B147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$1,325,000</w:t>
            </w:r>
          </w:p>
        </w:tc>
        <w:tc>
          <w:tcPr>
            <w:tcW w:w="1530" w:type="dxa"/>
            <w:tcBorders>
              <w:top w:val="single" w:sz="6" w:space="0" w:color="808080"/>
              <w:left w:val="nil"/>
              <w:bottom w:val="single" w:sz="6" w:space="0" w:color="808080"/>
              <w:right w:val="nil"/>
            </w:tcBorders>
            <w:vAlign w:val="bottom"/>
          </w:tcPr>
          <w:p w14:paraId="6C74F4FB" w14:textId="77777777" w:rsidR="00F83EF7" w:rsidRPr="000B147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$1,460,000</w:t>
            </w:r>
          </w:p>
        </w:tc>
        <w:tc>
          <w:tcPr>
            <w:tcW w:w="1440" w:type="dxa"/>
            <w:tcBorders>
              <w:top w:val="single" w:sz="6" w:space="0" w:color="808080"/>
              <w:left w:val="nil"/>
              <w:bottom w:val="single" w:sz="6" w:space="0" w:color="808080"/>
              <w:right w:val="nil"/>
            </w:tcBorders>
            <w:vAlign w:val="bottom"/>
          </w:tcPr>
          <w:p w14:paraId="5DE743DB" w14:textId="77777777" w:rsidR="00F83EF7" w:rsidRPr="000B147D"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+$205,000</w:t>
            </w:r>
          </w:p>
        </w:tc>
      </w:tr>
      <w:tr w:rsidR="00F83EF7" w:rsidRPr="009C57FF" w14:paraId="780B0B16" w14:textId="77777777" w:rsidTr="00BA1843">
        <w:trPr>
          <w:trHeight w:val="93"/>
        </w:trPr>
        <w:tc>
          <w:tcPr>
            <w:tcW w:w="2340" w:type="dxa"/>
            <w:tcBorders>
              <w:top w:val="single" w:sz="6" w:space="0" w:color="808080"/>
              <w:left w:val="nil"/>
              <w:bottom w:val="single" w:sz="6" w:space="0" w:color="808080"/>
              <w:right w:val="nil"/>
            </w:tcBorders>
            <w:vAlign w:val="bottom"/>
          </w:tcPr>
          <w:p w14:paraId="3A9DA0FF" w14:textId="65DE8102" w:rsidR="00F83EF7" w:rsidRPr="009C57FF" w:rsidRDefault="009C57FF" w:rsidP="00BA1843">
            <w:pPr>
              <w:widowControl w:val="0"/>
              <w:autoSpaceDE w:val="0"/>
              <w:autoSpaceDN w:val="0"/>
              <w:adjustRightInd w:val="0"/>
              <w:ind w:left="-108"/>
              <w:rPr>
                <w:rFonts w:cs="Century Gothic"/>
                <w:color w:val="000000"/>
                <w:sz w:val="18"/>
                <w:szCs w:val="18"/>
              </w:rPr>
            </w:pPr>
            <w:r w:rsidRPr="009C57FF">
              <w:rPr>
                <w:rFonts w:cs="Century Gothic"/>
                <w:color w:val="000000"/>
                <w:sz w:val="18"/>
                <w:szCs w:val="18"/>
              </w:rPr>
              <w:t>Millbrae</w:t>
            </w:r>
          </w:p>
        </w:tc>
        <w:tc>
          <w:tcPr>
            <w:tcW w:w="1260" w:type="dxa"/>
            <w:tcBorders>
              <w:top w:val="single" w:sz="6" w:space="0" w:color="808080"/>
              <w:left w:val="nil"/>
              <w:bottom w:val="single" w:sz="6" w:space="0" w:color="808080"/>
              <w:right w:val="nil"/>
            </w:tcBorders>
            <w:vAlign w:val="bottom"/>
          </w:tcPr>
          <w:p w14:paraId="4C363139"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$976,500</w:t>
            </w:r>
          </w:p>
        </w:tc>
        <w:tc>
          <w:tcPr>
            <w:tcW w:w="1440" w:type="dxa"/>
            <w:tcBorders>
              <w:top w:val="single" w:sz="6" w:space="0" w:color="808080"/>
              <w:left w:val="nil"/>
              <w:bottom w:val="single" w:sz="6" w:space="0" w:color="808080"/>
              <w:right w:val="nil"/>
            </w:tcBorders>
            <w:vAlign w:val="bottom"/>
          </w:tcPr>
          <w:p w14:paraId="560B48B3"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$870,000</w:t>
            </w:r>
          </w:p>
        </w:tc>
        <w:tc>
          <w:tcPr>
            <w:tcW w:w="1260" w:type="dxa"/>
            <w:tcBorders>
              <w:top w:val="single" w:sz="6" w:space="0" w:color="808080"/>
              <w:left w:val="nil"/>
              <w:bottom w:val="single" w:sz="6" w:space="0" w:color="808080"/>
              <w:right w:val="nil"/>
            </w:tcBorders>
            <w:vAlign w:val="bottom"/>
          </w:tcPr>
          <w:p w14:paraId="09F0D193"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$910,000</w:t>
            </w:r>
          </w:p>
        </w:tc>
        <w:tc>
          <w:tcPr>
            <w:tcW w:w="1530" w:type="dxa"/>
            <w:tcBorders>
              <w:top w:val="single" w:sz="6" w:space="0" w:color="808080"/>
              <w:left w:val="nil"/>
              <w:bottom w:val="single" w:sz="6" w:space="0" w:color="808080"/>
              <w:right w:val="nil"/>
            </w:tcBorders>
            <w:vAlign w:val="bottom"/>
          </w:tcPr>
          <w:p w14:paraId="76A4A002"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$1,205,000</w:t>
            </w:r>
          </w:p>
        </w:tc>
        <w:tc>
          <w:tcPr>
            <w:tcW w:w="1440" w:type="dxa"/>
            <w:tcBorders>
              <w:top w:val="single" w:sz="6" w:space="0" w:color="808080"/>
              <w:left w:val="nil"/>
              <w:bottom w:val="single" w:sz="6" w:space="0" w:color="808080"/>
              <w:right w:val="nil"/>
            </w:tcBorders>
            <w:vAlign w:val="bottom"/>
          </w:tcPr>
          <w:p w14:paraId="249B61FE" w14:textId="77777777" w:rsidR="00F83EF7" w:rsidRPr="009C57FF" w:rsidRDefault="00F83EF7" w:rsidP="00BA1843">
            <w:pPr>
              <w:widowControl w:val="0"/>
              <w:autoSpaceDE w:val="0"/>
              <w:autoSpaceDN w:val="0"/>
              <w:adjustRightInd w:val="0"/>
              <w:jc w:val="right"/>
              <w:rPr>
                <w:rFonts w:cs="Century Gothic"/>
                <w:color w:val="000000"/>
                <w:sz w:val="18"/>
                <w:szCs w:val="18"/>
              </w:rPr>
            </w:pPr>
            <w:r w:rsidRPr="009C57FF">
              <w:rPr>
                <w:rFonts w:cs="Century Gothic"/>
                <w:color w:val="000000"/>
                <w:sz w:val="18"/>
                <w:szCs w:val="18"/>
              </w:rPr>
              <w:t>+$228,500</w:t>
            </w:r>
          </w:p>
        </w:tc>
      </w:tr>
      <w:tr w:rsidR="00F83EF7" w:rsidRPr="006666B0" w14:paraId="351E54F3" w14:textId="77777777" w:rsidTr="00BA1843">
        <w:trPr>
          <w:trHeight w:val="48"/>
        </w:trPr>
        <w:tc>
          <w:tcPr>
            <w:tcW w:w="2340" w:type="dxa"/>
            <w:tcBorders>
              <w:top w:val="single" w:sz="6" w:space="0" w:color="808080"/>
              <w:left w:val="nil"/>
              <w:bottom w:val="single" w:sz="6" w:space="0" w:color="808080"/>
              <w:right w:val="nil"/>
            </w:tcBorders>
            <w:vAlign w:val="bottom"/>
          </w:tcPr>
          <w:p w14:paraId="5AB54593" w14:textId="77777777" w:rsidR="00F83EF7" w:rsidRPr="0046612A" w:rsidRDefault="00F83EF7" w:rsidP="00BA1843">
            <w:pPr>
              <w:widowControl w:val="0"/>
              <w:autoSpaceDE w:val="0"/>
              <w:autoSpaceDN w:val="0"/>
              <w:adjustRightInd w:val="0"/>
              <w:ind w:left="-108"/>
              <w:rPr>
                <w:rFonts w:cs="Century Gothic"/>
                <w:sz w:val="18"/>
                <w:szCs w:val="18"/>
              </w:rPr>
            </w:pPr>
            <w:r w:rsidRPr="0046612A">
              <w:rPr>
                <w:rFonts w:cs="Century Gothic"/>
                <w:sz w:val="18"/>
                <w:szCs w:val="18"/>
              </w:rPr>
              <w:t>Pacifica</w:t>
            </w:r>
          </w:p>
        </w:tc>
        <w:tc>
          <w:tcPr>
            <w:tcW w:w="1260" w:type="dxa"/>
            <w:tcBorders>
              <w:top w:val="single" w:sz="6" w:space="0" w:color="808080"/>
              <w:left w:val="nil"/>
              <w:bottom w:val="single" w:sz="6" w:space="0" w:color="808080"/>
              <w:right w:val="nil"/>
            </w:tcBorders>
            <w:vAlign w:val="bottom"/>
          </w:tcPr>
          <w:p w14:paraId="773AF888" w14:textId="77777777" w:rsidR="00F83EF7" w:rsidRPr="0046612A" w:rsidRDefault="00F83EF7" w:rsidP="00BA1843">
            <w:pPr>
              <w:widowControl w:val="0"/>
              <w:autoSpaceDE w:val="0"/>
              <w:autoSpaceDN w:val="0"/>
              <w:adjustRightInd w:val="0"/>
              <w:jc w:val="right"/>
              <w:rPr>
                <w:rFonts w:cs="Century Gothic"/>
                <w:sz w:val="18"/>
                <w:szCs w:val="18"/>
              </w:rPr>
            </w:pPr>
            <w:r w:rsidRPr="0046612A">
              <w:rPr>
                <w:rFonts w:cs="Century Gothic"/>
                <w:sz w:val="18"/>
                <w:szCs w:val="18"/>
              </w:rPr>
              <w:t>$817,500</w:t>
            </w:r>
          </w:p>
        </w:tc>
        <w:tc>
          <w:tcPr>
            <w:tcW w:w="1440" w:type="dxa"/>
            <w:tcBorders>
              <w:top w:val="single" w:sz="6" w:space="0" w:color="808080"/>
              <w:left w:val="nil"/>
              <w:bottom w:val="single" w:sz="6" w:space="0" w:color="808080"/>
              <w:right w:val="nil"/>
            </w:tcBorders>
            <w:vAlign w:val="bottom"/>
          </w:tcPr>
          <w:p w14:paraId="2C5D7B55" w14:textId="77777777" w:rsidR="00F83EF7" w:rsidRPr="0046612A" w:rsidRDefault="00F83EF7" w:rsidP="00BA1843">
            <w:pPr>
              <w:widowControl w:val="0"/>
              <w:autoSpaceDE w:val="0"/>
              <w:autoSpaceDN w:val="0"/>
              <w:adjustRightInd w:val="0"/>
              <w:jc w:val="right"/>
              <w:rPr>
                <w:rFonts w:cs="Century Gothic"/>
                <w:sz w:val="18"/>
                <w:szCs w:val="18"/>
              </w:rPr>
            </w:pPr>
            <w:r w:rsidRPr="0046612A">
              <w:rPr>
                <w:rFonts w:cs="Century Gothic"/>
                <w:sz w:val="18"/>
                <w:szCs w:val="18"/>
              </w:rPr>
              <w:t>$532,500</w:t>
            </w:r>
          </w:p>
        </w:tc>
        <w:tc>
          <w:tcPr>
            <w:tcW w:w="1260" w:type="dxa"/>
            <w:tcBorders>
              <w:top w:val="single" w:sz="6" w:space="0" w:color="808080"/>
              <w:left w:val="nil"/>
              <w:bottom w:val="single" w:sz="6" w:space="0" w:color="808080"/>
              <w:right w:val="nil"/>
            </w:tcBorders>
            <w:vAlign w:val="bottom"/>
          </w:tcPr>
          <w:p w14:paraId="19514486" w14:textId="77777777" w:rsidR="00F83EF7" w:rsidRPr="0046612A" w:rsidRDefault="00F83EF7" w:rsidP="00BA1843">
            <w:pPr>
              <w:widowControl w:val="0"/>
              <w:autoSpaceDE w:val="0"/>
              <w:autoSpaceDN w:val="0"/>
              <w:adjustRightInd w:val="0"/>
              <w:jc w:val="right"/>
              <w:rPr>
                <w:rFonts w:cs="Century Gothic"/>
                <w:sz w:val="18"/>
                <w:szCs w:val="18"/>
              </w:rPr>
            </w:pPr>
            <w:r w:rsidRPr="0046612A">
              <w:rPr>
                <w:rFonts w:cs="Century Gothic"/>
                <w:sz w:val="18"/>
                <w:szCs w:val="18"/>
              </w:rPr>
              <w:t>$520,000</w:t>
            </w:r>
          </w:p>
        </w:tc>
        <w:tc>
          <w:tcPr>
            <w:tcW w:w="1530" w:type="dxa"/>
            <w:tcBorders>
              <w:top w:val="single" w:sz="6" w:space="0" w:color="808080"/>
              <w:left w:val="nil"/>
              <w:bottom w:val="single" w:sz="6" w:space="0" w:color="808080"/>
              <w:right w:val="nil"/>
            </w:tcBorders>
            <w:vAlign w:val="bottom"/>
          </w:tcPr>
          <w:p w14:paraId="5DBE7795" w14:textId="77777777" w:rsidR="00F83EF7" w:rsidRPr="0046612A" w:rsidRDefault="00F83EF7" w:rsidP="00BA1843">
            <w:pPr>
              <w:widowControl w:val="0"/>
              <w:autoSpaceDE w:val="0"/>
              <w:autoSpaceDN w:val="0"/>
              <w:adjustRightInd w:val="0"/>
              <w:jc w:val="right"/>
              <w:rPr>
                <w:rFonts w:cs="Century Gothic"/>
                <w:sz w:val="18"/>
                <w:szCs w:val="18"/>
              </w:rPr>
            </w:pPr>
            <w:r w:rsidRPr="0046612A">
              <w:rPr>
                <w:rFonts w:cs="Century Gothic"/>
                <w:sz w:val="18"/>
                <w:szCs w:val="18"/>
              </w:rPr>
              <w:t>$666,000</w:t>
            </w:r>
          </w:p>
        </w:tc>
        <w:tc>
          <w:tcPr>
            <w:tcW w:w="1440" w:type="dxa"/>
            <w:tcBorders>
              <w:top w:val="single" w:sz="6" w:space="0" w:color="808080"/>
              <w:left w:val="nil"/>
              <w:bottom w:val="single" w:sz="6" w:space="0" w:color="808080"/>
              <w:right w:val="nil"/>
            </w:tcBorders>
            <w:vAlign w:val="bottom"/>
          </w:tcPr>
          <w:p w14:paraId="6EFE8417" w14:textId="77777777" w:rsidR="00F83EF7" w:rsidRPr="006666B0" w:rsidRDefault="00F83EF7" w:rsidP="00BA1843">
            <w:pPr>
              <w:widowControl w:val="0"/>
              <w:autoSpaceDE w:val="0"/>
              <w:autoSpaceDN w:val="0"/>
              <w:adjustRightInd w:val="0"/>
              <w:jc w:val="right"/>
              <w:rPr>
                <w:rFonts w:cs="Century Gothic"/>
                <w:sz w:val="18"/>
                <w:szCs w:val="18"/>
              </w:rPr>
            </w:pPr>
            <w:r w:rsidRPr="0046612A">
              <w:rPr>
                <w:rFonts w:cs="Century Gothic"/>
                <w:sz w:val="18"/>
                <w:szCs w:val="18"/>
              </w:rPr>
              <w:t>-$151,100</w:t>
            </w:r>
          </w:p>
        </w:tc>
      </w:tr>
      <w:tr w:rsidR="00F83EF7" w14:paraId="5E30FB5B" w14:textId="77777777" w:rsidTr="00BA1843">
        <w:trPr>
          <w:trHeight w:val="93"/>
        </w:trPr>
        <w:tc>
          <w:tcPr>
            <w:tcW w:w="2340" w:type="dxa"/>
            <w:tcBorders>
              <w:top w:val="single" w:sz="6" w:space="0" w:color="808080"/>
              <w:left w:val="nil"/>
              <w:bottom w:val="single" w:sz="6" w:space="0" w:color="808080"/>
              <w:right w:val="nil"/>
            </w:tcBorders>
            <w:vAlign w:val="bottom"/>
          </w:tcPr>
          <w:p w14:paraId="67ADCC03"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Portola Valley</w:t>
            </w:r>
          </w:p>
        </w:tc>
        <w:tc>
          <w:tcPr>
            <w:tcW w:w="1260" w:type="dxa"/>
            <w:tcBorders>
              <w:top w:val="single" w:sz="6" w:space="0" w:color="808080"/>
              <w:left w:val="nil"/>
              <w:bottom w:val="single" w:sz="6" w:space="0" w:color="808080"/>
              <w:right w:val="nil"/>
            </w:tcBorders>
            <w:vAlign w:val="bottom"/>
          </w:tcPr>
          <w:p w14:paraId="117871D9"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$1,855,000</w:t>
            </w:r>
          </w:p>
        </w:tc>
        <w:tc>
          <w:tcPr>
            <w:tcW w:w="1440" w:type="dxa"/>
            <w:tcBorders>
              <w:top w:val="single" w:sz="6" w:space="0" w:color="808080"/>
              <w:left w:val="nil"/>
              <w:bottom w:val="single" w:sz="6" w:space="0" w:color="808080"/>
              <w:right w:val="nil"/>
            </w:tcBorders>
            <w:vAlign w:val="bottom"/>
          </w:tcPr>
          <w:p w14:paraId="54B454BE"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$1,722,000</w:t>
            </w:r>
          </w:p>
        </w:tc>
        <w:tc>
          <w:tcPr>
            <w:tcW w:w="1260" w:type="dxa"/>
            <w:tcBorders>
              <w:top w:val="single" w:sz="6" w:space="0" w:color="808080"/>
              <w:left w:val="nil"/>
              <w:bottom w:val="single" w:sz="6" w:space="0" w:color="808080"/>
              <w:right w:val="nil"/>
            </w:tcBorders>
            <w:vAlign w:val="bottom"/>
          </w:tcPr>
          <w:p w14:paraId="2523DEBB"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$2,200,000</w:t>
            </w:r>
          </w:p>
        </w:tc>
        <w:tc>
          <w:tcPr>
            <w:tcW w:w="1530" w:type="dxa"/>
            <w:tcBorders>
              <w:top w:val="single" w:sz="6" w:space="0" w:color="808080"/>
              <w:left w:val="nil"/>
              <w:bottom w:val="single" w:sz="6" w:space="0" w:color="808080"/>
              <w:right w:val="nil"/>
            </w:tcBorders>
            <w:vAlign w:val="bottom"/>
          </w:tcPr>
          <w:p w14:paraId="6C24806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$1,970,000</w:t>
            </w:r>
          </w:p>
        </w:tc>
        <w:tc>
          <w:tcPr>
            <w:tcW w:w="1440" w:type="dxa"/>
            <w:tcBorders>
              <w:top w:val="single" w:sz="6" w:space="0" w:color="808080"/>
              <w:left w:val="nil"/>
              <w:bottom w:val="single" w:sz="6" w:space="0" w:color="808080"/>
              <w:right w:val="nil"/>
            </w:tcBorders>
            <w:vAlign w:val="bottom"/>
          </w:tcPr>
          <w:p w14:paraId="4F5DD7EA"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+$115,000</w:t>
            </w:r>
          </w:p>
        </w:tc>
      </w:tr>
      <w:tr w:rsidR="00F83EF7" w14:paraId="55B10DF9" w14:textId="77777777" w:rsidTr="00BA1843">
        <w:trPr>
          <w:trHeight w:val="138"/>
        </w:trPr>
        <w:tc>
          <w:tcPr>
            <w:tcW w:w="2340" w:type="dxa"/>
            <w:tcBorders>
              <w:top w:val="single" w:sz="6" w:space="0" w:color="808080"/>
              <w:left w:val="nil"/>
              <w:bottom w:val="single" w:sz="6" w:space="0" w:color="808080"/>
              <w:right w:val="nil"/>
            </w:tcBorders>
            <w:vAlign w:val="bottom"/>
          </w:tcPr>
          <w:p w14:paraId="1827B99D"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Redwood City</w:t>
            </w:r>
          </w:p>
        </w:tc>
        <w:tc>
          <w:tcPr>
            <w:tcW w:w="1260" w:type="dxa"/>
            <w:tcBorders>
              <w:top w:val="single" w:sz="6" w:space="0" w:color="808080"/>
              <w:left w:val="nil"/>
              <w:bottom w:val="single" w:sz="6" w:space="0" w:color="808080"/>
              <w:right w:val="nil"/>
            </w:tcBorders>
            <w:vAlign w:val="bottom"/>
          </w:tcPr>
          <w:p w14:paraId="4708708F"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$835,000</w:t>
            </w:r>
          </w:p>
        </w:tc>
        <w:tc>
          <w:tcPr>
            <w:tcW w:w="1440" w:type="dxa"/>
            <w:tcBorders>
              <w:top w:val="single" w:sz="6" w:space="0" w:color="808080"/>
              <w:left w:val="nil"/>
              <w:bottom w:val="single" w:sz="6" w:space="0" w:color="808080"/>
              <w:right w:val="nil"/>
            </w:tcBorders>
            <w:vAlign w:val="bottom"/>
          </w:tcPr>
          <w:p w14:paraId="29D30474"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$1,017,500</w:t>
            </w:r>
          </w:p>
        </w:tc>
        <w:tc>
          <w:tcPr>
            <w:tcW w:w="1260" w:type="dxa"/>
            <w:tcBorders>
              <w:top w:val="single" w:sz="6" w:space="0" w:color="808080"/>
              <w:left w:val="nil"/>
              <w:bottom w:val="single" w:sz="6" w:space="0" w:color="808080"/>
              <w:right w:val="nil"/>
            </w:tcBorders>
            <w:vAlign w:val="bottom"/>
          </w:tcPr>
          <w:p w14:paraId="1F5E9C33"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$999,999</w:t>
            </w:r>
          </w:p>
        </w:tc>
        <w:tc>
          <w:tcPr>
            <w:tcW w:w="1530" w:type="dxa"/>
            <w:tcBorders>
              <w:top w:val="single" w:sz="6" w:space="0" w:color="808080"/>
              <w:left w:val="nil"/>
              <w:bottom w:val="single" w:sz="6" w:space="0" w:color="808080"/>
              <w:right w:val="nil"/>
            </w:tcBorders>
            <w:vAlign w:val="bottom"/>
          </w:tcPr>
          <w:p w14:paraId="0B9B240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$949,950</w:t>
            </w:r>
          </w:p>
        </w:tc>
        <w:tc>
          <w:tcPr>
            <w:tcW w:w="1440" w:type="dxa"/>
            <w:tcBorders>
              <w:top w:val="single" w:sz="6" w:space="0" w:color="808080"/>
              <w:left w:val="nil"/>
              <w:bottom w:val="single" w:sz="6" w:space="0" w:color="808080"/>
              <w:right w:val="nil"/>
            </w:tcBorders>
            <w:vAlign w:val="bottom"/>
          </w:tcPr>
          <w:p w14:paraId="59C0D4D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+$114,950</w:t>
            </w:r>
          </w:p>
        </w:tc>
      </w:tr>
      <w:tr w:rsidR="00F83EF7" w14:paraId="189BD00A" w14:textId="77777777" w:rsidTr="00BA1843">
        <w:trPr>
          <w:trHeight w:val="45"/>
        </w:trPr>
        <w:tc>
          <w:tcPr>
            <w:tcW w:w="2340" w:type="dxa"/>
            <w:tcBorders>
              <w:top w:val="single" w:sz="6" w:space="0" w:color="808080"/>
              <w:left w:val="nil"/>
              <w:bottom w:val="single" w:sz="6" w:space="0" w:color="808080"/>
              <w:right w:val="nil"/>
            </w:tcBorders>
            <w:vAlign w:val="bottom"/>
          </w:tcPr>
          <w:p w14:paraId="0471DE34"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San Bruno</w:t>
            </w:r>
          </w:p>
        </w:tc>
        <w:tc>
          <w:tcPr>
            <w:tcW w:w="1260" w:type="dxa"/>
            <w:tcBorders>
              <w:top w:val="single" w:sz="6" w:space="0" w:color="808080"/>
              <w:left w:val="nil"/>
              <w:bottom w:val="single" w:sz="6" w:space="0" w:color="808080"/>
              <w:right w:val="nil"/>
            </w:tcBorders>
            <w:vAlign w:val="bottom"/>
          </w:tcPr>
          <w:p w14:paraId="1F663514"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$749,000</w:t>
            </w:r>
          </w:p>
        </w:tc>
        <w:tc>
          <w:tcPr>
            <w:tcW w:w="1440" w:type="dxa"/>
            <w:tcBorders>
              <w:top w:val="single" w:sz="6" w:space="0" w:color="808080"/>
              <w:left w:val="nil"/>
              <w:bottom w:val="single" w:sz="6" w:space="0" w:color="808080"/>
              <w:right w:val="nil"/>
            </w:tcBorders>
            <w:vAlign w:val="bottom"/>
          </w:tcPr>
          <w:p w14:paraId="2F0EFEFB"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$549,000</w:t>
            </w:r>
          </w:p>
        </w:tc>
        <w:tc>
          <w:tcPr>
            <w:tcW w:w="1260" w:type="dxa"/>
            <w:tcBorders>
              <w:top w:val="single" w:sz="6" w:space="0" w:color="808080"/>
              <w:left w:val="nil"/>
              <w:bottom w:val="single" w:sz="6" w:space="0" w:color="808080"/>
              <w:right w:val="nil"/>
            </w:tcBorders>
            <w:vAlign w:val="bottom"/>
          </w:tcPr>
          <w:p w14:paraId="6D58BE4B"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$536,187</w:t>
            </w:r>
          </w:p>
        </w:tc>
        <w:tc>
          <w:tcPr>
            <w:tcW w:w="1530" w:type="dxa"/>
            <w:tcBorders>
              <w:top w:val="single" w:sz="6" w:space="0" w:color="808080"/>
              <w:left w:val="nil"/>
              <w:bottom w:val="single" w:sz="6" w:space="0" w:color="808080"/>
              <w:right w:val="nil"/>
            </w:tcBorders>
            <w:vAlign w:val="bottom"/>
          </w:tcPr>
          <w:p w14:paraId="00893EA8"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$710,000</w:t>
            </w:r>
          </w:p>
        </w:tc>
        <w:tc>
          <w:tcPr>
            <w:tcW w:w="1440" w:type="dxa"/>
            <w:tcBorders>
              <w:top w:val="single" w:sz="6" w:space="0" w:color="808080"/>
              <w:left w:val="nil"/>
              <w:bottom w:val="single" w:sz="6" w:space="0" w:color="808080"/>
              <w:right w:val="nil"/>
            </w:tcBorders>
            <w:vAlign w:val="bottom"/>
          </w:tcPr>
          <w:p w14:paraId="2C356CCD"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-$39,000</w:t>
            </w:r>
          </w:p>
        </w:tc>
      </w:tr>
      <w:tr w:rsidR="00F83EF7" w14:paraId="3F9955F7" w14:textId="77777777" w:rsidTr="00BA1843">
        <w:trPr>
          <w:trHeight w:val="48"/>
        </w:trPr>
        <w:tc>
          <w:tcPr>
            <w:tcW w:w="2340" w:type="dxa"/>
            <w:tcBorders>
              <w:top w:val="single" w:sz="6" w:space="0" w:color="808080"/>
              <w:left w:val="nil"/>
              <w:bottom w:val="single" w:sz="6" w:space="0" w:color="808080"/>
              <w:right w:val="nil"/>
            </w:tcBorders>
            <w:vAlign w:val="bottom"/>
          </w:tcPr>
          <w:p w14:paraId="2C88CD43"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San Carlos</w:t>
            </w:r>
          </w:p>
        </w:tc>
        <w:tc>
          <w:tcPr>
            <w:tcW w:w="1260" w:type="dxa"/>
            <w:tcBorders>
              <w:top w:val="single" w:sz="6" w:space="0" w:color="808080"/>
              <w:left w:val="nil"/>
              <w:bottom w:val="single" w:sz="6" w:space="0" w:color="808080"/>
              <w:right w:val="nil"/>
            </w:tcBorders>
            <w:vAlign w:val="bottom"/>
          </w:tcPr>
          <w:p w14:paraId="17375953"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$965,000</w:t>
            </w:r>
          </w:p>
        </w:tc>
        <w:tc>
          <w:tcPr>
            <w:tcW w:w="1440" w:type="dxa"/>
            <w:tcBorders>
              <w:top w:val="single" w:sz="6" w:space="0" w:color="808080"/>
              <w:left w:val="nil"/>
              <w:bottom w:val="single" w:sz="6" w:space="0" w:color="808080"/>
              <w:right w:val="nil"/>
            </w:tcBorders>
            <w:vAlign w:val="bottom"/>
          </w:tcPr>
          <w:p w14:paraId="416A760B"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$895,000</w:t>
            </w:r>
          </w:p>
        </w:tc>
        <w:tc>
          <w:tcPr>
            <w:tcW w:w="1260" w:type="dxa"/>
            <w:tcBorders>
              <w:top w:val="single" w:sz="6" w:space="0" w:color="808080"/>
              <w:left w:val="nil"/>
              <w:bottom w:val="single" w:sz="6" w:space="0" w:color="808080"/>
              <w:right w:val="nil"/>
            </w:tcBorders>
            <w:vAlign w:val="bottom"/>
          </w:tcPr>
          <w:p w14:paraId="2C3F5EA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$1,000,000</w:t>
            </w:r>
          </w:p>
        </w:tc>
        <w:tc>
          <w:tcPr>
            <w:tcW w:w="1530" w:type="dxa"/>
            <w:tcBorders>
              <w:top w:val="single" w:sz="6" w:space="0" w:color="808080"/>
              <w:left w:val="nil"/>
              <w:bottom w:val="single" w:sz="6" w:space="0" w:color="808080"/>
              <w:right w:val="nil"/>
            </w:tcBorders>
            <w:vAlign w:val="bottom"/>
          </w:tcPr>
          <w:p w14:paraId="161DDB06"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$1,201,000</w:t>
            </w:r>
          </w:p>
        </w:tc>
        <w:tc>
          <w:tcPr>
            <w:tcW w:w="1440" w:type="dxa"/>
            <w:tcBorders>
              <w:top w:val="single" w:sz="6" w:space="0" w:color="808080"/>
              <w:left w:val="nil"/>
              <w:bottom w:val="single" w:sz="6" w:space="0" w:color="808080"/>
              <w:right w:val="nil"/>
            </w:tcBorders>
            <w:vAlign w:val="bottom"/>
          </w:tcPr>
          <w:p w14:paraId="12681FD1"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+$236,000</w:t>
            </w:r>
          </w:p>
        </w:tc>
      </w:tr>
      <w:tr w:rsidR="00F83EF7" w:rsidRPr="00F83EF7" w14:paraId="33FE28E1" w14:textId="77777777" w:rsidTr="00BA1843">
        <w:trPr>
          <w:trHeight w:val="45"/>
        </w:trPr>
        <w:tc>
          <w:tcPr>
            <w:tcW w:w="2340" w:type="dxa"/>
            <w:tcBorders>
              <w:top w:val="single" w:sz="6" w:space="0" w:color="808080"/>
              <w:left w:val="nil"/>
              <w:bottom w:val="single" w:sz="6" w:space="0" w:color="808080"/>
              <w:right w:val="nil"/>
            </w:tcBorders>
            <w:vAlign w:val="bottom"/>
          </w:tcPr>
          <w:p w14:paraId="7883B1AE" w14:textId="77777777" w:rsidR="00F83EF7" w:rsidRPr="00F83EF7" w:rsidRDefault="00F83EF7" w:rsidP="00BA1843">
            <w:pPr>
              <w:widowControl w:val="0"/>
              <w:autoSpaceDE w:val="0"/>
              <w:autoSpaceDN w:val="0"/>
              <w:adjustRightInd w:val="0"/>
              <w:ind w:left="-108"/>
              <w:rPr>
                <w:rFonts w:cs="Century Gothic"/>
                <w:color w:val="000000"/>
                <w:sz w:val="18"/>
                <w:szCs w:val="18"/>
              </w:rPr>
            </w:pPr>
            <w:r w:rsidRPr="00F83EF7">
              <w:rPr>
                <w:rFonts w:cs="Century Gothic"/>
                <w:color w:val="000000"/>
                <w:sz w:val="18"/>
                <w:szCs w:val="18"/>
              </w:rPr>
              <w:t>San Mateo</w:t>
            </w:r>
          </w:p>
        </w:tc>
        <w:tc>
          <w:tcPr>
            <w:tcW w:w="1260" w:type="dxa"/>
            <w:tcBorders>
              <w:top w:val="single" w:sz="6" w:space="0" w:color="808080"/>
              <w:left w:val="nil"/>
              <w:bottom w:val="single" w:sz="6" w:space="0" w:color="808080"/>
              <w:right w:val="nil"/>
            </w:tcBorders>
            <w:vAlign w:val="bottom"/>
          </w:tcPr>
          <w:p w14:paraId="6F444EF4" w14:textId="77777777" w:rsidR="00F83EF7" w:rsidRPr="00F83EF7" w:rsidRDefault="00F83EF7" w:rsidP="00BA1843">
            <w:pPr>
              <w:widowControl w:val="0"/>
              <w:autoSpaceDE w:val="0"/>
              <w:autoSpaceDN w:val="0"/>
              <w:adjustRightInd w:val="0"/>
              <w:jc w:val="right"/>
              <w:rPr>
                <w:rFonts w:cs="Century Gothic"/>
                <w:color w:val="000000"/>
                <w:sz w:val="18"/>
                <w:szCs w:val="18"/>
              </w:rPr>
            </w:pPr>
            <w:r w:rsidRPr="00F83EF7">
              <w:rPr>
                <w:rFonts w:cs="Century Gothic"/>
                <w:color w:val="000000"/>
                <w:sz w:val="18"/>
                <w:szCs w:val="18"/>
              </w:rPr>
              <w:t>$860,000</w:t>
            </w:r>
          </w:p>
        </w:tc>
        <w:tc>
          <w:tcPr>
            <w:tcW w:w="1440" w:type="dxa"/>
            <w:tcBorders>
              <w:top w:val="single" w:sz="6" w:space="0" w:color="808080"/>
              <w:left w:val="nil"/>
              <w:bottom w:val="single" w:sz="6" w:space="0" w:color="808080"/>
              <w:right w:val="nil"/>
            </w:tcBorders>
            <w:vAlign w:val="bottom"/>
          </w:tcPr>
          <w:p w14:paraId="2A95D277" w14:textId="77777777" w:rsidR="00F83EF7" w:rsidRPr="00F83EF7" w:rsidRDefault="00F83EF7" w:rsidP="00BA1843">
            <w:pPr>
              <w:widowControl w:val="0"/>
              <w:autoSpaceDE w:val="0"/>
              <w:autoSpaceDN w:val="0"/>
              <w:adjustRightInd w:val="0"/>
              <w:jc w:val="right"/>
              <w:rPr>
                <w:rFonts w:cs="Century Gothic"/>
                <w:color w:val="000000"/>
                <w:sz w:val="18"/>
                <w:szCs w:val="18"/>
              </w:rPr>
            </w:pPr>
            <w:r w:rsidRPr="00F83EF7">
              <w:rPr>
                <w:rFonts w:cs="Century Gothic"/>
                <w:color w:val="000000"/>
                <w:sz w:val="18"/>
                <w:szCs w:val="18"/>
              </w:rPr>
              <w:t>$750,000</w:t>
            </w:r>
          </w:p>
        </w:tc>
        <w:tc>
          <w:tcPr>
            <w:tcW w:w="1260" w:type="dxa"/>
            <w:tcBorders>
              <w:top w:val="single" w:sz="6" w:space="0" w:color="808080"/>
              <w:left w:val="nil"/>
              <w:bottom w:val="single" w:sz="6" w:space="0" w:color="808080"/>
              <w:right w:val="nil"/>
            </w:tcBorders>
            <w:vAlign w:val="bottom"/>
          </w:tcPr>
          <w:p w14:paraId="50B7E164" w14:textId="77777777" w:rsidR="00F83EF7" w:rsidRPr="00F83EF7" w:rsidRDefault="00F83EF7" w:rsidP="00BA1843">
            <w:pPr>
              <w:widowControl w:val="0"/>
              <w:autoSpaceDE w:val="0"/>
              <w:autoSpaceDN w:val="0"/>
              <w:adjustRightInd w:val="0"/>
              <w:jc w:val="right"/>
              <w:rPr>
                <w:rFonts w:cs="Century Gothic"/>
                <w:color w:val="000000"/>
                <w:sz w:val="18"/>
                <w:szCs w:val="18"/>
              </w:rPr>
            </w:pPr>
            <w:r w:rsidRPr="00F83EF7">
              <w:rPr>
                <w:rFonts w:cs="Century Gothic"/>
                <w:color w:val="000000"/>
                <w:sz w:val="18"/>
                <w:szCs w:val="18"/>
              </w:rPr>
              <w:t>$778,000</w:t>
            </w:r>
          </w:p>
        </w:tc>
        <w:tc>
          <w:tcPr>
            <w:tcW w:w="1530" w:type="dxa"/>
            <w:tcBorders>
              <w:top w:val="single" w:sz="6" w:space="0" w:color="808080"/>
              <w:left w:val="nil"/>
              <w:bottom w:val="single" w:sz="6" w:space="0" w:color="808080"/>
              <w:right w:val="nil"/>
            </w:tcBorders>
            <w:vAlign w:val="bottom"/>
          </w:tcPr>
          <w:p w14:paraId="394EA214" w14:textId="77777777" w:rsidR="00F83EF7" w:rsidRPr="00F83EF7" w:rsidRDefault="00F83EF7" w:rsidP="00BA1843">
            <w:pPr>
              <w:widowControl w:val="0"/>
              <w:autoSpaceDE w:val="0"/>
              <w:autoSpaceDN w:val="0"/>
              <w:adjustRightInd w:val="0"/>
              <w:jc w:val="right"/>
              <w:rPr>
                <w:rFonts w:cs="Century Gothic"/>
                <w:color w:val="000000"/>
                <w:sz w:val="18"/>
                <w:szCs w:val="18"/>
              </w:rPr>
            </w:pPr>
            <w:r w:rsidRPr="00F83EF7">
              <w:rPr>
                <w:rFonts w:cs="Century Gothic"/>
                <w:color w:val="000000"/>
                <w:sz w:val="18"/>
                <w:szCs w:val="18"/>
              </w:rPr>
              <w:t>$925,500</w:t>
            </w:r>
          </w:p>
        </w:tc>
        <w:tc>
          <w:tcPr>
            <w:tcW w:w="1440" w:type="dxa"/>
            <w:tcBorders>
              <w:top w:val="single" w:sz="6" w:space="0" w:color="808080"/>
              <w:left w:val="nil"/>
              <w:bottom w:val="single" w:sz="6" w:space="0" w:color="808080"/>
              <w:right w:val="nil"/>
            </w:tcBorders>
            <w:vAlign w:val="bottom"/>
          </w:tcPr>
          <w:p w14:paraId="18ACB08F" w14:textId="77777777" w:rsidR="00F83EF7" w:rsidRPr="00F83EF7" w:rsidRDefault="00F83EF7" w:rsidP="00BA1843">
            <w:pPr>
              <w:widowControl w:val="0"/>
              <w:autoSpaceDE w:val="0"/>
              <w:autoSpaceDN w:val="0"/>
              <w:adjustRightInd w:val="0"/>
              <w:jc w:val="right"/>
              <w:rPr>
                <w:rFonts w:cs="Century Gothic"/>
                <w:color w:val="000000"/>
                <w:sz w:val="18"/>
                <w:szCs w:val="18"/>
              </w:rPr>
            </w:pPr>
            <w:r w:rsidRPr="00F83EF7">
              <w:rPr>
                <w:rFonts w:cs="Century Gothic"/>
                <w:color w:val="000000"/>
                <w:sz w:val="18"/>
                <w:szCs w:val="18"/>
              </w:rPr>
              <w:t>+$65,500</w:t>
            </w:r>
          </w:p>
        </w:tc>
      </w:tr>
      <w:tr w:rsidR="00F83EF7" w14:paraId="76D2C247" w14:textId="77777777" w:rsidTr="00BA1843">
        <w:trPr>
          <w:trHeight w:val="138"/>
        </w:trPr>
        <w:tc>
          <w:tcPr>
            <w:tcW w:w="2340" w:type="dxa"/>
            <w:tcBorders>
              <w:top w:val="single" w:sz="6" w:space="0" w:color="808080"/>
              <w:left w:val="nil"/>
              <w:bottom w:val="single" w:sz="6" w:space="0" w:color="808080"/>
              <w:right w:val="nil"/>
            </w:tcBorders>
            <w:vAlign w:val="bottom"/>
          </w:tcPr>
          <w:p w14:paraId="38730BCB"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South San Francisco</w:t>
            </w:r>
          </w:p>
        </w:tc>
        <w:tc>
          <w:tcPr>
            <w:tcW w:w="1260" w:type="dxa"/>
            <w:tcBorders>
              <w:top w:val="single" w:sz="6" w:space="0" w:color="808080"/>
              <w:left w:val="nil"/>
              <w:bottom w:val="single" w:sz="6" w:space="0" w:color="808080"/>
              <w:right w:val="nil"/>
            </w:tcBorders>
            <w:vAlign w:val="bottom"/>
          </w:tcPr>
          <w:p w14:paraId="30982C3C"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$740,000</w:t>
            </w:r>
          </w:p>
        </w:tc>
        <w:tc>
          <w:tcPr>
            <w:tcW w:w="1440" w:type="dxa"/>
            <w:tcBorders>
              <w:top w:val="single" w:sz="6" w:space="0" w:color="808080"/>
              <w:left w:val="nil"/>
              <w:bottom w:val="single" w:sz="6" w:space="0" w:color="808080"/>
              <w:right w:val="nil"/>
            </w:tcBorders>
            <w:vAlign w:val="bottom"/>
          </w:tcPr>
          <w:p w14:paraId="58E5CA32"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$520,000</w:t>
            </w:r>
          </w:p>
        </w:tc>
        <w:tc>
          <w:tcPr>
            <w:tcW w:w="1260" w:type="dxa"/>
            <w:tcBorders>
              <w:top w:val="single" w:sz="6" w:space="0" w:color="808080"/>
              <w:left w:val="nil"/>
              <w:bottom w:val="single" w:sz="6" w:space="0" w:color="808080"/>
              <w:right w:val="nil"/>
            </w:tcBorders>
            <w:vAlign w:val="bottom"/>
          </w:tcPr>
          <w:p w14:paraId="028AB630"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$500,750</w:t>
            </w:r>
          </w:p>
        </w:tc>
        <w:tc>
          <w:tcPr>
            <w:tcW w:w="1530" w:type="dxa"/>
            <w:tcBorders>
              <w:top w:val="single" w:sz="6" w:space="0" w:color="808080"/>
              <w:left w:val="nil"/>
              <w:bottom w:val="single" w:sz="6" w:space="0" w:color="808080"/>
              <w:right w:val="nil"/>
            </w:tcBorders>
            <w:vAlign w:val="bottom"/>
          </w:tcPr>
          <w:p w14:paraId="1E7BF0A2"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$650,000</w:t>
            </w:r>
          </w:p>
        </w:tc>
        <w:tc>
          <w:tcPr>
            <w:tcW w:w="1440" w:type="dxa"/>
            <w:tcBorders>
              <w:top w:val="single" w:sz="6" w:space="0" w:color="808080"/>
              <w:left w:val="nil"/>
              <w:bottom w:val="single" w:sz="6" w:space="0" w:color="808080"/>
              <w:right w:val="nil"/>
            </w:tcBorders>
            <w:vAlign w:val="bottom"/>
          </w:tcPr>
          <w:p w14:paraId="13CB3C3E"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-$90,000</w:t>
            </w:r>
          </w:p>
        </w:tc>
      </w:tr>
      <w:tr w:rsidR="00F83EF7" w14:paraId="3CD05667" w14:textId="77777777" w:rsidTr="00BA1843">
        <w:trPr>
          <w:trHeight w:val="93"/>
        </w:trPr>
        <w:tc>
          <w:tcPr>
            <w:tcW w:w="2340" w:type="dxa"/>
            <w:tcBorders>
              <w:top w:val="single" w:sz="6" w:space="0" w:color="808080"/>
              <w:left w:val="nil"/>
              <w:bottom w:val="single" w:sz="6" w:space="0" w:color="808080"/>
              <w:right w:val="nil"/>
            </w:tcBorders>
            <w:vAlign w:val="bottom"/>
          </w:tcPr>
          <w:p w14:paraId="0E7420FF" w14:textId="77777777" w:rsidR="00F83EF7" w:rsidRDefault="00F83EF7" w:rsidP="00BA1843">
            <w:pPr>
              <w:widowControl w:val="0"/>
              <w:autoSpaceDE w:val="0"/>
              <w:autoSpaceDN w:val="0"/>
              <w:adjustRightInd w:val="0"/>
              <w:ind w:left="-108"/>
              <w:rPr>
                <w:rFonts w:cs="Century Gothic"/>
                <w:color w:val="000000"/>
                <w:sz w:val="18"/>
                <w:szCs w:val="18"/>
              </w:rPr>
            </w:pPr>
            <w:r>
              <w:rPr>
                <w:rFonts w:cs="Century Gothic"/>
                <w:color w:val="000000"/>
                <w:sz w:val="18"/>
                <w:szCs w:val="18"/>
              </w:rPr>
              <w:t>Woodside</w:t>
            </w:r>
          </w:p>
        </w:tc>
        <w:tc>
          <w:tcPr>
            <w:tcW w:w="1260" w:type="dxa"/>
            <w:tcBorders>
              <w:top w:val="single" w:sz="6" w:space="0" w:color="808080"/>
              <w:left w:val="nil"/>
              <w:bottom w:val="single" w:sz="6" w:space="0" w:color="808080"/>
              <w:right w:val="nil"/>
            </w:tcBorders>
            <w:vAlign w:val="bottom"/>
          </w:tcPr>
          <w:p w14:paraId="18228C37"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$1,825,000</w:t>
            </w:r>
          </w:p>
        </w:tc>
        <w:tc>
          <w:tcPr>
            <w:tcW w:w="1440" w:type="dxa"/>
            <w:tcBorders>
              <w:top w:val="single" w:sz="6" w:space="0" w:color="808080"/>
              <w:left w:val="nil"/>
              <w:bottom w:val="single" w:sz="6" w:space="0" w:color="808080"/>
              <w:right w:val="nil"/>
            </w:tcBorders>
            <w:vAlign w:val="bottom"/>
          </w:tcPr>
          <w:p w14:paraId="0069C897"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$1,755,000</w:t>
            </w:r>
          </w:p>
        </w:tc>
        <w:tc>
          <w:tcPr>
            <w:tcW w:w="1260" w:type="dxa"/>
            <w:tcBorders>
              <w:top w:val="single" w:sz="6" w:space="0" w:color="808080"/>
              <w:left w:val="nil"/>
              <w:bottom w:val="single" w:sz="6" w:space="0" w:color="808080"/>
              <w:right w:val="nil"/>
            </w:tcBorders>
            <w:vAlign w:val="bottom"/>
          </w:tcPr>
          <w:p w14:paraId="7540FB94"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$1,605,000</w:t>
            </w:r>
          </w:p>
        </w:tc>
        <w:tc>
          <w:tcPr>
            <w:tcW w:w="1530" w:type="dxa"/>
            <w:tcBorders>
              <w:top w:val="single" w:sz="6" w:space="0" w:color="808080"/>
              <w:left w:val="nil"/>
              <w:bottom w:val="single" w:sz="6" w:space="0" w:color="808080"/>
              <w:right w:val="nil"/>
            </w:tcBorders>
            <w:vAlign w:val="bottom"/>
          </w:tcPr>
          <w:p w14:paraId="59005BD8"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$1,810,000</w:t>
            </w:r>
          </w:p>
        </w:tc>
        <w:tc>
          <w:tcPr>
            <w:tcW w:w="1440" w:type="dxa"/>
            <w:tcBorders>
              <w:top w:val="single" w:sz="6" w:space="0" w:color="808080"/>
              <w:left w:val="nil"/>
              <w:bottom w:val="single" w:sz="6" w:space="0" w:color="808080"/>
              <w:right w:val="nil"/>
            </w:tcBorders>
            <w:vAlign w:val="bottom"/>
          </w:tcPr>
          <w:p w14:paraId="7DD05817" w14:textId="77777777" w:rsidR="00F83EF7" w:rsidRDefault="00F83EF7" w:rsidP="00BA1843">
            <w:pPr>
              <w:widowControl w:val="0"/>
              <w:autoSpaceDE w:val="0"/>
              <w:autoSpaceDN w:val="0"/>
              <w:adjustRightInd w:val="0"/>
              <w:jc w:val="right"/>
              <w:rPr>
                <w:rFonts w:cs="Century Gothic"/>
                <w:color w:val="000000"/>
                <w:sz w:val="18"/>
                <w:szCs w:val="18"/>
              </w:rPr>
            </w:pPr>
            <w:r>
              <w:rPr>
                <w:rFonts w:cs="Century Gothic"/>
                <w:color w:val="000000"/>
                <w:sz w:val="18"/>
                <w:szCs w:val="18"/>
              </w:rPr>
              <w:t>-$15,000</w:t>
            </w:r>
          </w:p>
        </w:tc>
      </w:tr>
      <w:tr w:rsidR="00F83EF7" w:rsidRPr="000311E7" w14:paraId="6D1BD847" w14:textId="77777777" w:rsidTr="00BA1843">
        <w:trPr>
          <w:trHeight w:val="45"/>
        </w:trPr>
        <w:tc>
          <w:tcPr>
            <w:tcW w:w="2340" w:type="dxa"/>
            <w:tcBorders>
              <w:top w:val="nil"/>
              <w:left w:val="nil"/>
              <w:bottom w:val="single" w:sz="6" w:space="0" w:color="auto"/>
              <w:right w:val="nil"/>
            </w:tcBorders>
            <w:vAlign w:val="bottom"/>
          </w:tcPr>
          <w:p w14:paraId="1F8F8490" w14:textId="77777777" w:rsidR="00F83EF7" w:rsidRPr="000311E7" w:rsidRDefault="00F83EF7" w:rsidP="00BA1843">
            <w:pPr>
              <w:widowControl w:val="0"/>
              <w:autoSpaceDE w:val="0"/>
              <w:autoSpaceDN w:val="0"/>
              <w:adjustRightInd w:val="0"/>
              <w:spacing w:line="240" w:lineRule="auto"/>
              <w:ind w:left="-108"/>
              <w:rPr>
                <w:rFonts w:cs="Century Gothic"/>
                <w:color w:val="000000"/>
                <w:sz w:val="18"/>
                <w:szCs w:val="18"/>
              </w:rPr>
            </w:pPr>
            <w:r w:rsidRPr="000311E7">
              <w:rPr>
                <w:rFonts w:cs="Century Gothic"/>
                <w:color w:val="000000"/>
                <w:sz w:val="18"/>
                <w:szCs w:val="18"/>
              </w:rPr>
              <w:t>San Mateo County Average Sales Price</w:t>
            </w:r>
          </w:p>
        </w:tc>
        <w:tc>
          <w:tcPr>
            <w:tcW w:w="1260" w:type="dxa"/>
            <w:tcBorders>
              <w:top w:val="nil"/>
              <w:left w:val="nil"/>
              <w:bottom w:val="single" w:sz="6" w:space="0" w:color="auto"/>
              <w:right w:val="nil"/>
            </w:tcBorders>
            <w:vAlign w:val="bottom"/>
          </w:tcPr>
          <w:p w14:paraId="5FDD454D" w14:textId="77777777" w:rsidR="00F83EF7" w:rsidRPr="000311E7" w:rsidRDefault="00F83EF7" w:rsidP="00BA1843">
            <w:pPr>
              <w:widowControl w:val="0"/>
              <w:autoSpaceDE w:val="0"/>
              <w:autoSpaceDN w:val="0"/>
              <w:adjustRightInd w:val="0"/>
              <w:spacing w:line="240" w:lineRule="auto"/>
              <w:jc w:val="right"/>
              <w:rPr>
                <w:rFonts w:cs="Century Gothic"/>
                <w:color w:val="000000"/>
                <w:sz w:val="18"/>
                <w:szCs w:val="18"/>
              </w:rPr>
            </w:pPr>
            <w:r w:rsidRPr="000311E7">
              <w:rPr>
                <w:rFonts w:cs="Century Gothic"/>
                <w:color w:val="000000"/>
                <w:sz w:val="18"/>
                <w:szCs w:val="18"/>
              </w:rPr>
              <w:t>$1,095,951</w:t>
            </w:r>
          </w:p>
        </w:tc>
        <w:tc>
          <w:tcPr>
            <w:tcW w:w="1440" w:type="dxa"/>
            <w:tcBorders>
              <w:top w:val="nil"/>
              <w:left w:val="nil"/>
              <w:bottom w:val="single" w:sz="6" w:space="0" w:color="auto"/>
              <w:right w:val="nil"/>
            </w:tcBorders>
            <w:vAlign w:val="bottom"/>
          </w:tcPr>
          <w:p w14:paraId="46B895A1" w14:textId="77777777" w:rsidR="00F83EF7" w:rsidRPr="000311E7" w:rsidRDefault="00F83EF7" w:rsidP="00BA1843">
            <w:pPr>
              <w:widowControl w:val="0"/>
              <w:autoSpaceDE w:val="0"/>
              <w:autoSpaceDN w:val="0"/>
              <w:adjustRightInd w:val="0"/>
              <w:spacing w:line="240" w:lineRule="auto"/>
              <w:jc w:val="right"/>
              <w:rPr>
                <w:rFonts w:cs="Century Gothic"/>
                <w:color w:val="000000"/>
                <w:sz w:val="18"/>
                <w:szCs w:val="18"/>
              </w:rPr>
            </w:pPr>
            <w:r w:rsidRPr="000311E7">
              <w:rPr>
                <w:rFonts w:cs="Century Gothic"/>
                <w:color w:val="000000"/>
                <w:sz w:val="18"/>
                <w:szCs w:val="18"/>
              </w:rPr>
              <w:t>$934,680</w:t>
            </w:r>
          </w:p>
        </w:tc>
        <w:tc>
          <w:tcPr>
            <w:tcW w:w="1260" w:type="dxa"/>
            <w:tcBorders>
              <w:top w:val="nil"/>
              <w:left w:val="nil"/>
              <w:bottom w:val="single" w:sz="6" w:space="0" w:color="auto"/>
              <w:right w:val="nil"/>
            </w:tcBorders>
            <w:vAlign w:val="bottom"/>
          </w:tcPr>
          <w:p w14:paraId="32512897" w14:textId="77777777" w:rsidR="00F83EF7" w:rsidRPr="000311E7" w:rsidRDefault="00F83EF7" w:rsidP="00BA1843">
            <w:pPr>
              <w:widowControl w:val="0"/>
              <w:autoSpaceDE w:val="0"/>
              <w:autoSpaceDN w:val="0"/>
              <w:adjustRightInd w:val="0"/>
              <w:spacing w:line="240" w:lineRule="auto"/>
              <w:jc w:val="right"/>
              <w:rPr>
                <w:rFonts w:cs="Century Gothic"/>
                <w:color w:val="000000"/>
                <w:sz w:val="18"/>
                <w:szCs w:val="18"/>
              </w:rPr>
            </w:pPr>
            <w:r w:rsidRPr="000311E7">
              <w:rPr>
                <w:rFonts w:cs="Century Gothic"/>
                <w:color w:val="000000"/>
                <w:sz w:val="18"/>
                <w:szCs w:val="18"/>
              </w:rPr>
              <w:t>$976,787</w:t>
            </w:r>
          </w:p>
        </w:tc>
        <w:tc>
          <w:tcPr>
            <w:tcW w:w="1530" w:type="dxa"/>
            <w:tcBorders>
              <w:top w:val="nil"/>
              <w:left w:val="nil"/>
              <w:bottom w:val="single" w:sz="6" w:space="0" w:color="auto"/>
              <w:right w:val="nil"/>
            </w:tcBorders>
            <w:vAlign w:val="bottom"/>
          </w:tcPr>
          <w:p w14:paraId="6E8F004B" w14:textId="77777777" w:rsidR="00F83EF7" w:rsidRPr="000311E7" w:rsidRDefault="00F83EF7" w:rsidP="00BA1843">
            <w:pPr>
              <w:widowControl w:val="0"/>
              <w:autoSpaceDE w:val="0"/>
              <w:autoSpaceDN w:val="0"/>
              <w:adjustRightInd w:val="0"/>
              <w:spacing w:line="240" w:lineRule="auto"/>
              <w:jc w:val="right"/>
              <w:rPr>
                <w:rFonts w:cs="Century Gothic"/>
                <w:color w:val="000000"/>
                <w:sz w:val="18"/>
                <w:szCs w:val="18"/>
              </w:rPr>
            </w:pPr>
            <w:r w:rsidRPr="000311E7">
              <w:rPr>
                <w:rFonts w:cs="Century Gothic"/>
                <w:color w:val="000000"/>
                <w:sz w:val="18"/>
                <w:szCs w:val="18"/>
              </w:rPr>
              <w:t>$1,246,121</w:t>
            </w:r>
          </w:p>
        </w:tc>
        <w:tc>
          <w:tcPr>
            <w:tcW w:w="1440" w:type="dxa"/>
            <w:tcBorders>
              <w:top w:val="nil"/>
              <w:left w:val="nil"/>
              <w:bottom w:val="single" w:sz="6" w:space="0" w:color="auto"/>
              <w:right w:val="nil"/>
            </w:tcBorders>
            <w:vAlign w:val="bottom"/>
          </w:tcPr>
          <w:p w14:paraId="7F0B3C79" w14:textId="77777777" w:rsidR="00F83EF7" w:rsidRPr="000311E7" w:rsidRDefault="00F83EF7" w:rsidP="00BA1843">
            <w:pPr>
              <w:widowControl w:val="0"/>
              <w:autoSpaceDE w:val="0"/>
              <w:autoSpaceDN w:val="0"/>
              <w:adjustRightInd w:val="0"/>
              <w:spacing w:line="240" w:lineRule="auto"/>
              <w:jc w:val="right"/>
              <w:rPr>
                <w:rFonts w:cs="Century Gothic"/>
                <w:color w:val="000000"/>
                <w:sz w:val="18"/>
                <w:szCs w:val="18"/>
              </w:rPr>
            </w:pPr>
            <w:r>
              <w:rPr>
                <w:rFonts w:cs="Century Gothic"/>
                <w:color w:val="000000"/>
                <w:sz w:val="18"/>
                <w:szCs w:val="18"/>
              </w:rPr>
              <w:t>+$150,170</w:t>
            </w:r>
          </w:p>
        </w:tc>
      </w:tr>
      <w:tr w:rsidR="00F83EF7" w:rsidRPr="000B147D" w14:paraId="214463DB" w14:textId="77777777" w:rsidTr="00BA1843">
        <w:trPr>
          <w:trHeight w:val="48"/>
        </w:trPr>
        <w:tc>
          <w:tcPr>
            <w:tcW w:w="7830" w:type="dxa"/>
            <w:gridSpan w:val="5"/>
            <w:tcBorders>
              <w:top w:val="single" w:sz="6" w:space="0" w:color="auto"/>
              <w:left w:val="nil"/>
              <w:right w:val="nil"/>
            </w:tcBorders>
          </w:tcPr>
          <w:p w14:paraId="60451267" w14:textId="77777777" w:rsidR="00F83EF7" w:rsidRDefault="00F83EF7" w:rsidP="00BA1843">
            <w:pPr>
              <w:widowControl w:val="0"/>
              <w:autoSpaceDE w:val="0"/>
              <w:autoSpaceDN w:val="0"/>
              <w:adjustRightInd w:val="0"/>
              <w:spacing w:line="240" w:lineRule="auto"/>
              <w:rPr>
                <w:rFonts w:cs="Century Gothic"/>
                <w:iCs/>
                <w:color w:val="000000"/>
                <w:sz w:val="18"/>
                <w:szCs w:val="16"/>
              </w:rPr>
            </w:pPr>
          </w:p>
          <w:p w14:paraId="54DFE7F0" w14:textId="77777777" w:rsidR="00F83EF7" w:rsidRDefault="00F83EF7" w:rsidP="00BA1843">
            <w:pPr>
              <w:widowControl w:val="0"/>
              <w:autoSpaceDE w:val="0"/>
              <w:autoSpaceDN w:val="0"/>
              <w:adjustRightInd w:val="0"/>
              <w:spacing w:line="240" w:lineRule="auto"/>
              <w:rPr>
                <w:rFonts w:cs="Century Gothic"/>
                <w:iCs/>
                <w:color w:val="000000"/>
                <w:sz w:val="18"/>
                <w:szCs w:val="16"/>
              </w:rPr>
            </w:pPr>
            <w:r>
              <w:rPr>
                <w:rFonts w:cs="Century Gothic"/>
                <w:iCs/>
                <w:color w:val="000000"/>
                <w:sz w:val="18"/>
                <w:szCs w:val="16"/>
              </w:rPr>
              <w:t xml:space="preserve">Source: San Mateo County Association of Realtors (SAMCAR), based on statistics compiled by MLS, Inc.  — </w:t>
            </w:r>
            <w:hyperlink r:id="rId20" w:history="1">
              <w:r w:rsidRPr="005D1326">
                <w:rPr>
                  <w:rStyle w:val="Hyperlink"/>
                  <w:rFonts w:cs="Century Gothic"/>
                  <w:iCs/>
                  <w:sz w:val="18"/>
                  <w:szCs w:val="16"/>
                </w:rPr>
                <w:t>http://www.samcar.org/index.cfm/sales_statistics.htm</w:t>
              </w:r>
            </w:hyperlink>
          </w:p>
          <w:p w14:paraId="2CD1B8F5" w14:textId="77777777" w:rsidR="00F83EF7" w:rsidRPr="000B147D" w:rsidRDefault="00F83EF7" w:rsidP="00BA1843">
            <w:pPr>
              <w:widowControl w:val="0"/>
              <w:autoSpaceDE w:val="0"/>
              <w:autoSpaceDN w:val="0"/>
              <w:adjustRightInd w:val="0"/>
              <w:spacing w:line="240" w:lineRule="auto"/>
              <w:rPr>
                <w:rFonts w:cs="Century Gothic"/>
                <w:iCs/>
                <w:color w:val="000000"/>
                <w:sz w:val="18"/>
                <w:szCs w:val="16"/>
              </w:rPr>
            </w:pPr>
          </w:p>
        </w:tc>
        <w:tc>
          <w:tcPr>
            <w:tcW w:w="1440" w:type="dxa"/>
            <w:tcBorders>
              <w:top w:val="single" w:sz="6" w:space="0" w:color="auto"/>
              <w:left w:val="nil"/>
              <w:right w:val="nil"/>
            </w:tcBorders>
          </w:tcPr>
          <w:p w14:paraId="04B14F85" w14:textId="77777777" w:rsidR="00F83EF7" w:rsidRPr="000B147D" w:rsidRDefault="00F83EF7" w:rsidP="00BA1843">
            <w:pPr>
              <w:widowControl w:val="0"/>
              <w:autoSpaceDE w:val="0"/>
              <w:autoSpaceDN w:val="0"/>
              <w:adjustRightInd w:val="0"/>
              <w:spacing w:line="240" w:lineRule="auto"/>
              <w:rPr>
                <w:rFonts w:cs="Century Gothic"/>
                <w:iCs/>
                <w:color w:val="000000"/>
                <w:sz w:val="18"/>
                <w:szCs w:val="16"/>
              </w:rPr>
            </w:pPr>
          </w:p>
        </w:tc>
      </w:tr>
    </w:tbl>
    <w:p w14:paraId="555C06E6" w14:textId="77777777" w:rsidR="00B168E8" w:rsidRPr="00CB2975" w:rsidRDefault="00B168E8" w:rsidP="00B168E8">
      <w:pPr>
        <w:rPr>
          <w:sz w:val="14"/>
        </w:rPr>
      </w:pPr>
    </w:p>
    <w:p w14:paraId="7DD379B7" w14:textId="2544E296" w:rsidR="004C427B" w:rsidRDefault="005B6E52" w:rsidP="00B168E8">
      <w:pPr>
        <w:spacing w:line="240" w:lineRule="auto"/>
      </w:pPr>
      <w:r>
        <w:t xml:space="preserve">The ability of a household to be able to purchase a median priced single family home is shown in the table below. The annual income, or </w:t>
      </w:r>
      <w:r w:rsidR="005B5E5C">
        <w:t xml:space="preserve">ability to pay, is based on Hillsborough’s median household income. </w:t>
      </w:r>
      <w:r>
        <w:br w:type="page"/>
      </w:r>
    </w:p>
    <w:tbl>
      <w:tblPr>
        <w:tblW w:w="7280" w:type="dxa"/>
        <w:tblInd w:w="93" w:type="dxa"/>
        <w:tblLook w:val="04A0" w:firstRow="1" w:lastRow="0" w:firstColumn="1" w:lastColumn="0" w:noHBand="0" w:noVBand="1"/>
      </w:tblPr>
      <w:tblGrid>
        <w:gridCol w:w="1940"/>
        <w:gridCol w:w="1300"/>
        <w:gridCol w:w="1300"/>
        <w:gridCol w:w="1300"/>
        <w:gridCol w:w="1440"/>
      </w:tblGrid>
      <w:tr w:rsidR="005B5E5C" w:rsidRPr="005B5E5C" w14:paraId="4E600BD3" w14:textId="77777777" w:rsidTr="005B5E5C">
        <w:trPr>
          <w:trHeight w:val="300"/>
        </w:trPr>
        <w:tc>
          <w:tcPr>
            <w:tcW w:w="7280" w:type="dxa"/>
            <w:gridSpan w:val="5"/>
            <w:tcBorders>
              <w:top w:val="nil"/>
              <w:left w:val="nil"/>
              <w:bottom w:val="nil"/>
              <w:right w:val="nil"/>
            </w:tcBorders>
            <w:shd w:val="clear" w:color="000000" w:fill="000000"/>
            <w:noWrap/>
            <w:vAlign w:val="bottom"/>
            <w:hideMark/>
          </w:tcPr>
          <w:p w14:paraId="454B6E68" w14:textId="77777777" w:rsidR="005B5E5C" w:rsidRDefault="005B5E5C" w:rsidP="005B5E5C">
            <w:pPr>
              <w:spacing w:line="240" w:lineRule="auto"/>
              <w:rPr>
                <w:rFonts w:eastAsia="Times New Roman" w:cs="Times New Roman"/>
                <w:b/>
                <w:bCs/>
                <w:color w:val="FFFFFF"/>
                <w:sz w:val="20"/>
                <w:szCs w:val="20"/>
              </w:rPr>
            </w:pPr>
            <w:r w:rsidRPr="005B5E5C">
              <w:rPr>
                <w:rFonts w:eastAsia="Times New Roman" w:cs="Times New Roman"/>
                <w:b/>
                <w:bCs/>
                <w:color w:val="FFFFFF"/>
                <w:sz w:val="20"/>
                <w:szCs w:val="20"/>
              </w:rPr>
              <w:t>Ability to Pay for For-Sale Housing in Hillsborough (2011)</w:t>
            </w:r>
          </w:p>
          <w:p w14:paraId="1312AC13" w14:textId="77777777" w:rsidR="00B81596" w:rsidRPr="00B81596" w:rsidRDefault="00B81596" w:rsidP="005B5E5C">
            <w:pPr>
              <w:spacing w:line="240" w:lineRule="auto"/>
              <w:rPr>
                <w:rFonts w:eastAsia="Times New Roman" w:cs="Times New Roman"/>
                <w:b/>
                <w:bCs/>
                <w:color w:val="FFFFFF"/>
                <w:sz w:val="6"/>
                <w:szCs w:val="20"/>
              </w:rPr>
            </w:pPr>
          </w:p>
        </w:tc>
      </w:tr>
      <w:tr w:rsidR="005B5E5C" w:rsidRPr="005B5E5C" w14:paraId="1E2510B2" w14:textId="77777777" w:rsidTr="005B5E5C">
        <w:trPr>
          <w:trHeight w:val="1240"/>
        </w:trPr>
        <w:tc>
          <w:tcPr>
            <w:tcW w:w="1940" w:type="dxa"/>
            <w:tcBorders>
              <w:top w:val="nil"/>
              <w:left w:val="nil"/>
              <w:bottom w:val="single" w:sz="8" w:space="0" w:color="auto"/>
              <w:right w:val="nil"/>
            </w:tcBorders>
            <w:shd w:val="clear" w:color="auto" w:fill="auto"/>
            <w:noWrap/>
            <w:vAlign w:val="bottom"/>
            <w:hideMark/>
          </w:tcPr>
          <w:p w14:paraId="55B27CF6" w14:textId="77777777" w:rsidR="005B5E5C" w:rsidRPr="005B5E5C" w:rsidRDefault="005B5E5C" w:rsidP="005B5E5C">
            <w:pPr>
              <w:spacing w:line="240" w:lineRule="auto"/>
              <w:rPr>
                <w:rFonts w:eastAsia="Times New Roman" w:cs="Times New Roman"/>
                <w:b/>
                <w:bCs/>
                <w:color w:val="000000"/>
                <w:sz w:val="18"/>
                <w:szCs w:val="18"/>
              </w:rPr>
            </w:pPr>
            <w:r w:rsidRPr="005B5E5C">
              <w:rPr>
                <w:rFonts w:eastAsia="Times New Roman" w:cs="Times New Roman"/>
                <w:b/>
                <w:bCs/>
                <w:color w:val="000000"/>
                <w:sz w:val="18"/>
                <w:szCs w:val="18"/>
              </w:rPr>
              <w:t> </w:t>
            </w:r>
          </w:p>
        </w:tc>
        <w:tc>
          <w:tcPr>
            <w:tcW w:w="1300" w:type="dxa"/>
            <w:tcBorders>
              <w:top w:val="nil"/>
              <w:left w:val="nil"/>
              <w:bottom w:val="single" w:sz="8" w:space="0" w:color="auto"/>
              <w:right w:val="nil"/>
            </w:tcBorders>
            <w:shd w:val="clear" w:color="auto" w:fill="auto"/>
            <w:vAlign w:val="bottom"/>
            <w:hideMark/>
          </w:tcPr>
          <w:p w14:paraId="3B70C501" w14:textId="77777777" w:rsidR="005B5E5C" w:rsidRPr="005B5E5C" w:rsidRDefault="005B5E5C" w:rsidP="005B5E5C">
            <w:pPr>
              <w:spacing w:line="240" w:lineRule="auto"/>
              <w:jc w:val="right"/>
              <w:rPr>
                <w:rFonts w:eastAsia="Times New Roman" w:cs="Times New Roman"/>
                <w:b/>
                <w:bCs/>
                <w:color w:val="000000"/>
                <w:sz w:val="18"/>
                <w:szCs w:val="18"/>
              </w:rPr>
            </w:pPr>
            <w:r w:rsidRPr="005B5E5C">
              <w:rPr>
                <w:rFonts w:eastAsia="Times New Roman" w:cs="Times New Roman"/>
                <w:b/>
                <w:bCs/>
                <w:color w:val="000000"/>
                <w:sz w:val="18"/>
                <w:szCs w:val="18"/>
              </w:rPr>
              <w:t>Annual Income</w:t>
            </w:r>
          </w:p>
        </w:tc>
        <w:tc>
          <w:tcPr>
            <w:tcW w:w="1300" w:type="dxa"/>
            <w:tcBorders>
              <w:top w:val="nil"/>
              <w:left w:val="nil"/>
              <w:bottom w:val="single" w:sz="8" w:space="0" w:color="auto"/>
              <w:right w:val="nil"/>
            </w:tcBorders>
            <w:shd w:val="clear" w:color="auto" w:fill="auto"/>
            <w:vAlign w:val="bottom"/>
            <w:hideMark/>
          </w:tcPr>
          <w:p w14:paraId="704296D2" w14:textId="77777777" w:rsidR="005B5E5C" w:rsidRPr="005B5E5C" w:rsidRDefault="005B5E5C" w:rsidP="005B5E5C">
            <w:pPr>
              <w:spacing w:line="240" w:lineRule="auto"/>
              <w:jc w:val="right"/>
              <w:rPr>
                <w:rFonts w:eastAsia="Times New Roman" w:cs="Times New Roman"/>
                <w:b/>
                <w:bCs/>
                <w:color w:val="000000"/>
                <w:sz w:val="18"/>
                <w:szCs w:val="18"/>
              </w:rPr>
            </w:pPr>
            <w:r w:rsidRPr="005B5E5C">
              <w:rPr>
                <w:rFonts w:eastAsia="Times New Roman" w:cs="Times New Roman"/>
                <w:b/>
                <w:bCs/>
                <w:color w:val="000000"/>
                <w:sz w:val="18"/>
                <w:szCs w:val="18"/>
              </w:rPr>
              <w:t>Maximum Affordable Home Price</w:t>
            </w:r>
          </w:p>
        </w:tc>
        <w:tc>
          <w:tcPr>
            <w:tcW w:w="1300" w:type="dxa"/>
            <w:tcBorders>
              <w:top w:val="nil"/>
              <w:left w:val="nil"/>
              <w:bottom w:val="single" w:sz="8" w:space="0" w:color="auto"/>
              <w:right w:val="nil"/>
            </w:tcBorders>
            <w:shd w:val="clear" w:color="auto" w:fill="auto"/>
            <w:vAlign w:val="bottom"/>
            <w:hideMark/>
          </w:tcPr>
          <w:p w14:paraId="45A0DFDD" w14:textId="77777777" w:rsidR="005B5E5C" w:rsidRPr="005B5E5C" w:rsidRDefault="005B5E5C" w:rsidP="005B5E5C">
            <w:pPr>
              <w:spacing w:line="240" w:lineRule="auto"/>
              <w:jc w:val="right"/>
              <w:rPr>
                <w:rFonts w:eastAsia="Times New Roman" w:cs="Times New Roman"/>
                <w:b/>
                <w:bCs/>
                <w:color w:val="000000"/>
                <w:sz w:val="18"/>
                <w:szCs w:val="18"/>
              </w:rPr>
            </w:pPr>
            <w:r w:rsidRPr="005B5E5C">
              <w:rPr>
                <w:rFonts w:eastAsia="Times New Roman" w:cs="Times New Roman"/>
                <w:b/>
                <w:bCs/>
                <w:color w:val="000000"/>
                <w:sz w:val="18"/>
                <w:szCs w:val="18"/>
              </w:rPr>
              <w:t>Median Priced Single Family Detached Home</w:t>
            </w:r>
          </w:p>
        </w:tc>
        <w:tc>
          <w:tcPr>
            <w:tcW w:w="1440" w:type="dxa"/>
            <w:tcBorders>
              <w:top w:val="nil"/>
              <w:left w:val="nil"/>
              <w:bottom w:val="single" w:sz="8" w:space="0" w:color="auto"/>
              <w:right w:val="nil"/>
            </w:tcBorders>
            <w:shd w:val="clear" w:color="auto" w:fill="auto"/>
            <w:vAlign w:val="bottom"/>
            <w:hideMark/>
          </w:tcPr>
          <w:p w14:paraId="47B8F894" w14:textId="77777777" w:rsidR="005B5E5C" w:rsidRPr="005B5E5C" w:rsidRDefault="005B5E5C" w:rsidP="005B5E5C">
            <w:pPr>
              <w:spacing w:line="240" w:lineRule="auto"/>
              <w:jc w:val="right"/>
              <w:rPr>
                <w:rFonts w:eastAsia="Times New Roman" w:cs="Times New Roman"/>
                <w:b/>
                <w:bCs/>
                <w:color w:val="000000"/>
                <w:sz w:val="18"/>
                <w:szCs w:val="18"/>
              </w:rPr>
            </w:pPr>
            <w:r w:rsidRPr="005B5E5C">
              <w:rPr>
                <w:rFonts w:eastAsia="Times New Roman" w:cs="Times New Roman"/>
                <w:b/>
                <w:bCs/>
                <w:color w:val="000000"/>
                <w:sz w:val="18"/>
                <w:szCs w:val="18"/>
              </w:rPr>
              <w:t>Affordability Gap for Single Family Home</w:t>
            </w:r>
          </w:p>
        </w:tc>
      </w:tr>
      <w:tr w:rsidR="005B5E5C" w:rsidRPr="005B5E5C" w14:paraId="0986AFA6" w14:textId="77777777" w:rsidTr="005B5E5C">
        <w:trPr>
          <w:trHeight w:val="740"/>
        </w:trPr>
        <w:tc>
          <w:tcPr>
            <w:tcW w:w="1940" w:type="dxa"/>
            <w:tcBorders>
              <w:top w:val="single" w:sz="4" w:space="0" w:color="808080"/>
              <w:left w:val="nil"/>
              <w:bottom w:val="single" w:sz="4" w:space="0" w:color="808080"/>
              <w:right w:val="nil"/>
            </w:tcBorders>
            <w:shd w:val="clear" w:color="auto" w:fill="auto"/>
            <w:vAlign w:val="center"/>
            <w:hideMark/>
          </w:tcPr>
          <w:p w14:paraId="0EFE48B8" w14:textId="77777777" w:rsidR="005B5E5C" w:rsidRPr="005B5E5C" w:rsidRDefault="005B5E5C" w:rsidP="005B5E5C">
            <w:pPr>
              <w:spacing w:line="240" w:lineRule="auto"/>
              <w:rPr>
                <w:rFonts w:eastAsia="Times New Roman" w:cs="Times New Roman"/>
                <w:color w:val="000000"/>
                <w:sz w:val="18"/>
                <w:szCs w:val="18"/>
              </w:rPr>
            </w:pPr>
            <w:r w:rsidRPr="005B5E5C">
              <w:rPr>
                <w:rFonts w:eastAsia="Times New Roman" w:cs="Times New Roman"/>
                <w:color w:val="000000"/>
                <w:sz w:val="18"/>
                <w:szCs w:val="18"/>
              </w:rPr>
              <w:t>Hillsborough Median Household income</w:t>
            </w:r>
          </w:p>
        </w:tc>
        <w:tc>
          <w:tcPr>
            <w:tcW w:w="1300" w:type="dxa"/>
            <w:tcBorders>
              <w:top w:val="single" w:sz="4" w:space="0" w:color="808080"/>
              <w:left w:val="nil"/>
              <w:bottom w:val="single" w:sz="4" w:space="0" w:color="auto"/>
              <w:right w:val="nil"/>
            </w:tcBorders>
            <w:shd w:val="clear" w:color="auto" w:fill="auto"/>
            <w:noWrap/>
            <w:vAlign w:val="bottom"/>
            <w:hideMark/>
          </w:tcPr>
          <w:p w14:paraId="4C387C55" w14:textId="77777777" w:rsidR="005B5E5C" w:rsidRPr="005B5E5C" w:rsidRDefault="005B5E5C" w:rsidP="005B5E5C">
            <w:pPr>
              <w:spacing w:line="240" w:lineRule="auto"/>
              <w:jc w:val="right"/>
              <w:rPr>
                <w:rFonts w:eastAsia="Times New Roman" w:cs="Times New Roman"/>
                <w:color w:val="000000"/>
                <w:sz w:val="18"/>
                <w:szCs w:val="18"/>
              </w:rPr>
            </w:pPr>
            <w:r w:rsidRPr="005B5E5C">
              <w:rPr>
                <w:rFonts w:eastAsia="Times New Roman" w:cs="Times New Roman"/>
                <w:color w:val="000000"/>
                <w:sz w:val="18"/>
                <w:szCs w:val="18"/>
              </w:rPr>
              <w:t xml:space="preserve">$237,680 </w:t>
            </w:r>
          </w:p>
        </w:tc>
        <w:tc>
          <w:tcPr>
            <w:tcW w:w="1300" w:type="dxa"/>
            <w:tcBorders>
              <w:top w:val="single" w:sz="4" w:space="0" w:color="808080"/>
              <w:left w:val="nil"/>
              <w:bottom w:val="single" w:sz="4" w:space="0" w:color="808080"/>
              <w:right w:val="nil"/>
            </w:tcBorders>
            <w:shd w:val="clear" w:color="auto" w:fill="auto"/>
            <w:noWrap/>
            <w:vAlign w:val="bottom"/>
            <w:hideMark/>
          </w:tcPr>
          <w:p w14:paraId="2E069947" w14:textId="77777777" w:rsidR="005B5E5C" w:rsidRPr="005B5E5C" w:rsidRDefault="005B5E5C" w:rsidP="005B5E5C">
            <w:pPr>
              <w:spacing w:line="240" w:lineRule="auto"/>
              <w:jc w:val="right"/>
              <w:rPr>
                <w:rFonts w:eastAsia="Times New Roman" w:cs="Times New Roman"/>
                <w:color w:val="000000"/>
                <w:sz w:val="18"/>
                <w:szCs w:val="18"/>
              </w:rPr>
            </w:pPr>
            <w:r w:rsidRPr="005B5E5C">
              <w:rPr>
                <w:rFonts w:eastAsia="Times New Roman" w:cs="Times New Roman"/>
                <w:color w:val="000000"/>
                <w:sz w:val="18"/>
                <w:szCs w:val="18"/>
              </w:rPr>
              <w:t>$913,046</w:t>
            </w:r>
          </w:p>
        </w:tc>
        <w:tc>
          <w:tcPr>
            <w:tcW w:w="1300" w:type="dxa"/>
            <w:tcBorders>
              <w:top w:val="single" w:sz="4" w:space="0" w:color="808080"/>
              <w:left w:val="nil"/>
              <w:bottom w:val="single" w:sz="4" w:space="0" w:color="808080"/>
              <w:right w:val="nil"/>
            </w:tcBorders>
            <w:shd w:val="clear" w:color="auto" w:fill="auto"/>
            <w:noWrap/>
            <w:vAlign w:val="bottom"/>
            <w:hideMark/>
          </w:tcPr>
          <w:p w14:paraId="4E330ECF" w14:textId="77777777" w:rsidR="005B5E5C" w:rsidRPr="005B5E5C" w:rsidRDefault="005B5E5C" w:rsidP="005B5E5C">
            <w:pPr>
              <w:spacing w:line="240" w:lineRule="auto"/>
              <w:jc w:val="right"/>
              <w:rPr>
                <w:rFonts w:eastAsia="Times New Roman" w:cs="Times New Roman"/>
                <w:color w:val="000000"/>
                <w:sz w:val="18"/>
                <w:szCs w:val="18"/>
              </w:rPr>
            </w:pPr>
            <w:r w:rsidRPr="005B5E5C">
              <w:rPr>
                <w:rFonts w:eastAsia="Times New Roman" w:cs="Times New Roman"/>
                <w:color w:val="000000"/>
                <w:sz w:val="18"/>
                <w:szCs w:val="18"/>
              </w:rPr>
              <w:t>$2,894,098</w:t>
            </w:r>
          </w:p>
        </w:tc>
        <w:tc>
          <w:tcPr>
            <w:tcW w:w="1440" w:type="dxa"/>
            <w:tcBorders>
              <w:top w:val="single" w:sz="4" w:space="0" w:color="808080"/>
              <w:left w:val="nil"/>
              <w:bottom w:val="single" w:sz="4" w:space="0" w:color="808080"/>
              <w:right w:val="nil"/>
            </w:tcBorders>
            <w:shd w:val="clear" w:color="auto" w:fill="auto"/>
            <w:noWrap/>
            <w:vAlign w:val="bottom"/>
            <w:hideMark/>
          </w:tcPr>
          <w:p w14:paraId="17CC091F" w14:textId="77777777" w:rsidR="005B5E5C" w:rsidRPr="005B5E5C" w:rsidRDefault="005B5E5C" w:rsidP="005B5E5C">
            <w:pPr>
              <w:spacing w:line="240" w:lineRule="auto"/>
              <w:jc w:val="right"/>
              <w:rPr>
                <w:rFonts w:eastAsia="Times New Roman" w:cs="Times New Roman"/>
                <w:color w:val="000000"/>
                <w:sz w:val="18"/>
                <w:szCs w:val="18"/>
              </w:rPr>
            </w:pPr>
            <w:r w:rsidRPr="005B5E5C">
              <w:rPr>
                <w:rFonts w:eastAsia="Times New Roman" w:cs="Times New Roman"/>
                <w:color w:val="000000"/>
                <w:sz w:val="18"/>
                <w:szCs w:val="18"/>
              </w:rPr>
              <w:t>-$1,981,052</w:t>
            </w:r>
          </w:p>
        </w:tc>
      </w:tr>
      <w:tr w:rsidR="005B5E5C" w:rsidRPr="005B5E5C" w14:paraId="07BACB24" w14:textId="77777777" w:rsidTr="005B5E5C">
        <w:trPr>
          <w:trHeight w:val="300"/>
        </w:trPr>
        <w:tc>
          <w:tcPr>
            <w:tcW w:w="7280" w:type="dxa"/>
            <w:gridSpan w:val="5"/>
            <w:tcBorders>
              <w:top w:val="single" w:sz="4" w:space="0" w:color="auto"/>
              <w:left w:val="nil"/>
              <w:bottom w:val="nil"/>
              <w:right w:val="nil"/>
            </w:tcBorders>
            <w:shd w:val="clear" w:color="auto" w:fill="auto"/>
            <w:vAlign w:val="bottom"/>
            <w:hideMark/>
          </w:tcPr>
          <w:p w14:paraId="0F0D2E6D" w14:textId="77777777" w:rsidR="005B5E5C" w:rsidRPr="005B5E5C" w:rsidRDefault="005B5E5C" w:rsidP="005B5E5C">
            <w:pPr>
              <w:spacing w:line="240" w:lineRule="auto"/>
              <w:rPr>
                <w:rFonts w:eastAsia="Times New Roman" w:cs="Times New Roman"/>
                <w:i/>
                <w:iCs/>
                <w:sz w:val="16"/>
                <w:szCs w:val="16"/>
              </w:rPr>
            </w:pPr>
            <w:r w:rsidRPr="005B5E5C">
              <w:rPr>
                <w:rFonts w:eastAsia="Times New Roman" w:cs="Times New Roman"/>
                <w:i/>
                <w:iCs/>
                <w:sz w:val="16"/>
                <w:szCs w:val="16"/>
              </w:rPr>
              <w:t>Source: Baird + Driskell Community Planning; San Mateo County Association of Realtors; www.hsh.com/calc-howmuch.html</w:t>
            </w:r>
          </w:p>
        </w:tc>
      </w:tr>
      <w:tr w:rsidR="005B5E5C" w:rsidRPr="005B5E5C" w14:paraId="0EFB3231" w14:textId="77777777" w:rsidTr="005B5E5C">
        <w:trPr>
          <w:trHeight w:val="660"/>
        </w:trPr>
        <w:tc>
          <w:tcPr>
            <w:tcW w:w="7280" w:type="dxa"/>
            <w:gridSpan w:val="5"/>
            <w:tcBorders>
              <w:top w:val="nil"/>
              <w:left w:val="nil"/>
              <w:bottom w:val="nil"/>
              <w:right w:val="nil"/>
            </w:tcBorders>
            <w:shd w:val="clear" w:color="auto" w:fill="auto"/>
            <w:vAlign w:val="center"/>
            <w:hideMark/>
          </w:tcPr>
          <w:p w14:paraId="240FD8C1" w14:textId="77777777" w:rsidR="005B5E5C" w:rsidRPr="005B5E5C" w:rsidRDefault="005B5E5C" w:rsidP="005B5E5C">
            <w:pPr>
              <w:spacing w:line="240" w:lineRule="auto"/>
              <w:rPr>
                <w:rFonts w:eastAsia="Times New Roman" w:cs="Times New Roman"/>
                <w:i/>
                <w:iCs/>
                <w:color w:val="000000"/>
                <w:sz w:val="16"/>
                <w:szCs w:val="16"/>
              </w:rPr>
            </w:pPr>
            <w:r w:rsidRPr="005B5E5C">
              <w:rPr>
                <w:rFonts w:eastAsia="Times New Roman" w:cs="Times New Roman"/>
                <w:i/>
                <w:iCs/>
                <w:color w:val="000000"/>
                <w:sz w:val="16"/>
                <w:szCs w:val="16"/>
              </w:rPr>
              <w:t>Note: Maximum Affordable House Price is based on the following assumptions: 4.5% interest rate; 30-year fixed loan; 50% Yearly Salary as Down Payment; 1% property tax; PMI, .5% insurance rate; and no other monthly payments/debt.</w:t>
            </w:r>
          </w:p>
        </w:tc>
      </w:tr>
    </w:tbl>
    <w:p w14:paraId="7FFA956B" w14:textId="77777777" w:rsidR="005B6E52" w:rsidRDefault="005B6E52" w:rsidP="00067077">
      <w:pPr>
        <w:pStyle w:val="heading10"/>
        <w:rPr>
          <w:color w:val="0B5095"/>
        </w:rPr>
      </w:pPr>
    </w:p>
    <w:p w14:paraId="0CEAD78E" w14:textId="1DE1AD38" w:rsidR="00D25635" w:rsidRPr="006C4E74" w:rsidRDefault="00D25635" w:rsidP="00067077">
      <w:pPr>
        <w:pStyle w:val="heading10"/>
        <w:rPr>
          <w:color w:val="0B5095"/>
        </w:rPr>
      </w:pPr>
      <w:r w:rsidRPr="006C4E74">
        <w:rPr>
          <w:color w:val="0B5095"/>
        </w:rPr>
        <w:t xml:space="preserve">Rents and </w:t>
      </w:r>
      <w:r w:rsidR="005B6E52">
        <w:rPr>
          <w:color w:val="0B5095"/>
        </w:rPr>
        <w:t xml:space="preserve">Rental Housing </w:t>
      </w:r>
      <w:r w:rsidRPr="006C4E74">
        <w:rPr>
          <w:color w:val="0B5095"/>
        </w:rPr>
        <w:t>Affordability</w:t>
      </w:r>
    </w:p>
    <w:p w14:paraId="6065AFA6" w14:textId="0FD1B0FF" w:rsidR="003C454C" w:rsidRPr="00256487" w:rsidRDefault="003C454C" w:rsidP="003B1324">
      <w:r w:rsidRPr="00256487">
        <w:t xml:space="preserve">The very small number of rental homes in Hillsborough makes an analysis of the rents difficult. According to very limited Craigslist data, the average rent in Hillsborough is $9,528/month, much higher than countywide averages. Similar to home prices, rental prices in Hillsborough are </w:t>
      </w:r>
      <w:r w:rsidR="005B5E5C">
        <w:t>unaffordable</w:t>
      </w:r>
      <w:r w:rsidRPr="00256487">
        <w:t xml:space="preserve"> unaffordable for households earning a moderate income or below.</w:t>
      </w:r>
    </w:p>
    <w:p w14:paraId="4C01844A" w14:textId="70F7F710" w:rsidR="00BC783E" w:rsidRPr="00383FC7" w:rsidRDefault="00BC783E" w:rsidP="00256487">
      <w:pPr>
        <w:spacing w:line="240" w:lineRule="auto"/>
      </w:pPr>
    </w:p>
    <w:tbl>
      <w:tblPr>
        <w:tblW w:w="6785" w:type="dxa"/>
        <w:tblInd w:w="93" w:type="dxa"/>
        <w:tblLayout w:type="fixed"/>
        <w:tblLook w:val="04A0" w:firstRow="1" w:lastRow="0" w:firstColumn="1" w:lastColumn="0" w:noHBand="0" w:noVBand="1"/>
      </w:tblPr>
      <w:tblGrid>
        <w:gridCol w:w="3172"/>
        <w:gridCol w:w="1523"/>
        <w:gridCol w:w="2090"/>
      </w:tblGrid>
      <w:tr w:rsidR="00BC783E" w:rsidRPr="00383FC7" w14:paraId="2EE7184E" w14:textId="77777777" w:rsidTr="00291E6D">
        <w:trPr>
          <w:trHeight w:val="300"/>
        </w:trPr>
        <w:tc>
          <w:tcPr>
            <w:tcW w:w="6785" w:type="dxa"/>
            <w:gridSpan w:val="3"/>
            <w:tcBorders>
              <w:top w:val="nil"/>
              <w:left w:val="nil"/>
              <w:bottom w:val="nil"/>
              <w:right w:val="nil"/>
            </w:tcBorders>
            <w:shd w:val="clear" w:color="000000" w:fill="000000"/>
            <w:noWrap/>
            <w:vAlign w:val="bottom"/>
            <w:hideMark/>
          </w:tcPr>
          <w:p w14:paraId="7448FB8C" w14:textId="7CD9E209" w:rsidR="00BC783E" w:rsidRPr="00383FC7" w:rsidRDefault="00BC783E" w:rsidP="002D018F">
            <w:pPr>
              <w:ind w:right="72"/>
              <w:rPr>
                <w:rFonts w:eastAsia="Times New Roman" w:cs="Times New Roman"/>
                <w:b/>
                <w:bCs/>
                <w:color w:val="FFFFFF"/>
                <w:sz w:val="20"/>
                <w:szCs w:val="20"/>
              </w:rPr>
            </w:pPr>
            <w:r w:rsidRPr="00383FC7">
              <w:rPr>
                <w:rFonts w:eastAsia="Times New Roman" w:cs="Times New Roman"/>
                <w:b/>
                <w:bCs/>
                <w:color w:val="FFFFFF"/>
                <w:sz w:val="20"/>
                <w:szCs w:val="20"/>
              </w:rPr>
              <w:t xml:space="preserve">Average Rents in </w:t>
            </w:r>
            <w:r w:rsidR="002D018F">
              <w:rPr>
                <w:rFonts w:eastAsia="Times New Roman" w:cs="Times New Roman"/>
                <w:b/>
                <w:bCs/>
                <w:color w:val="FFFFFF"/>
                <w:sz w:val="20"/>
                <w:szCs w:val="20"/>
              </w:rPr>
              <w:t>Hillsborough</w:t>
            </w:r>
            <w:r w:rsidRPr="00383FC7">
              <w:rPr>
                <w:rFonts w:eastAsia="Times New Roman" w:cs="Times New Roman"/>
                <w:b/>
                <w:bCs/>
                <w:color w:val="FFFFFF"/>
                <w:sz w:val="20"/>
                <w:szCs w:val="20"/>
              </w:rPr>
              <w:t xml:space="preserve"> </w:t>
            </w:r>
            <w:r>
              <w:rPr>
                <w:rFonts w:eastAsia="Times New Roman" w:cs="Times New Roman"/>
                <w:b/>
                <w:bCs/>
                <w:color w:val="FFFFFF"/>
                <w:sz w:val="20"/>
                <w:szCs w:val="20"/>
              </w:rPr>
              <w:t>(2013)</w:t>
            </w:r>
          </w:p>
        </w:tc>
      </w:tr>
      <w:tr w:rsidR="00BC783E" w:rsidRPr="00383FC7" w14:paraId="2A15F932" w14:textId="77777777" w:rsidTr="00291E6D">
        <w:trPr>
          <w:trHeight w:val="320"/>
        </w:trPr>
        <w:tc>
          <w:tcPr>
            <w:tcW w:w="3172" w:type="dxa"/>
            <w:tcBorders>
              <w:top w:val="nil"/>
              <w:left w:val="nil"/>
              <w:bottom w:val="single" w:sz="8" w:space="0" w:color="auto"/>
              <w:right w:val="nil"/>
            </w:tcBorders>
            <w:shd w:val="clear" w:color="auto" w:fill="auto"/>
            <w:noWrap/>
            <w:vAlign w:val="bottom"/>
            <w:hideMark/>
          </w:tcPr>
          <w:p w14:paraId="729C3848" w14:textId="77777777" w:rsidR="00BC783E" w:rsidRPr="00383FC7" w:rsidRDefault="00BC783E" w:rsidP="007C16AA">
            <w:pPr>
              <w:spacing w:line="240" w:lineRule="auto"/>
              <w:ind w:right="72"/>
              <w:jc w:val="right"/>
              <w:rPr>
                <w:rFonts w:eastAsia="Times New Roman" w:cs="Times New Roman"/>
                <w:color w:val="000000"/>
                <w:sz w:val="18"/>
                <w:szCs w:val="18"/>
              </w:rPr>
            </w:pPr>
            <w:r w:rsidRPr="00383FC7">
              <w:rPr>
                <w:rFonts w:eastAsia="Times New Roman" w:cs="Times New Roman"/>
                <w:color w:val="000000"/>
                <w:sz w:val="18"/>
                <w:szCs w:val="18"/>
              </w:rPr>
              <w:t> </w:t>
            </w:r>
          </w:p>
        </w:tc>
        <w:tc>
          <w:tcPr>
            <w:tcW w:w="1523" w:type="dxa"/>
            <w:tcBorders>
              <w:top w:val="nil"/>
              <w:left w:val="nil"/>
              <w:bottom w:val="single" w:sz="8" w:space="0" w:color="auto"/>
              <w:right w:val="nil"/>
            </w:tcBorders>
            <w:shd w:val="clear" w:color="auto" w:fill="auto"/>
            <w:vAlign w:val="bottom"/>
            <w:hideMark/>
          </w:tcPr>
          <w:p w14:paraId="6E281B17" w14:textId="5BEF2A76" w:rsidR="00BC783E" w:rsidRDefault="00291E6D" w:rsidP="007C16AA">
            <w:pPr>
              <w:spacing w:line="240" w:lineRule="auto"/>
              <w:ind w:right="72"/>
              <w:jc w:val="right"/>
              <w:rPr>
                <w:rFonts w:eastAsia="Times New Roman" w:cs="Times New Roman"/>
                <w:b/>
                <w:bCs/>
                <w:color w:val="000000"/>
                <w:sz w:val="18"/>
                <w:szCs w:val="18"/>
              </w:rPr>
            </w:pPr>
            <w:r>
              <w:rPr>
                <w:rFonts w:eastAsia="Times New Roman" w:cs="Times New Roman"/>
                <w:b/>
                <w:bCs/>
                <w:color w:val="000000"/>
                <w:sz w:val="18"/>
                <w:szCs w:val="18"/>
              </w:rPr>
              <w:t>Hillsborough</w:t>
            </w:r>
          </w:p>
          <w:p w14:paraId="13A421CB" w14:textId="77777777" w:rsidR="00BC783E" w:rsidRPr="0036098B" w:rsidRDefault="00BC783E" w:rsidP="007C16AA">
            <w:pPr>
              <w:spacing w:line="240" w:lineRule="auto"/>
              <w:ind w:right="72"/>
              <w:jc w:val="right"/>
              <w:rPr>
                <w:rFonts w:eastAsia="Times New Roman" w:cs="Times New Roman"/>
                <w:b/>
                <w:bCs/>
                <w:color w:val="000000"/>
                <w:sz w:val="10"/>
                <w:szCs w:val="18"/>
              </w:rPr>
            </w:pPr>
          </w:p>
        </w:tc>
        <w:tc>
          <w:tcPr>
            <w:tcW w:w="2090" w:type="dxa"/>
            <w:tcBorders>
              <w:top w:val="nil"/>
              <w:left w:val="nil"/>
              <w:bottom w:val="single" w:sz="8" w:space="0" w:color="auto"/>
              <w:right w:val="nil"/>
            </w:tcBorders>
            <w:shd w:val="clear" w:color="auto" w:fill="auto"/>
            <w:vAlign w:val="bottom"/>
            <w:hideMark/>
          </w:tcPr>
          <w:p w14:paraId="1AB11388" w14:textId="77777777" w:rsidR="00BC783E" w:rsidRDefault="00BC783E" w:rsidP="007C16AA">
            <w:pPr>
              <w:spacing w:line="240" w:lineRule="auto"/>
              <w:ind w:right="72"/>
              <w:jc w:val="right"/>
              <w:rPr>
                <w:rFonts w:eastAsia="Times New Roman" w:cs="Times New Roman"/>
                <w:b/>
                <w:bCs/>
                <w:color w:val="000000"/>
                <w:sz w:val="18"/>
                <w:szCs w:val="18"/>
              </w:rPr>
            </w:pPr>
          </w:p>
          <w:p w14:paraId="16471762" w14:textId="77777777" w:rsidR="00BC783E" w:rsidRDefault="00BC783E" w:rsidP="007C16AA">
            <w:pPr>
              <w:spacing w:line="240" w:lineRule="auto"/>
              <w:ind w:right="72"/>
              <w:jc w:val="right"/>
              <w:rPr>
                <w:rFonts w:eastAsia="Times New Roman" w:cs="Times New Roman"/>
                <w:b/>
                <w:bCs/>
                <w:color w:val="000000"/>
                <w:sz w:val="18"/>
                <w:szCs w:val="18"/>
              </w:rPr>
            </w:pPr>
            <w:r w:rsidRPr="00383FC7">
              <w:rPr>
                <w:rFonts w:eastAsia="Times New Roman" w:cs="Times New Roman"/>
                <w:b/>
                <w:bCs/>
                <w:color w:val="000000"/>
                <w:sz w:val="18"/>
                <w:szCs w:val="18"/>
              </w:rPr>
              <w:t xml:space="preserve">Survey </w:t>
            </w:r>
            <w:r>
              <w:rPr>
                <w:rFonts w:eastAsia="Times New Roman" w:cs="Times New Roman"/>
                <w:b/>
                <w:bCs/>
                <w:color w:val="000000"/>
                <w:sz w:val="18"/>
                <w:szCs w:val="18"/>
              </w:rPr>
              <w:t>S</w:t>
            </w:r>
            <w:r w:rsidRPr="00383FC7">
              <w:rPr>
                <w:rFonts w:eastAsia="Times New Roman" w:cs="Times New Roman"/>
                <w:b/>
                <w:bCs/>
                <w:color w:val="000000"/>
                <w:sz w:val="18"/>
                <w:szCs w:val="18"/>
              </w:rPr>
              <w:t>ize</w:t>
            </w:r>
          </w:p>
          <w:p w14:paraId="4058CF50" w14:textId="77777777" w:rsidR="00BC783E" w:rsidRPr="0036098B" w:rsidRDefault="00BC783E" w:rsidP="007C16AA">
            <w:pPr>
              <w:spacing w:line="240" w:lineRule="auto"/>
              <w:ind w:right="72"/>
              <w:jc w:val="right"/>
              <w:rPr>
                <w:rFonts w:eastAsia="Times New Roman" w:cs="Times New Roman"/>
                <w:b/>
                <w:bCs/>
                <w:color w:val="000000"/>
                <w:sz w:val="10"/>
                <w:szCs w:val="18"/>
              </w:rPr>
            </w:pPr>
          </w:p>
        </w:tc>
      </w:tr>
      <w:tr w:rsidR="00BC783E" w:rsidRPr="00383FC7" w14:paraId="6C92BA13" w14:textId="77777777" w:rsidTr="00291E6D">
        <w:trPr>
          <w:trHeight w:val="300"/>
        </w:trPr>
        <w:tc>
          <w:tcPr>
            <w:tcW w:w="3172" w:type="dxa"/>
            <w:tcBorders>
              <w:top w:val="nil"/>
              <w:left w:val="nil"/>
              <w:bottom w:val="single" w:sz="4" w:space="0" w:color="808080"/>
              <w:right w:val="nil"/>
            </w:tcBorders>
            <w:shd w:val="clear" w:color="auto" w:fill="auto"/>
            <w:noWrap/>
            <w:vAlign w:val="bottom"/>
            <w:hideMark/>
          </w:tcPr>
          <w:p w14:paraId="2805B16E"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Studio</w:t>
            </w:r>
          </w:p>
        </w:tc>
        <w:tc>
          <w:tcPr>
            <w:tcW w:w="1523" w:type="dxa"/>
            <w:tcBorders>
              <w:top w:val="nil"/>
              <w:left w:val="nil"/>
              <w:bottom w:val="single" w:sz="4" w:space="0" w:color="808080"/>
              <w:right w:val="nil"/>
            </w:tcBorders>
            <w:shd w:val="clear" w:color="auto" w:fill="auto"/>
            <w:vAlign w:val="bottom"/>
            <w:hideMark/>
          </w:tcPr>
          <w:p w14:paraId="7D74A0A0" w14:textId="37192AF2" w:rsidR="00BC783E" w:rsidRPr="00383FC7" w:rsidRDefault="00BC783E" w:rsidP="007C16AA">
            <w:pPr>
              <w:ind w:right="72"/>
              <w:jc w:val="right"/>
              <w:rPr>
                <w:rFonts w:eastAsia="Times New Roman" w:cs="Times New Roman"/>
                <w:color w:val="000000"/>
                <w:sz w:val="18"/>
                <w:szCs w:val="18"/>
              </w:rPr>
            </w:pPr>
            <w:r>
              <w:rPr>
                <w:rFonts w:eastAsia="Times New Roman" w:cs="Times New Roman"/>
                <w:color w:val="000000"/>
                <w:sz w:val="18"/>
                <w:szCs w:val="18"/>
              </w:rPr>
              <w:t>—</w:t>
            </w:r>
          </w:p>
        </w:tc>
        <w:tc>
          <w:tcPr>
            <w:tcW w:w="2090" w:type="dxa"/>
            <w:tcBorders>
              <w:top w:val="nil"/>
              <w:left w:val="nil"/>
              <w:bottom w:val="single" w:sz="4" w:space="0" w:color="808080"/>
              <w:right w:val="nil"/>
            </w:tcBorders>
            <w:shd w:val="clear" w:color="auto" w:fill="auto"/>
            <w:vAlign w:val="bottom"/>
            <w:hideMark/>
          </w:tcPr>
          <w:p w14:paraId="7E4307E4" w14:textId="4A9B5ED7"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0</w:t>
            </w:r>
          </w:p>
        </w:tc>
      </w:tr>
      <w:tr w:rsidR="00BC783E" w:rsidRPr="00383FC7" w14:paraId="27D84B40" w14:textId="77777777" w:rsidTr="00291E6D">
        <w:trPr>
          <w:trHeight w:val="300"/>
        </w:trPr>
        <w:tc>
          <w:tcPr>
            <w:tcW w:w="3172" w:type="dxa"/>
            <w:tcBorders>
              <w:top w:val="nil"/>
              <w:left w:val="nil"/>
              <w:bottom w:val="single" w:sz="4" w:space="0" w:color="808080"/>
              <w:right w:val="nil"/>
            </w:tcBorders>
            <w:shd w:val="clear" w:color="auto" w:fill="auto"/>
            <w:noWrap/>
            <w:vAlign w:val="bottom"/>
            <w:hideMark/>
          </w:tcPr>
          <w:p w14:paraId="53F95BAB"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One Bedroom</w:t>
            </w:r>
          </w:p>
        </w:tc>
        <w:tc>
          <w:tcPr>
            <w:tcW w:w="1523" w:type="dxa"/>
            <w:tcBorders>
              <w:top w:val="nil"/>
              <w:left w:val="nil"/>
              <w:bottom w:val="single" w:sz="4" w:space="0" w:color="808080"/>
              <w:right w:val="nil"/>
            </w:tcBorders>
            <w:shd w:val="clear" w:color="auto" w:fill="auto"/>
            <w:vAlign w:val="bottom"/>
            <w:hideMark/>
          </w:tcPr>
          <w:p w14:paraId="203E9733" w14:textId="15DACC31"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$2,595</w:t>
            </w:r>
          </w:p>
        </w:tc>
        <w:tc>
          <w:tcPr>
            <w:tcW w:w="2090" w:type="dxa"/>
            <w:tcBorders>
              <w:top w:val="nil"/>
              <w:left w:val="nil"/>
              <w:bottom w:val="single" w:sz="4" w:space="0" w:color="808080"/>
              <w:right w:val="nil"/>
            </w:tcBorders>
            <w:shd w:val="clear" w:color="auto" w:fill="auto"/>
            <w:vAlign w:val="bottom"/>
            <w:hideMark/>
          </w:tcPr>
          <w:p w14:paraId="1C3B3E78" w14:textId="52560A38"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1</w:t>
            </w:r>
          </w:p>
        </w:tc>
      </w:tr>
      <w:tr w:rsidR="00BC783E" w:rsidRPr="00383FC7" w14:paraId="2A6AE59E" w14:textId="77777777" w:rsidTr="00291E6D">
        <w:trPr>
          <w:trHeight w:val="300"/>
        </w:trPr>
        <w:tc>
          <w:tcPr>
            <w:tcW w:w="3172" w:type="dxa"/>
            <w:tcBorders>
              <w:top w:val="nil"/>
              <w:left w:val="nil"/>
              <w:bottom w:val="single" w:sz="4" w:space="0" w:color="808080"/>
              <w:right w:val="nil"/>
            </w:tcBorders>
            <w:shd w:val="clear" w:color="auto" w:fill="auto"/>
            <w:noWrap/>
            <w:vAlign w:val="bottom"/>
            <w:hideMark/>
          </w:tcPr>
          <w:p w14:paraId="2FCB9EEF"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Two Bedroom</w:t>
            </w:r>
          </w:p>
        </w:tc>
        <w:tc>
          <w:tcPr>
            <w:tcW w:w="1523" w:type="dxa"/>
            <w:tcBorders>
              <w:top w:val="nil"/>
              <w:left w:val="nil"/>
              <w:bottom w:val="single" w:sz="4" w:space="0" w:color="808080"/>
              <w:right w:val="nil"/>
            </w:tcBorders>
            <w:shd w:val="clear" w:color="auto" w:fill="auto"/>
            <w:vAlign w:val="bottom"/>
            <w:hideMark/>
          </w:tcPr>
          <w:p w14:paraId="319CF1A5" w14:textId="71B1B0B1" w:rsidR="00BC783E" w:rsidRPr="00383FC7" w:rsidRDefault="00BC783E" w:rsidP="007C16AA">
            <w:pPr>
              <w:ind w:right="72"/>
              <w:jc w:val="right"/>
              <w:rPr>
                <w:rFonts w:eastAsia="Times New Roman" w:cs="Times New Roman"/>
                <w:color w:val="000000"/>
                <w:sz w:val="18"/>
                <w:szCs w:val="18"/>
              </w:rPr>
            </w:pPr>
            <w:r>
              <w:rPr>
                <w:rFonts w:eastAsia="Times New Roman" w:cs="Times New Roman"/>
                <w:color w:val="000000"/>
                <w:sz w:val="18"/>
                <w:szCs w:val="18"/>
              </w:rPr>
              <w:t>—</w:t>
            </w:r>
          </w:p>
        </w:tc>
        <w:tc>
          <w:tcPr>
            <w:tcW w:w="2090" w:type="dxa"/>
            <w:tcBorders>
              <w:top w:val="nil"/>
              <w:left w:val="nil"/>
              <w:bottom w:val="single" w:sz="4" w:space="0" w:color="808080"/>
              <w:right w:val="nil"/>
            </w:tcBorders>
            <w:shd w:val="clear" w:color="auto" w:fill="auto"/>
            <w:vAlign w:val="bottom"/>
            <w:hideMark/>
          </w:tcPr>
          <w:p w14:paraId="6CEF10F8" w14:textId="614769A4"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0</w:t>
            </w:r>
          </w:p>
        </w:tc>
      </w:tr>
      <w:tr w:rsidR="00BC783E" w:rsidRPr="00383FC7" w14:paraId="39C3592E" w14:textId="77777777" w:rsidTr="00291E6D">
        <w:trPr>
          <w:trHeight w:val="300"/>
        </w:trPr>
        <w:tc>
          <w:tcPr>
            <w:tcW w:w="3172" w:type="dxa"/>
            <w:tcBorders>
              <w:top w:val="nil"/>
              <w:left w:val="nil"/>
              <w:bottom w:val="single" w:sz="4" w:space="0" w:color="808080"/>
              <w:right w:val="nil"/>
            </w:tcBorders>
            <w:shd w:val="clear" w:color="auto" w:fill="auto"/>
            <w:noWrap/>
            <w:vAlign w:val="bottom"/>
            <w:hideMark/>
          </w:tcPr>
          <w:p w14:paraId="61F7AB0C"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Three Bedroom</w:t>
            </w:r>
          </w:p>
        </w:tc>
        <w:tc>
          <w:tcPr>
            <w:tcW w:w="1523" w:type="dxa"/>
            <w:tcBorders>
              <w:top w:val="nil"/>
              <w:left w:val="nil"/>
              <w:bottom w:val="single" w:sz="4" w:space="0" w:color="808080"/>
              <w:right w:val="nil"/>
            </w:tcBorders>
            <w:shd w:val="clear" w:color="auto" w:fill="auto"/>
            <w:vAlign w:val="bottom"/>
            <w:hideMark/>
          </w:tcPr>
          <w:p w14:paraId="7569E497" w14:textId="79D27E00"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$11,000</w:t>
            </w:r>
          </w:p>
        </w:tc>
        <w:tc>
          <w:tcPr>
            <w:tcW w:w="2090" w:type="dxa"/>
            <w:tcBorders>
              <w:top w:val="nil"/>
              <w:left w:val="nil"/>
              <w:bottom w:val="single" w:sz="4" w:space="0" w:color="808080"/>
              <w:right w:val="nil"/>
            </w:tcBorders>
            <w:shd w:val="clear" w:color="auto" w:fill="auto"/>
            <w:vAlign w:val="bottom"/>
            <w:hideMark/>
          </w:tcPr>
          <w:p w14:paraId="7A737102" w14:textId="6BF60C30"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2</w:t>
            </w:r>
          </w:p>
        </w:tc>
      </w:tr>
      <w:tr w:rsidR="00BC783E" w:rsidRPr="00383FC7" w14:paraId="27C36284" w14:textId="77777777" w:rsidTr="00291E6D">
        <w:trPr>
          <w:trHeight w:val="300"/>
        </w:trPr>
        <w:tc>
          <w:tcPr>
            <w:tcW w:w="3172" w:type="dxa"/>
            <w:tcBorders>
              <w:top w:val="nil"/>
              <w:left w:val="nil"/>
              <w:bottom w:val="single" w:sz="4" w:space="0" w:color="auto"/>
              <w:right w:val="nil"/>
            </w:tcBorders>
            <w:shd w:val="clear" w:color="auto" w:fill="auto"/>
            <w:noWrap/>
            <w:vAlign w:val="bottom"/>
            <w:hideMark/>
          </w:tcPr>
          <w:p w14:paraId="16411281"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Four Bedroom</w:t>
            </w:r>
          </w:p>
        </w:tc>
        <w:tc>
          <w:tcPr>
            <w:tcW w:w="1523" w:type="dxa"/>
            <w:tcBorders>
              <w:top w:val="nil"/>
              <w:left w:val="nil"/>
              <w:bottom w:val="single" w:sz="4" w:space="0" w:color="auto"/>
              <w:right w:val="nil"/>
            </w:tcBorders>
            <w:shd w:val="clear" w:color="auto" w:fill="auto"/>
            <w:vAlign w:val="bottom"/>
            <w:hideMark/>
          </w:tcPr>
          <w:p w14:paraId="596F9BB4" w14:textId="4CB06239"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$6,700</w:t>
            </w:r>
          </w:p>
        </w:tc>
        <w:tc>
          <w:tcPr>
            <w:tcW w:w="2090" w:type="dxa"/>
            <w:tcBorders>
              <w:top w:val="nil"/>
              <w:left w:val="nil"/>
              <w:bottom w:val="single" w:sz="4" w:space="0" w:color="808080"/>
              <w:right w:val="nil"/>
            </w:tcBorders>
            <w:shd w:val="clear" w:color="auto" w:fill="auto"/>
            <w:vAlign w:val="bottom"/>
            <w:hideMark/>
          </w:tcPr>
          <w:p w14:paraId="29B5351D" w14:textId="2C342B6B"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2</w:t>
            </w:r>
          </w:p>
        </w:tc>
      </w:tr>
      <w:tr w:rsidR="00BC783E" w:rsidRPr="00383FC7" w14:paraId="02F3D60E" w14:textId="77777777" w:rsidTr="00291E6D">
        <w:trPr>
          <w:trHeight w:val="300"/>
        </w:trPr>
        <w:tc>
          <w:tcPr>
            <w:tcW w:w="3172" w:type="dxa"/>
            <w:tcBorders>
              <w:top w:val="nil"/>
              <w:left w:val="nil"/>
              <w:bottom w:val="single" w:sz="4" w:space="0" w:color="808080"/>
              <w:right w:val="nil"/>
            </w:tcBorders>
            <w:shd w:val="clear" w:color="auto" w:fill="auto"/>
            <w:noWrap/>
            <w:vAlign w:val="bottom"/>
            <w:hideMark/>
          </w:tcPr>
          <w:p w14:paraId="0DA738A6"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Average Square Footage</w:t>
            </w:r>
          </w:p>
        </w:tc>
        <w:tc>
          <w:tcPr>
            <w:tcW w:w="1523" w:type="dxa"/>
            <w:tcBorders>
              <w:top w:val="nil"/>
              <w:left w:val="nil"/>
              <w:bottom w:val="single" w:sz="4" w:space="0" w:color="808080"/>
              <w:right w:val="nil"/>
            </w:tcBorders>
            <w:shd w:val="clear" w:color="auto" w:fill="auto"/>
            <w:noWrap/>
            <w:vAlign w:val="bottom"/>
            <w:hideMark/>
          </w:tcPr>
          <w:p w14:paraId="6334F1D9" w14:textId="0C5CCF7D"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3,183</w:t>
            </w:r>
          </w:p>
        </w:tc>
        <w:tc>
          <w:tcPr>
            <w:tcW w:w="2090" w:type="dxa"/>
            <w:tcBorders>
              <w:top w:val="single" w:sz="4" w:space="0" w:color="auto"/>
              <w:left w:val="nil"/>
              <w:bottom w:val="single" w:sz="4" w:space="0" w:color="808080"/>
              <w:right w:val="nil"/>
            </w:tcBorders>
            <w:shd w:val="clear" w:color="auto" w:fill="auto"/>
            <w:noWrap/>
            <w:vAlign w:val="bottom"/>
            <w:hideMark/>
          </w:tcPr>
          <w:p w14:paraId="012EFEDB" w14:textId="4DFACC78"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7</w:t>
            </w:r>
          </w:p>
        </w:tc>
      </w:tr>
      <w:tr w:rsidR="00BC783E" w:rsidRPr="00383FC7" w14:paraId="47D0D125" w14:textId="77777777" w:rsidTr="00291E6D">
        <w:trPr>
          <w:trHeight w:val="300"/>
        </w:trPr>
        <w:tc>
          <w:tcPr>
            <w:tcW w:w="3172" w:type="dxa"/>
            <w:tcBorders>
              <w:top w:val="nil"/>
              <w:left w:val="nil"/>
              <w:bottom w:val="single" w:sz="4" w:space="0" w:color="808080"/>
              <w:right w:val="nil"/>
            </w:tcBorders>
            <w:shd w:val="clear" w:color="auto" w:fill="auto"/>
            <w:noWrap/>
            <w:vAlign w:val="bottom"/>
            <w:hideMark/>
          </w:tcPr>
          <w:p w14:paraId="5F6776EE"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Average Number of Bedrooms</w:t>
            </w:r>
          </w:p>
        </w:tc>
        <w:tc>
          <w:tcPr>
            <w:tcW w:w="1523" w:type="dxa"/>
            <w:tcBorders>
              <w:top w:val="nil"/>
              <w:left w:val="nil"/>
              <w:bottom w:val="single" w:sz="4" w:space="0" w:color="808080"/>
              <w:right w:val="nil"/>
            </w:tcBorders>
            <w:shd w:val="clear" w:color="auto" w:fill="auto"/>
            <w:noWrap/>
            <w:vAlign w:val="bottom"/>
            <w:hideMark/>
          </w:tcPr>
          <w:p w14:paraId="1F4A755F" w14:textId="1EB469AA"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4.2</w:t>
            </w:r>
          </w:p>
        </w:tc>
        <w:tc>
          <w:tcPr>
            <w:tcW w:w="2090" w:type="dxa"/>
            <w:tcBorders>
              <w:top w:val="nil"/>
              <w:left w:val="nil"/>
              <w:bottom w:val="single" w:sz="4" w:space="0" w:color="808080"/>
              <w:right w:val="nil"/>
            </w:tcBorders>
            <w:shd w:val="clear" w:color="auto" w:fill="auto"/>
            <w:noWrap/>
            <w:vAlign w:val="bottom"/>
            <w:hideMark/>
          </w:tcPr>
          <w:p w14:paraId="06856DC5" w14:textId="47DEAD2F"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10</w:t>
            </w:r>
          </w:p>
        </w:tc>
      </w:tr>
      <w:tr w:rsidR="00BC783E" w:rsidRPr="00383FC7" w14:paraId="45A81E40" w14:textId="77777777" w:rsidTr="00291E6D">
        <w:trPr>
          <w:trHeight w:val="300"/>
        </w:trPr>
        <w:tc>
          <w:tcPr>
            <w:tcW w:w="3172" w:type="dxa"/>
            <w:tcBorders>
              <w:top w:val="nil"/>
              <w:left w:val="nil"/>
              <w:bottom w:val="single" w:sz="4" w:space="0" w:color="808080"/>
              <w:right w:val="nil"/>
            </w:tcBorders>
            <w:shd w:val="clear" w:color="auto" w:fill="auto"/>
            <w:noWrap/>
            <w:vAlign w:val="bottom"/>
            <w:hideMark/>
          </w:tcPr>
          <w:p w14:paraId="30F44339" w14:textId="77777777" w:rsidR="00BC783E" w:rsidRPr="00383FC7" w:rsidRDefault="00BC783E" w:rsidP="007C16AA">
            <w:pPr>
              <w:ind w:right="72"/>
              <w:rPr>
                <w:rFonts w:eastAsia="Times New Roman" w:cs="Times New Roman"/>
                <w:color w:val="000000"/>
                <w:sz w:val="18"/>
                <w:szCs w:val="18"/>
              </w:rPr>
            </w:pPr>
            <w:r w:rsidRPr="00383FC7">
              <w:rPr>
                <w:rFonts w:eastAsia="Times New Roman" w:cs="Times New Roman"/>
                <w:color w:val="000000"/>
                <w:sz w:val="18"/>
                <w:szCs w:val="18"/>
              </w:rPr>
              <w:t>Average Rent</w:t>
            </w:r>
          </w:p>
        </w:tc>
        <w:tc>
          <w:tcPr>
            <w:tcW w:w="1523" w:type="dxa"/>
            <w:tcBorders>
              <w:top w:val="nil"/>
              <w:left w:val="nil"/>
              <w:bottom w:val="single" w:sz="4" w:space="0" w:color="808080"/>
              <w:right w:val="nil"/>
            </w:tcBorders>
            <w:shd w:val="clear" w:color="auto" w:fill="auto"/>
            <w:noWrap/>
            <w:vAlign w:val="bottom"/>
            <w:hideMark/>
          </w:tcPr>
          <w:p w14:paraId="25C39FD3" w14:textId="4A917A09"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$9,528</w:t>
            </w:r>
          </w:p>
        </w:tc>
        <w:tc>
          <w:tcPr>
            <w:tcW w:w="2090" w:type="dxa"/>
            <w:tcBorders>
              <w:top w:val="nil"/>
              <w:left w:val="nil"/>
              <w:bottom w:val="single" w:sz="4" w:space="0" w:color="808080"/>
              <w:right w:val="nil"/>
            </w:tcBorders>
            <w:shd w:val="clear" w:color="auto" w:fill="auto"/>
            <w:noWrap/>
            <w:vAlign w:val="bottom"/>
            <w:hideMark/>
          </w:tcPr>
          <w:p w14:paraId="5CD72B61" w14:textId="0394FAAB"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10</w:t>
            </w:r>
          </w:p>
        </w:tc>
      </w:tr>
      <w:tr w:rsidR="00BC783E" w:rsidRPr="00383FC7" w14:paraId="00105FC6" w14:textId="77777777" w:rsidTr="00291E6D">
        <w:trPr>
          <w:trHeight w:val="300"/>
        </w:trPr>
        <w:tc>
          <w:tcPr>
            <w:tcW w:w="3172" w:type="dxa"/>
            <w:tcBorders>
              <w:top w:val="nil"/>
              <w:left w:val="nil"/>
              <w:bottom w:val="single" w:sz="4" w:space="0" w:color="auto"/>
              <w:right w:val="nil"/>
            </w:tcBorders>
            <w:shd w:val="clear" w:color="auto" w:fill="auto"/>
            <w:noWrap/>
            <w:vAlign w:val="bottom"/>
            <w:hideMark/>
          </w:tcPr>
          <w:p w14:paraId="5D9D5A4F" w14:textId="77777777" w:rsidR="00BC783E" w:rsidRPr="00383FC7" w:rsidRDefault="00BC783E" w:rsidP="007C16AA">
            <w:pPr>
              <w:ind w:right="72"/>
              <w:rPr>
                <w:rFonts w:eastAsia="Times New Roman" w:cs="Times New Roman"/>
                <w:color w:val="000000"/>
                <w:sz w:val="18"/>
                <w:szCs w:val="18"/>
              </w:rPr>
            </w:pPr>
            <w:r>
              <w:rPr>
                <w:rFonts w:eastAsia="Times New Roman" w:cs="Times New Roman"/>
                <w:color w:val="000000"/>
                <w:sz w:val="18"/>
                <w:szCs w:val="18"/>
              </w:rPr>
              <w:t>Average Rent per Square</w:t>
            </w:r>
            <w:r w:rsidRPr="00383FC7">
              <w:rPr>
                <w:rFonts w:eastAsia="Times New Roman" w:cs="Times New Roman"/>
                <w:color w:val="000000"/>
                <w:sz w:val="18"/>
                <w:szCs w:val="18"/>
              </w:rPr>
              <w:t xml:space="preserve"> Foot</w:t>
            </w:r>
          </w:p>
        </w:tc>
        <w:tc>
          <w:tcPr>
            <w:tcW w:w="1523" w:type="dxa"/>
            <w:tcBorders>
              <w:top w:val="nil"/>
              <w:left w:val="nil"/>
              <w:bottom w:val="single" w:sz="4" w:space="0" w:color="auto"/>
              <w:right w:val="nil"/>
            </w:tcBorders>
            <w:shd w:val="clear" w:color="auto" w:fill="auto"/>
            <w:noWrap/>
            <w:vAlign w:val="bottom"/>
            <w:hideMark/>
          </w:tcPr>
          <w:p w14:paraId="789E7977" w14:textId="79E69C05"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$2.99</w:t>
            </w:r>
          </w:p>
        </w:tc>
        <w:tc>
          <w:tcPr>
            <w:tcW w:w="2090" w:type="dxa"/>
            <w:tcBorders>
              <w:top w:val="nil"/>
              <w:left w:val="nil"/>
              <w:bottom w:val="single" w:sz="4" w:space="0" w:color="auto"/>
              <w:right w:val="nil"/>
            </w:tcBorders>
            <w:shd w:val="clear" w:color="auto" w:fill="auto"/>
            <w:noWrap/>
            <w:vAlign w:val="bottom"/>
            <w:hideMark/>
          </w:tcPr>
          <w:p w14:paraId="72A6B23A" w14:textId="536CFD49" w:rsidR="00BC783E" w:rsidRPr="00383FC7" w:rsidRDefault="00BC783E" w:rsidP="007C16AA">
            <w:pPr>
              <w:ind w:right="72"/>
              <w:jc w:val="right"/>
              <w:rPr>
                <w:rFonts w:eastAsia="Times New Roman" w:cs="Times New Roman"/>
                <w:color w:val="000000"/>
                <w:sz w:val="18"/>
                <w:szCs w:val="18"/>
              </w:rPr>
            </w:pPr>
            <w:r w:rsidRPr="00BC18FD">
              <w:rPr>
                <w:rFonts w:eastAsia="Times New Roman" w:cs="Times New Roman"/>
                <w:color w:val="000000"/>
                <w:sz w:val="18"/>
                <w:szCs w:val="18"/>
              </w:rPr>
              <w:t>7</w:t>
            </w:r>
          </w:p>
        </w:tc>
      </w:tr>
      <w:tr w:rsidR="00BC783E" w:rsidRPr="00E761A6" w14:paraId="54A8F7AE" w14:textId="77777777" w:rsidTr="00291E6D">
        <w:trPr>
          <w:trHeight w:val="300"/>
        </w:trPr>
        <w:tc>
          <w:tcPr>
            <w:tcW w:w="6785" w:type="dxa"/>
            <w:gridSpan w:val="3"/>
            <w:tcBorders>
              <w:top w:val="single" w:sz="4" w:space="0" w:color="auto"/>
              <w:left w:val="nil"/>
              <w:bottom w:val="nil"/>
              <w:right w:val="nil"/>
            </w:tcBorders>
            <w:shd w:val="clear" w:color="auto" w:fill="auto"/>
            <w:noWrap/>
            <w:vAlign w:val="bottom"/>
            <w:hideMark/>
          </w:tcPr>
          <w:p w14:paraId="0F36D66C" w14:textId="77777777" w:rsidR="00BC783E" w:rsidRPr="00E761A6" w:rsidRDefault="00BC783E" w:rsidP="007C16AA">
            <w:pPr>
              <w:ind w:right="72"/>
              <w:rPr>
                <w:rFonts w:eastAsia="Times New Roman" w:cs="Times New Roman"/>
                <w:iCs/>
                <w:color w:val="000000"/>
                <w:sz w:val="14"/>
                <w:szCs w:val="18"/>
              </w:rPr>
            </w:pPr>
          </w:p>
          <w:p w14:paraId="45CC9626" w14:textId="77777777" w:rsidR="00BC783E" w:rsidRPr="00E761A6" w:rsidRDefault="00BC783E" w:rsidP="007C16AA">
            <w:pPr>
              <w:ind w:right="72"/>
              <w:rPr>
                <w:rFonts w:eastAsia="Times New Roman" w:cs="Times New Roman"/>
                <w:iCs/>
                <w:color w:val="000000"/>
                <w:sz w:val="18"/>
                <w:szCs w:val="18"/>
              </w:rPr>
            </w:pPr>
            <w:r w:rsidRPr="00E761A6">
              <w:rPr>
                <w:rFonts w:eastAsia="Times New Roman" w:cs="Times New Roman"/>
                <w:iCs/>
                <w:color w:val="000000"/>
                <w:sz w:val="18"/>
                <w:szCs w:val="18"/>
              </w:rPr>
              <w:t>Source: Craigslist Rental Survey conducted in June and July of 2013</w:t>
            </w:r>
          </w:p>
        </w:tc>
      </w:tr>
    </w:tbl>
    <w:p w14:paraId="1724B6BF" w14:textId="77777777" w:rsidR="00F513BC" w:rsidRPr="00E15E37" w:rsidRDefault="00F513BC" w:rsidP="005B6E52">
      <w:pPr>
        <w:spacing w:line="240" w:lineRule="auto"/>
        <w:rPr>
          <w:sz w:val="6"/>
        </w:rPr>
      </w:pPr>
    </w:p>
    <w:p w14:paraId="6AA2234C" w14:textId="77777777" w:rsidR="00E15E37" w:rsidRPr="00256487" w:rsidRDefault="00E15E37" w:rsidP="00086CF3">
      <w:pPr>
        <w:pStyle w:val="heading10"/>
        <w:rPr>
          <w:color w:val="0B5095"/>
          <w:sz w:val="18"/>
        </w:rPr>
      </w:pPr>
    </w:p>
    <w:p w14:paraId="5552FB47" w14:textId="590D36DD" w:rsidR="00086CF3" w:rsidRPr="006C4E74" w:rsidRDefault="00086CF3" w:rsidP="00086CF3">
      <w:pPr>
        <w:pStyle w:val="heading10"/>
        <w:rPr>
          <w:color w:val="0B5095"/>
        </w:rPr>
      </w:pPr>
      <w:r>
        <w:rPr>
          <w:color w:val="0B5095"/>
        </w:rPr>
        <w:t>Adjusting for Inflation</w:t>
      </w:r>
      <w:r w:rsidRPr="006C4E74">
        <w:rPr>
          <w:color w:val="0B5095"/>
        </w:rPr>
        <w:t xml:space="preserve"> </w:t>
      </w:r>
    </w:p>
    <w:p w14:paraId="6B7EB087" w14:textId="61EEC61A" w:rsidR="00086CF3" w:rsidRDefault="00884367" w:rsidP="00726380">
      <w:r w:rsidRPr="007866AE">
        <w:t>The tables below adjust sales prices and rents for inflation over the 2005 to 2013 tim</w:t>
      </w:r>
      <w:r w:rsidR="00D40CC8" w:rsidRPr="007866AE">
        <w:t xml:space="preserve">e period (inflation rate of 19 percent </w:t>
      </w:r>
      <w:r w:rsidRPr="007866AE">
        <w:t xml:space="preserve">over the eight year period). In 2013 dollars, average household income in </w:t>
      </w:r>
      <w:r w:rsidR="00853231" w:rsidRPr="007866AE">
        <w:t>Hillsborough</w:t>
      </w:r>
      <w:r w:rsidRPr="007866AE">
        <w:t xml:space="preserve"> </w:t>
      </w:r>
      <w:r w:rsidR="00D40CC8" w:rsidRPr="007866AE">
        <w:t>decreased</w:t>
      </w:r>
      <w:r w:rsidRPr="007866AE">
        <w:t xml:space="preserve"> from </w:t>
      </w:r>
      <w:r w:rsidR="00D40CC8" w:rsidRPr="007866AE">
        <w:t xml:space="preserve">$260,762 </w:t>
      </w:r>
      <w:r w:rsidRPr="007866AE">
        <w:t xml:space="preserve">in 2000 to </w:t>
      </w:r>
      <w:r w:rsidR="00D40CC8" w:rsidRPr="007866AE">
        <w:t xml:space="preserve">$237,680 </w:t>
      </w:r>
      <w:r w:rsidRPr="007866AE">
        <w:t xml:space="preserve">in 2011, or a </w:t>
      </w:r>
      <w:r w:rsidR="00D40CC8" w:rsidRPr="007866AE">
        <w:t>nine percent</w:t>
      </w:r>
      <w:r w:rsidRPr="007866AE">
        <w:t xml:space="preserve"> </w:t>
      </w:r>
      <w:r w:rsidR="00D40CC8" w:rsidRPr="007866AE">
        <w:t>decrease</w:t>
      </w:r>
      <w:r w:rsidRPr="007866AE">
        <w:t xml:space="preserve"> in purchasing power over that time period. In real purchasing power (constant 2013 dollars), home sales prices have gone down significantly in </w:t>
      </w:r>
      <w:r w:rsidR="005D291C">
        <w:t>San Mateo County</w:t>
      </w:r>
      <w:r w:rsidRPr="007866AE">
        <w:t xml:space="preserve"> since 2005</w:t>
      </w:r>
      <w:r w:rsidR="0082463F" w:rsidRPr="007866AE">
        <w:t>.</w:t>
      </w:r>
    </w:p>
    <w:p w14:paraId="71B6B9D6" w14:textId="77777777" w:rsidR="007312B3" w:rsidRDefault="007312B3" w:rsidP="00256487">
      <w:pPr>
        <w:spacing w:line="240" w:lineRule="auto"/>
        <w:rPr>
          <w:b/>
        </w:rPr>
      </w:pPr>
    </w:p>
    <w:p w14:paraId="0A04442D" w14:textId="77777777" w:rsidR="007312B3" w:rsidRPr="007312B3" w:rsidRDefault="007312B3" w:rsidP="007312B3">
      <w:r w:rsidRPr="007312B3">
        <w:t>The conclusions of this analysis are that: (1) Sales housing prices are significantly</w:t>
      </w:r>
    </w:p>
    <w:p w14:paraId="60B82885" w14:textId="01B7F5F0" w:rsidR="007312B3" w:rsidRPr="00CB1990" w:rsidRDefault="007312B3" w:rsidP="007312B3">
      <w:r w:rsidRPr="007312B3">
        <w:t>lower than seven years ago, but still only affordable</w:t>
      </w:r>
      <w:r>
        <w:t xml:space="preserve"> to households earning far above a moderate income</w:t>
      </w:r>
      <w:r w:rsidRPr="007312B3">
        <w:t>;</w:t>
      </w:r>
      <w:r w:rsidR="002F42B7">
        <w:t xml:space="preserve"> and</w:t>
      </w:r>
      <w:r w:rsidRPr="007312B3">
        <w:t xml:space="preserve"> (2) incomes have </w:t>
      </w:r>
      <w:r w:rsidR="002F42B7">
        <w:t xml:space="preserve">declined, and so household purchasing power has decreased as well. </w:t>
      </w:r>
      <w:r w:rsidRPr="007312B3">
        <w:t>This analysis underscores the challenges of availability and affordability of market rate rental and sales housing in San Mateo County.</w:t>
      </w:r>
    </w:p>
    <w:p w14:paraId="11A4A49A" w14:textId="73CE1D6A" w:rsidR="00E80EDB" w:rsidRPr="000D412B" w:rsidRDefault="00E80EDB" w:rsidP="00256487">
      <w:pPr>
        <w:spacing w:line="240" w:lineRule="auto"/>
        <w:rPr>
          <w:b/>
        </w:rPr>
      </w:pPr>
    </w:p>
    <w:tbl>
      <w:tblPr>
        <w:tblW w:w="8010" w:type="dxa"/>
        <w:tblInd w:w="108" w:type="dxa"/>
        <w:tblLayout w:type="fixed"/>
        <w:tblLook w:val="04A0" w:firstRow="1" w:lastRow="0" w:firstColumn="1" w:lastColumn="0" w:noHBand="0" w:noVBand="1"/>
      </w:tblPr>
      <w:tblGrid>
        <w:gridCol w:w="1530"/>
        <w:gridCol w:w="1285"/>
        <w:gridCol w:w="1595"/>
        <w:gridCol w:w="1490"/>
        <w:gridCol w:w="350"/>
        <w:gridCol w:w="1620"/>
        <w:gridCol w:w="50"/>
        <w:gridCol w:w="90"/>
      </w:tblGrid>
      <w:tr w:rsidR="00E80EDB" w:rsidRPr="00947469" w14:paraId="1124F220" w14:textId="77777777" w:rsidTr="007C16AA">
        <w:trPr>
          <w:gridAfter w:val="1"/>
          <w:wAfter w:w="90" w:type="dxa"/>
          <w:trHeight w:val="300"/>
        </w:trPr>
        <w:tc>
          <w:tcPr>
            <w:tcW w:w="7920" w:type="dxa"/>
            <w:gridSpan w:val="7"/>
            <w:tcBorders>
              <w:top w:val="nil"/>
              <w:left w:val="nil"/>
              <w:bottom w:val="nil"/>
              <w:right w:val="nil"/>
            </w:tcBorders>
            <w:shd w:val="clear" w:color="000000" w:fill="000000"/>
            <w:noWrap/>
            <w:vAlign w:val="bottom"/>
            <w:hideMark/>
          </w:tcPr>
          <w:p w14:paraId="21353452" w14:textId="77777777" w:rsidR="00E80EDB" w:rsidRPr="00947469" w:rsidRDefault="00E80EDB" w:rsidP="007C16AA">
            <w:pPr>
              <w:rPr>
                <w:rFonts w:eastAsia="Times New Roman" w:cs="Times New Roman"/>
                <w:b/>
                <w:bCs/>
                <w:color w:val="FFFFFF"/>
                <w:sz w:val="20"/>
                <w:szCs w:val="20"/>
              </w:rPr>
            </w:pPr>
            <w:r w:rsidRPr="00947469">
              <w:rPr>
                <w:rFonts w:eastAsia="Times New Roman" w:cs="Times New Roman"/>
                <w:b/>
                <w:bCs/>
                <w:color w:val="FFFFFF"/>
                <w:sz w:val="20"/>
                <w:szCs w:val="20"/>
              </w:rPr>
              <w:t>Median Home Sale Prices</w:t>
            </w:r>
            <w:r>
              <w:rPr>
                <w:rFonts w:eastAsia="Times New Roman" w:cs="Times New Roman"/>
                <w:b/>
                <w:bCs/>
                <w:color w:val="FFFFFF"/>
                <w:sz w:val="20"/>
                <w:szCs w:val="20"/>
              </w:rPr>
              <w:t xml:space="preserve"> in 2013 Dollars — Adjusted for Inflation (2005-2012)</w:t>
            </w:r>
          </w:p>
        </w:tc>
      </w:tr>
      <w:tr w:rsidR="00E80EDB" w:rsidRPr="00947469" w14:paraId="22447F8E" w14:textId="77777777" w:rsidTr="007C16AA">
        <w:trPr>
          <w:gridAfter w:val="1"/>
          <w:wAfter w:w="90" w:type="dxa"/>
          <w:trHeight w:val="300"/>
        </w:trPr>
        <w:tc>
          <w:tcPr>
            <w:tcW w:w="1530" w:type="dxa"/>
            <w:tcBorders>
              <w:top w:val="nil"/>
              <w:left w:val="nil"/>
              <w:bottom w:val="nil"/>
              <w:right w:val="nil"/>
            </w:tcBorders>
            <w:shd w:val="clear" w:color="auto" w:fill="auto"/>
            <w:noWrap/>
            <w:vAlign w:val="bottom"/>
            <w:hideMark/>
          </w:tcPr>
          <w:p w14:paraId="51698247" w14:textId="77777777" w:rsidR="00E80EDB" w:rsidRPr="00947469" w:rsidRDefault="00E80EDB" w:rsidP="007C16AA">
            <w:pPr>
              <w:spacing w:line="240" w:lineRule="auto"/>
              <w:rPr>
                <w:rFonts w:eastAsia="Times New Roman" w:cs="Times New Roman"/>
                <w:color w:val="000000"/>
                <w:sz w:val="18"/>
                <w:szCs w:val="18"/>
              </w:rPr>
            </w:pPr>
          </w:p>
        </w:tc>
        <w:tc>
          <w:tcPr>
            <w:tcW w:w="4370" w:type="dxa"/>
            <w:gridSpan w:val="3"/>
            <w:tcBorders>
              <w:top w:val="nil"/>
              <w:left w:val="nil"/>
              <w:bottom w:val="nil"/>
              <w:right w:val="nil"/>
            </w:tcBorders>
            <w:shd w:val="clear" w:color="auto" w:fill="auto"/>
            <w:noWrap/>
            <w:vAlign w:val="bottom"/>
            <w:hideMark/>
          </w:tcPr>
          <w:p w14:paraId="57B7B0AA" w14:textId="77777777" w:rsidR="00E80EDB" w:rsidRPr="00B51BDA" w:rsidRDefault="00E80EDB" w:rsidP="007C16AA">
            <w:pPr>
              <w:spacing w:line="240" w:lineRule="auto"/>
              <w:jc w:val="center"/>
              <w:rPr>
                <w:rFonts w:eastAsia="Times New Roman" w:cs="Times New Roman"/>
                <w:b/>
                <w:bCs/>
                <w:color w:val="000000"/>
                <w:sz w:val="14"/>
                <w:szCs w:val="18"/>
              </w:rPr>
            </w:pPr>
          </w:p>
          <w:p w14:paraId="3D013F8D" w14:textId="77777777" w:rsidR="00E80EDB" w:rsidRDefault="00E80EDB" w:rsidP="007C16AA">
            <w:pPr>
              <w:tabs>
                <w:tab w:val="left" w:pos="3582"/>
              </w:tabs>
              <w:spacing w:line="240" w:lineRule="auto"/>
              <w:ind w:right="1112"/>
              <w:jc w:val="center"/>
              <w:rPr>
                <w:rFonts w:eastAsia="Times New Roman" w:cs="Times New Roman"/>
                <w:b/>
                <w:bCs/>
                <w:color w:val="000000"/>
                <w:sz w:val="18"/>
                <w:szCs w:val="18"/>
              </w:rPr>
            </w:pPr>
            <w:r w:rsidRPr="00947469">
              <w:rPr>
                <w:rFonts w:eastAsia="Times New Roman" w:cs="Times New Roman"/>
                <w:b/>
                <w:bCs/>
                <w:color w:val="000000"/>
                <w:sz w:val="18"/>
                <w:szCs w:val="18"/>
              </w:rPr>
              <w:t>Single Family</w:t>
            </w:r>
          </w:p>
          <w:p w14:paraId="73EFDD3C" w14:textId="77777777" w:rsidR="00E80EDB" w:rsidRPr="00B51BDA" w:rsidRDefault="00E80EDB" w:rsidP="007C16AA">
            <w:pPr>
              <w:spacing w:line="240" w:lineRule="auto"/>
              <w:jc w:val="center"/>
              <w:rPr>
                <w:rFonts w:eastAsia="Times New Roman" w:cs="Times New Roman"/>
                <w:b/>
                <w:bCs/>
                <w:color w:val="000000"/>
                <w:sz w:val="10"/>
                <w:szCs w:val="18"/>
              </w:rPr>
            </w:pPr>
          </w:p>
        </w:tc>
        <w:tc>
          <w:tcPr>
            <w:tcW w:w="2020" w:type="dxa"/>
            <w:gridSpan w:val="3"/>
            <w:tcBorders>
              <w:top w:val="nil"/>
              <w:left w:val="nil"/>
              <w:bottom w:val="nil"/>
              <w:right w:val="nil"/>
            </w:tcBorders>
            <w:shd w:val="clear" w:color="auto" w:fill="auto"/>
            <w:noWrap/>
            <w:vAlign w:val="bottom"/>
            <w:hideMark/>
          </w:tcPr>
          <w:p w14:paraId="54073EE8" w14:textId="77777777" w:rsidR="00E80EDB" w:rsidRDefault="00E80EDB" w:rsidP="007C16AA">
            <w:pPr>
              <w:spacing w:line="240" w:lineRule="auto"/>
              <w:ind w:right="522"/>
              <w:jc w:val="center"/>
              <w:rPr>
                <w:rFonts w:eastAsia="Times New Roman" w:cs="Times New Roman"/>
                <w:b/>
                <w:bCs/>
                <w:color w:val="000000"/>
                <w:sz w:val="18"/>
                <w:szCs w:val="18"/>
              </w:rPr>
            </w:pPr>
            <w:r>
              <w:rPr>
                <w:rFonts w:eastAsia="Times New Roman" w:cs="Times New Roman"/>
                <w:b/>
                <w:bCs/>
                <w:color w:val="000000"/>
                <w:sz w:val="18"/>
                <w:szCs w:val="18"/>
              </w:rPr>
              <w:t>Multi-</w:t>
            </w:r>
            <w:r w:rsidRPr="00947469">
              <w:rPr>
                <w:rFonts w:eastAsia="Times New Roman" w:cs="Times New Roman"/>
                <w:b/>
                <w:bCs/>
                <w:color w:val="000000"/>
                <w:sz w:val="18"/>
                <w:szCs w:val="18"/>
              </w:rPr>
              <w:t>Family</w:t>
            </w:r>
          </w:p>
          <w:p w14:paraId="35052AB7" w14:textId="77777777" w:rsidR="00E80EDB" w:rsidRPr="00B51BDA" w:rsidRDefault="00E80EDB" w:rsidP="007C16AA">
            <w:pPr>
              <w:spacing w:line="240" w:lineRule="auto"/>
              <w:jc w:val="center"/>
              <w:rPr>
                <w:rFonts w:eastAsia="Times New Roman" w:cs="Times New Roman"/>
                <w:b/>
                <w:bCs/>
                <w:color w:val="000000"/>
                <w:sz w:val="10"/>
                <w:szCs w:val="18"/>
              </w:rPr>
            </w:pPr>
          </w:p>
        </w:tc>
      </w:tr>
      <w:tr w:rsidR="00E80EDB" w:rsidRPr="00B51BDA" w14:paraId="1C5D5CD4" w14:textId="77777777" w:rsidTr="007C16AA">
        <w:trPr>
          <w:gridAfter w:val="2"/>
          <w:wAfter w:w="140" w:type="dxa"/>
          <w:trHeight w:val="320"/>
        </w:trPr>
        <w:tc>
          <w:tcPr>
            <w:tcW w:w="1530" w:type="dxa"/>
            <w:tcBorders>
              <w:top w:val="nil"/>
              <w:left w:val="nil"/>
              <w:bottom w:val="single" w:sz="8" w:space="0" w:color="auto"/>
              <w:right w:val="nil"/>
            </w:tcBorders>
            <w:shd w:val="clear" w:color="auto" w:fill="auto"/>
            <w:noWrap/>
            <w:vAlign w:val="bottom"/>
            <w:hideMark/>
          </w:tcPr>
          <w:p w14:paraId="38DE3298" w14:textId="77777777" w:rsidR="00E80EDB" w:rsidRPr="00B51BDA" w:rsidRDefault="00E80EDB" w:rsidP="007C16AA">
            <w:pPr>
              <w:spacing w:line="240" w:lineRule="auto"/>
              <w:rPr>
                <w:rFonts w:eastAsia="Times New Roman" w:cs="Times New Roman"/>
                <w:color w:val="000000"/>
                <w:sz w:val="18"/>
                <w:szCs w:val="18"/>
              </w:rPr>
            </w:pPr>
            <w:r w:rsidRPr="00B51BDA">
              <w:rPr>
                <w:rFonts w:eastAsia="Times New Roman" w:cs="Times New Roman"/>
                <w:color w:val="000000"/>
                <w:sz w:val="18"/>
                <w:szCs w:val="18"/>
              </w:rPr>
              <w:t> </w:t>
            </w:r>
          </w:p>
        </w:tc>
        <w:tc>
          <w:tcPr>
            <w:tcW w:w="1285" w:type="dxa"/>
            <w:tcBorders>
              <w:top w:val="nil"/>
              <w:left w:val="nil"/>
              <w:bottom w:val="single" w:sz="8" w:space="0" w:color="auto"/>
              <w:right w:val="nil"/>
            </w:tcBorders>
            <w:shd w:val="clear" w:color="auto" w:fill="auto"/>
            <w:noWrap/>
            <w:vAlign w:val="bottom"/>
            <w:hideMark/>
          </w:tcPr>
          <w:p w14:paraId="3F47BA0D" w14:textId="77777777" w:rsidR="00E80EDB" w:rsidRPr="00B51BDA" w:rsidRDefault="00E80EDB" w:rsidP="007C16AA">
            <w:pPr>
              <w:spacing w:line="240" w:lineRule="auto"/>
              <w:jc w:val="right"/>
              <w:rPr>
                <w:rFonts w:eastAsia="Times New Roman" w:cs="Times New Roman"/>
                <w:color w:val="000000"/>
                <w:sz w:val="18"/>
                <w:szCs w:val="18"/>
              </w:rPr>
            </w:pPr>
            <w:r w:rsidRPr="00B51BDA">
              <w:rPr>
                <w:rFonts w:eastAsia="Times New Roman" w:cs="Times New Roman"/>
                <w:color w:val="000000"/>
                <w:sz w:val="18"/>
                <w:szCs w:val="18"/>
              </w:rPr>
              <w:t>San Mateo County</w:t>
            </w:r>
          </w:p>
          <w:p w14:paraId="3DB94D7A" w14:textId="77777777" w:rsidR="00E80EDB" w:rsidRPr="00B51BDA" w:rsidRDefault="00E80EDB" w:rsidP="007C16AA">
            <w:pPr>
              <w:spacing w:line="240" w:lineRule="auto"/>
              <w:jc w:val="right"/>
              <w:rPr>
                <w:rFonts w:eastAsia="Times New Roman" w:cs="Times New Roman"/>
                <w:color w:val="000000"/>
                <w:sz w:val="10"/>
                <w:szCs w:val="18"/>
              </w:rPr>
            </w:pPr>
          </w:p>
        </w:tc>
        <w:tc>
          <w:tcPr>
            <w:tcW w:w="1595" w:type="dxa"/>
            <w:tcBorders>
              <w:top w:val="nil"/>
              <w:left w:val="nil"/>
              <w:bottom w:val="single" w:sz="8" w:space="0" w:color="auto"/>
              <w:right w:val="nil"/>
            </w:tcBorders>
            <w:shd w:val="clear" w:color="auto" w:fill="auto"/>
            <w:noWrap/>
            <w:vAlign w:val="bottom"/>
            <w:hideMark/>
          </w:tcPr>
          <w:p w14:paraId="08DE2979" w14:textId="77777777" w:rsidR="00E80EDB" w:rsidRPr="00B51BDA" w:rsidRDefault="00E80EDB" w:rsidP="007C16AA">
            <w:pPr>
              <w:spacing w:line="240" w:lineRule="auto"/>
              <w:jc w:val="right"/>
              <w:rPr>
                <w:rFonts w:eastAsia="Times New Roman" w:cs="Times New Roman"/>
                <w:color w:val="000000"/>
                <w:sz w:val="18"/>
                <w:szCs w:val="18"/>
              </w:rPr>
            </w:pPr>
            <w:r w:rsidRPr="00B51BDA">
              <w:rPr>
                <w:rFonts w:eastAsia="Times New Roman" w:cs="Times New Roman"/>
                <w:color w:val="000000"/>
                <w:sz w:val="18"/>
                <w:szCs w:val="18"/>
              </w:rPr>
              <w:t>State of California</w:t>
            </w:r>
          </w:p>
          <w:p w14:paraId="4DE9CCDD" w14:textId="77777777" w:rsidR="00E80EDB" w:rsidRPr="00B51BDA" w:rsidRDefault="00E80EDB" w:rsidP="007C16AA">
            <w:pPr>
              <w:spacing w:line="240" w:lineRule="auto"/>
              <w:jc w:val="right"/>
              <w:rPr>
                <w:rFonts w:eastAsia="Times New Roman" w:cs="Times New Roman"/>
                <w:color w:val="000000"/>
                <w:sz w:val="10"/>
                <w:szCs w:val="18"/>
              </w:rPr>
            </w:pPr>
          </w:p>
        </w:tc>
        <w:tc>
          <w:tcPr>
            <w:tcW w:w="1840" w:type="dxa"/>
            <w:gridSpan w:val="2"/>
            <w:tcBorders>
              <w:top w:val="nil"/>
              <w:left w:val="nil"/>
              <w:bottom w:val="single" w:sz="8" w:space="0" w:color="auto"/>
              <w:right w:val="nil"/>
            </w:tcBorders>
            <w:shd w:val="clear" w:color="auto" w:fill="auto"/>
            <w:noWrap/>
            <w:vAlign w:val="bottom"/>
            <w:hideMark/>
          </w:tcPr>
          <w:p w14:paraId="1D65262F" w14:textId="77777777" w:rsidR="00E80EDB" w:rsidRPr="00B51BDA" w:rsidRDefault="00E80EDB" w:rsidP="007C16AA">
            <w:pPr>
              <w:spacing w:line="240" w:lineRule="auto"/>
              <w:jc w:val="right"/>
              <w:rPr>
                <w:rFonts w:eastAsia="Times New Roman" w:cs="Times New Roman"/>
                <w:color w:val="000000"/>
                <w:sz w:val="18"/>
                <w:szCs w:val="18"/>
              </w:rPr>
            </w:pPr>
            <w:r w:rsidRPr="00B51BDA">
              <w:rPr>
                <w:rFonts w:eastAsia="Times New Roman" w:cs="Times New Roman"/>
                <w:color w:val="000000"/>
                <w:sz w:val="18"/>
                <w:szCs w:val="18"/>
              </w:rPr>
              <w:t>San Mateo County</w:t>
            </w:r>
          </w:p>
          <w:p w14:paraId="4C76A221" w14:textId="77777777" w:rsidR="00E80EDB" w:rsidRPr="00B51BDA" w:rsidRDefault="00E80EDB" w:rsidP="007C16AA">
            <w:pPr>
              <w:spacing w:line="240" w:lineRule="auto"/>
              <w:jc w:val="right"/>
              <w:rPr>
                <w:rFonts w:eastAsia="Times New Roman" w:cs="Times New Roman"/>
                <w:color w:val="000000"/>
                <w:sz w:val="10"/>
                <w:szCs w:val="18"/>
              </w:rPr>
            </w:pPr>
          </w:p>
        </w:tc>
        <w:tc>
          <w:tcPr>
            <w:tcW w:w="1620" w:type="dxa"/>
            <w:tcBorders>
              <w:top w:val="nil"/>
              <w:left w:val="nil"/>
              <w:bottom w:val="single" w:sz="8" w:space="0" w:color="auto"/>
              <w:right w:val="nil"/>
            </w:tcBorders>
            <w:shd w:val="clear" w:color="auto" w:fill="auto"/>
            <w:noWrap/>
            <w:vAlign w:val="bottom"/>
            <w:hideMark/>
          </w:tcPr>
          <w:p w14:paraId="7E36A9A5" w14:textId="77777777" w:rsidR="00E80EDB" w:rsidRPr="00B51BDA" w:rsidRDefault="00E80EDB" w:rsidP="007C16AA">
            <w:pPr>
              <w:spacing w:line="240" w:lineRule="auto"/>
              <w:jc w:val="right"/>
              <w:rPr>
                <w:rFonts w:eastAsia="Times New Roman" w:cs="Times New Roman"/>
                <w:color w:val="000000"/>
                <w:sz w:val="18"/>
                <w:szCs w:val="18"/>
              </w:rPr>
            </w:pPr>
            <w:r w:rsidRPr="00B51BDA">
              <w:rPr>
                <w:rFonts w:eastAsia="Times New Roman" w:cs="Times New Roman"/>
                <w:color w:val="000000"/>
                <w:sz w:val="18"/>
                <w:szCs w:val="18"/>
              </w:rPr>
              <w:t>State of California</w:t>
            </w:r>
          </w:p>
          <w:p w14:paraId="12172118" w14:textId="77777777" w:rsidR="00E80EDB" w:rsidRPr="00B51BDA" w:rsidRDefault="00E80EDB" w:rsidP="007C16AA">
            <w:pPr>
              <w:spacing w:line="240" w:lineRule="auto"/>
              <w:jc w:val="right"/>
              <w:rPr>
                <w:rFonts w:eastAsia="Times New Roman" w:cs="Times New Roman"/>
                <w:color w:val="000000"/>
                <w:sz w:val="10"/>
                <w:szCs w:val="18"/>
              </w:rPr>
            </w:pPr>
          </w:p>
        </w:tc>
      </w:tr>
      <w:tr w:rsidR="00E80EDB" w:rsidRPr="00D85134" w14:paraId="6F2B4A60" w14:textId="77777777" w:rsidTr="007C16AA">
        <w:trPr>
          <w:gridAfter w:val="2"/>
          <w:wAfter w:w="140" w:type="dxa"/>
          <w:trHeight w:val="300"/>
        </w:trPr>
        <w:tc>
          <w:tcPr>
            <w:tcW w:w="1530" w:type="dxa"/>
            <w:tcBorders>
              <w:top w:val="single" w:sz="4" w:space="0" w:color="808080"/>
              <w:left w:val="nil"/>
              <w:bottom w:val="single" w:sz="4" w:space="0" w:color="808080"/>
              <w:right w:val="nil"/>
            </w:tcBorders>
            <w:shd w:val="clear" w:color="auto" w:fill="auto"/>
            <w:noWrap/>
            <w:vAlign w:val="bottom"/>
            <w:hideMark/>
          </w:tcPr>
          <w:p w14:paraId="44BEF2F4"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2005</w:t>
            </w:r>
          </w:p>
        </w:tc>
        <w:tc>
          <w:tcPr>
            <w:tcW w:w="1285" w:type="dxa"/>
            <w:tcBorders>
              <w:top w:val="nil"/>
              <w:left w:val="nil"/>
              <w:bottom w:val="single" w:sz="4" w:space="0" w:color="808080"/>
              <w:right w:val="nil"/>
            </w:tcBorders>
            <w:shd w:val="clear" w:color="auto" w:fill="auto"/>
            <w:noWrap/>
            <w:vAlign w:val="bottom"/>
            <w:hideMark/>
          </w:tcPr>
          <w:p w14:paraId="6C7B4E7C"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$939,148 </w:t>
            </w:r>
          </w:p>
        </w:tc>
        <w:tc>
          <w:tcPr>
            <w:tcW w:w="1595" w:type="dxa"/>
            <w:tcBorders>
              <w:top w:val="nil"/>
              <w:left w:val="nil"/>
              <w:bottom w:val="single" w:sz="4" w:space="0" w:color="808080"/>
              <w:right w:val="nil"/>
            </w:tcBorders>
            <w:shd w:val="clear" w:color="auto" w:fill="auto"/>
            <w:noWrap/>
            <w:vAlign w:val="bottom"/>
            <w:hideMark/>
          </w:tcPr>
          <w:p w14:paraId="517ECEB3"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$576,436 </w:t>
            </w:r>
          </w:p>
        </w:tc>
        <w:tc>
          <w:tcPr>
            <w:tcW w:w="1840" w:type="dxa"/>
            <w:gridSpan w:val="2"/>
            <w:tcBorders>
              <w:top w:val="nil"/>
              <w:left w:val="nil"/>
              <w:bottom w:val="single" w:sz="4" w:space="0" w:color="808080"/>
              <w:right w:val="nil"/>
            </w:tcBorders>
            <w:shd w:val="clear" w:color="auto" w:fill="auto"/>
            <w:noWrap/>
            <w:vAlign w:val="bottom"/>
            <w:hideMark/>
          </w:tcPr>
          <w:p w14:paraId="08CC9959"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$586,432 </w:t>
            </w:r>
          </w:p>
        </w:tc>
        <w:tc>
          <w:tcPr>
            <w:tcW w:w="1620" w:type="dxa"/>
            <w:tcBorders>
              <w:top w:val="nil"/>
              <w:left w:val="nil"/>
              <w:bottom w:val="single" w:sz="4" w:space="0" w:color="808080"/>
              <w:right w:val="nil"/>
            </w:tcBorders>
            <w:shd w:val="clear" w:color="auto" w:fill="auto"/>
            <w:noWrap/>
            <w:vAlign w:val="bottom"/>
            <w:hideMark/>
          </w:tcPr>
          <w:p w14:paraId="2C23A986"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$498,848 </w:t>
            </w:r>
          </w:p>
        </w:tc>
      </w:tr>
      <w:tr w:rsidR="00E80EDB" w:rsidRPr="00D85134" w14:paraId="64B2677B" w14:textId="77777777" w:rsidTr="007C16AA">
        <w:trPr>
          <w:gridAfter w:val="2"/>
          <w:wAfter w:w="140" w:type="dxa"/>
          <w:trHeight w:val="300"/>
        </w:trPr>
        <w:tc>
          <w:tcPr>
            <w:tcW w:w="1530" w:type="dxa"/>
            <w:tcBorders>
              <w:top w:val="nil"/>
              <w:left w:val="nil"/>
              <w:bottom w:val="single" w:sz="4" w:space="0" w:color="808080"/>
              <w:right w:val="nil"/>
            </w:tcBorders>
            <w:shd w:val="clear" w:color="auto" w:fill="auto"/>
            <w:noWrap/>
            <w:vAlign w:val="bottom"/>
            <w:hideMark/>
          </w:tcPr>
          <w:p w14:paraId="6AD136C4"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2006</w:t>
            </w:r>
          </w:p>
        </w:tc>
        <w:tc>
          <w:tcPr>
            <w:tcW w:w="1285" w:type="dxa"/>
            <w:tcBorders>
              <w:top w:val="nil"/>
              <w:left w:val="nil"/>
              <w:bottom w:val="single" w:sz="4" w:space="0" w:color="808080"/>
              <w:right w:val="nil"/>
            </w:tcBorders>
            <w:shd w:val="clear" w:color="auto" w:fill="auto"/>
            <w:noWrap/>
            <w:vAlign w:val="bottom"/>
            <w:hideMark/>
          </w:tcPr>
          <w:p w14:paraId="772EDAA3"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$961,170 </w:t>
            </w:r>
          </w:p>
        </w:tc>
        <w:tc>
          <w:tcPr>
            <w:tcW w:w="1595" w:type="dxa"/>
            <w:tcBorders>
              <w:top w:val="nil"/>
              <w:left w:val="nil"/>
              <w:bottom w:val="single" w:sz="4" w:space="0" w:color="808080"/>
              <w:right w:val="nil"/>
            </w:tcBorders>
            <w:shd w:val="clear" w:color="auto" w:fill="auto"/>
            <w:noWrap/>
            <w:vAlign w:val="bottom"/>
            <w:hideMark/>
          </w:tcPr>
          <w:p w14:paraId="5B868C89"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$636,410 </w:t>
            </w:r>
          </w:p>
        </w:tc>
        <w:tc>
          <w:tcPr>
            <w:tcW w:w="1840" w:type="dxa"/>
            <w:gridSpan w:val="2"/>
            <w:tcBorders>
              <w:top w:val="nil"/>
              <w:left w:val="nil"/>
              <w:bottom w:val="single" w:sz="4" w:space="0" w:color="808080"/>
              <w:right w:val="nil"/>
            </w:tcBorders>
            <w:shd w:val="clear" w:color="auto" w:fill="auto"/>
            <w:noWrap/>
            <w:vAlign w:val="bottom"/>
            <w:hideMark/>
          </w:tcPr>
          <w:p w14:paraId="53CA3E35"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$625,140 </w:t>
            </w:r>
          </w:p>
        </w:tc>
        <w:tc>
          <w:tcPr>
            <w:tcW w:w="1620" w:type="dxa"/>
            <w:tcBorders>
              <w:top w:val="nil"/>
              <w:left w:val="nil"/>
              <w:bottom w:val="single" w:sz="4" w:space="0" w:color="808080"/>
              <w:right w:val="nil"/>
            </w:tcBorders>
            <w:shd w:val="clear" w:color="auto" w:fill="auto"/>
            <w:noWrap/>
            <w:vAlign w:val="bottom"/>
            <w:hideMark/>
          </w:tcPr>
          <w:p w14:paraId="10C15A50"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$534,980 </w:t>
            </w:r>
          </w:p>
        </w:tc>
      </w:tr>
      <w:tr w:rsidR="00E80EDB" w:rsidRPr="00D85134" w14:paraId="565A51EA" w14:textId="77777777" w:rsidTr="007C16AA">
        <w:trPr>
          <w:gridAfter w:val="2"/>
          <w:wAfter w:w="140" w:type="dxa"/>
          <w:trHeight w:val="300"/>
        </w:trPr>
        <w:tc>
          <w:tcPr>
            <w:tcW w:w="1530" w:type="dxa"/>
            <w:tcBorders>
              <w:top w:val="nil"/>
              <w:left w:val="nil"/>
              <w:bottom w:val="single" w:sz="4" w:space="0" w:color="808080"/>
              <w:right w:val="nil"/>
            </w:tcBorders>
            <w:shd w:val="clear" w:color="auto" w:fill="auto"/>
            <w:noWrap/>
            <w:vAlign w:val="bottom"/>
            <w:hideMark/>
          </w:tcPr>
          <w:p w14:paraId="2B38D145"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2007</w:t>
            </w:r>
          </w:p>
        </w:tc>
        <w:tc>
          <w:tcPr>
            <w:tcW w:w="1285" w:type="dxa"/>
            <w:tcBorders>
              <w:top w:val="nil"/>
              <w:left w:val="nil"/>
              <w:bottom w:val="single" w:sz="4" w:space="0" w:color="808080"/>
              <w:right w:val="nil"/>
            </w:tcBorders>
            <w:shd w:val="clear" w:color="auto" w:fill="auto"/>
            <w:noWrap/>
            <w:vAlign w:val="bottom"/>
            <w:hideMark/>
          </w:tcPr>
          <w:p w14:paraId="3DC11A02"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$935,536 </w:t>
            </w:r>
          </w:p>
        </w:tc>
        <w:tc>
          <w:tcPr>
            <w:tcW w:w="1595" w:type="dxa"/>
            <w:tcBorders>
              <w:top w:val="nil"/>
              <w:left w:val="nil"/>
              <w:bottom w:val="single" w:sz="4" w:space="0" w:color="808080"/>
              <w:right w:val="nil"/>
            </w:tcBorders>
            <w:shd w:val="clear" w:color="auto" w:fill="auto"/>
            <w:noWrap/>
            <w:vAlign w:val="bottom"/>
            <w:hideMark/>
          </w:tcPr>
          <w:p w14:paraId="340FA5AE"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$594,272 </w:t>
            </w:r>
          </w:p>
        </w:tc>
        <w:tc>
          <w:tcPr>
            <w:tcW w:w="1840" w:type="dxa"/>
            <w:gridSpan w:val="2"/>
            <w:tcBorders>
              <w:top w:val="nil"/>
              <w:left w:val="nil"/>
              <w:bottom w:val="single" w:sz="4" w:space="0" w:color="808080"/>
              <w:right w:val="nil"/>
            </w:tcBorders>
            <w:shd w:val="clear" w:color="auto" w:fill="auto"/>
            <w:noWrap/>
            <w:vAlign w:val="bottom"/>
            <w:hideMark/>
          </w:tcPr>
          <w:p w14:paraId="5753CDB7"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$600,432 </w:t>
            </w:r>
          </w:p>
        </w:tc>
        <w:tc>
          <w:tcPr>
            <w:tcW w:w="1620" w:type="dxa"/>
            <w:tcBorders>
              <w:top w:val="nil"/>
              <w:left w:val="nil"/>
              <w:bottom w:val="single" w:sz="4" w:space="0" w:color="808080"/>
              <w:right w:val="nil"/>
            </w:tcBorders>
            <w:shd w:val="clear" w:color="auto" w:fill="auto"/>
            <w:noWrap/>
            <w:vAlign w:val="bottom"/>
            <w:hideMark/>
          </w:tcPr>
          <w:p w14:paraId="4507C696"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$493,920 </w:t>
            </w:r>
          </w:p>
        </w:tc>
      </w:tr>
      <w:tr w:rsidR="00E80EDB" w:rsidRPr="00D85134" w14:paraId="238DB2AD" w14:textId="77777777" w:rsidTr="007C16AA">
        <w:trPr>
          <w:gridAfter w:val="2"/>
          <w:wAfter w:w="140" w:type="dxa"/>
          <w:trHeight w:val="300"/>
        </w:trPr>
        <w:tc>
          <w:tcPr>
            <w:tcW w:w="1530" w:type="dxa"/>
            <w:tcBorders>
              <w:top w:val="nil"/>
              <w:left w:val="nil"/>
              <w:bottom w:val="single" w:sz="4" w:space="0" w:color="808080"/>
              <w:right w:val="nil"/>
            </w:tcBorders>
            <w:shd w:val="clear" w:color="auto" w:fill="auto"/>
            <w:noWrap/>
            <w:vAlign w:val="bottom"/>
            <w:hideMark/>
          </w:tcPr>
          <w:p w14:paraId="62056DA6"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2008</w:t>
            </w:r>
          </w:p>
        </w:tc>
        <w:tc>
          <w:tcPr>
            <w:tcW w:w="1285" w:type="dxa"/>
            <w:tcBorders>
              <w:top w:val="nil"/>
              <w:left w:val="nil"/>
              <w:bottom w:val="single" w:sz="4" w:space="0" w:color="808080"/>
              <w:right w:val="nil"/>
            </w:tcBorders>
            <w:shd w:val="clear" w:color="auto" w:fill="auto"/>
            <w:noWrap/>
            <w:vAlign w:val="bottom"/>
            <w:hideMark/>
          </w:tcPr>
          <w:p w14:paraId="054C6BE0"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$865,512 </w:t>
            </w:r>
          </w:p>
        </w:tc>
        <w:tc>
          <w:tcPr>
            <w:tcW w:w="1595" w:type="dxa"/>
            <w:tcBorders>
              <w:top w:val="nil"/>
              <w:left w:val="nil"/>
              <w:bottom w:val="single" w:sz="4" w:space="0" w:color="808080"/>
              <w:right w:val="nil"/>
            </w:tcBorders>
            <w:shd w:val="clear" w:color="auto" w:fill="auto"/>
            <w:noWrap/>
            <w:vAlign w:val="bottom"/>
            <w:hideMark/>
          </w:tcPr>
          <w:p w14:paraId="5FD3196F"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$485,784 </w:t>
            </w:r>
          </w:p>
        </w:tc>
        <w:tc>
          <w:tcPr>
            <w:tcW w:w="1840" w:type="dxa"/>
            <w:gridSpan w:val="2"/>
            <w:tcBorders>
              <w:top w:val="nil"/>
              <w:left w:val="nil"/>
              <w:bottom w:val="single" w:sz="4" w:space="0" w:color="808080"/>
              <w:right w:val="nil"/>
            </w:tcBorders>
            <w:shd w:val="clear" w:color="auto" w:fill="auto"/>
            <w:noWrap/>
            <w:vAlign w:val="bottom"/>
            <w:hideMark/>
          </w:tcPr>
          <w:p w14:paraId="4083A5D8"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$554,364 </w:t>
            </w:r>
          </w:p>
        </w:tc>
        <w:tc>
          <w:tcPr>
            <w:tcW w:w="1620" w:type="dxa"/>
            <w:tcBorders>
              <w:top w:val="nil"/>
              <w:left w:val="nil"/>
              <w:bottom w:val="single" w:sz="4" w:space="0" w:color="808080"/>
              <w:right w:val="nil"/>
            </w:tcBorders>
            <w:shd w:val="clear" w:color="auto" w:fill="auto"/>
            <w:noWrap/>
            <w:vAlign w:val="bottom"/>
            <w:hideMark/>
          </w:tcPr>
          <w:p w14:paraId="157E263D"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$412,776 </w:t>
            </w:r>
          </w:p>
        </w:tc>
      </w:tr>
      <w:tr w:rsidR="00E80EDB" w:rsidRPr="00D85134" w14:paraId="5506400A" w14:textId="77777777" w:rsidTr="007C16AA">
        <w:trPr>
          <w:gridAfter w:val="2"/>
          <w:wAfter w:w="140" w:type="dxa"/>
          <w:trHeight w:val="300"/>
        </w:trPr>
        <w:tc>
          <w:tcPr>
            <w:tcW w:w="1530" w:type="dxa"/>
            <w:tcBorders>
              <w:top w:val="nil"/>
              <w:left w:val="nil"/>
              <w:bottom w:val="single" w:sz="4" w:space="0" w:color="808080"/>
              <w:right w:val="nil"/>
            </w:tcBorders>
            <w:shd w:val="clear" w:color="auto" w:fill="auto"/>
            <w:noWrap/>
            <w:vAlign w:val="bottom"/>
            <w:hideMark/>
          </w:tcPr>
          <w:p w14:paraId="0E0C5963"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2009</w:t>
            </w:r>
          </w:p>
        </w:tc>
        <w:tc>
          <w:tcPr>
            <w:tcW w:w="1285" w:type="dxa"/>
            <w:tcBorders>
              <w:top w:val="nil"/>
              <w:left w:val="nil"/>
              <w:bottom w:val="single" w:sz="4" w:space="0" w:color="808080"/>
              <w:right w:val="nil"/>
            </w:tcBorders>
            <w:shd w:val="clear" w:color="auto" w:fill="auto"/>
            <w:noWrap/>
            <w:vAlign w:val="bottom"/>
            <w:hideMark/>
          </w:tcPr>
          <w:p w14:paraId="0ACDE9D5"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$749,304 </w:t>
            </w:r>
          </w:p>
        </w:tc>
        <w:tc>
          <w:tcPr>
            <w:tcW w:w="1595" w:type="dxa"/>
            <w:tcBorders>
              <w:top w:val="nil"/>
              <w:left w:val="nil"/>
              <w:bottom w:val="single" w:sz="4" w:space="0" w:color="808080"/>
              <w:right w:val="nil"/>
            </w:tcBorders>
            <w:shd w:val="clear" w:color="auto" w:fill="auto"/>
            <w:noWrap/>
            <w:vAlign w:val="bottom"/>
            <w:hideMark/>
          </w:tcPr>
          <w:p w14:paraId="18905311"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$365,580 </w:t>
            </w:r>
          </w:p>
        </w:tc>
        <w:tc>
          <w:tcPr>
            <w:tcW w:w="1840" w:type="dxa"/>
            <w:gridSpan w:val="2"/>
            <w:tcBorders>
              <w:top w:val="nil"/>
              <w:left w:val="nil"/>
              <w:bottom w:val="single" w:sz="4" w:space="0" w:color="808080"/>
              <w:right w:val="nil"/>
            </w:tcBorders>
            <w:shd w:val="clear" w:color="auto" w:fill="auto"/>
            <w:noWrap/>
            <w:vAlign w:val="bottom"/>
            <w:hideMark/>
          </w:tcPr>
          <w:p w14:paraId="73CF7FF9"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$465,696 </w:t>
            </w:r>
          </w:p>
        </w:tc>
        <w:tc>
          <w:tcPr>
            <w:tcW w:w="1620" w:type="dxa"/>
            <w:tcBorders>
              <w:top w:val="nil"/>
              <w:left w:val="nil"/>
              <w:bottom w:val="single" w:sz="4" w:space="0" w:color="808080"/>
              <w:right w:val="nil"/>
            </w:tcBorders>
            <w:shd w:val="clear" w:color="auto" w:fill="auto"/>
            <w:noWrap/>
            <w:vAlign w:val="bottom"/>
            <w:hideMark/>
          </w:tcPr>
          <w:p w14:paraId="7A6D7AA0"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$337,716 </w:t>
            </w:r>
          </w:p>
        </w:tc>
      </w:tr>
      <w:tr w:rsidR="00E80EDB" w:rsidRPr="00D85134" w14:paraId="24CC8682" w14:textId="77777777" w:rsidTr="007C16AA">
        <w:trPr>
          <w:gridAfter w:val="2"/>
          <w:wAfter w:w="140" w:type="dxa"/>
          <w:trHeight w:val="300"/>
        </w:trPr>
        <w:tc>
          <w:tcPr>
            <w:tcW w:w="1530" w:type="dxa"/>
            <w:tcBorders>
              <w:top w:val="nil"/>
              <w:left w:val="nil"/>
              <w:bottom w:val="single" w:sz="4" w:space="0" w:color="808080"/>
              <w:right w:val="nil"/>
            </w:tcBorders>
            <w:shd w:val="clear" w:color="auto" w:fill="auto"/>
            <w:noWrap/>
            <w:vAlign w:val="bottom"/>
            <w:hideMark/>
          </w:tcPr>
          <w:p w14:paraId="6BD39978"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2010</w:t>
            </w:r>
          </w:p>
        </w:tc>
        <w:tc>
          <w:tcPr>
            <w:tcW w:w="1285" w:type="dxa"/>
            <w:tcBorders>
              <w:top w:val="nil"/>
              <w:left w:val="nil"/>
              <w:bottom w:val="single" w:sz="4" w:space="0" w:color="808080"/>
              <w:right w:val="nil"/>
            </w:tcBorders>
            <w:shd w:val="clear" w:color="auto" w:fill="auto"/>
            <w:noWrap/>
            <w:vAlign w:val="bottom"/>
            <w:hideMark/>
          </w:tcPr>
          <w:p w14:paraId="2FB388A1"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$762,910 </w:t>
            </w:r>
          </w:p>
        </w:tc>
        <w:tc>
          <w:tcPr>
            <w:tcW w:w="1595" w:type="dxa"/>
            <w:tcBorders>
              <w:top w:val="nil"/>
              <w:left w:val="nil"/>
              <w:bottom w:val="single" w:sz="4" w:space="0" w:color="808080"/>
              <w:right w:val="nil"/>
            </w:tcBorders>
            <w:shd w:val="clear" w:color="auto" w:fill="auto"/>
            <w:noWrap/>
            <w:vAlign w:val="bottom"/>
            <w:hideMark/>
          </w:tcPr>
          <w:p w14:paraId="158D6208"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$359,948 </w:t>
            </w:r>
          </w:p>
        </w:tc>
        <w:tc>
          <w:tcPr>
            <w:tcW w:w="1840" w:type="dxa"/>
            <w:gridSpan w:val="2"/>
            <w:tcBorders>
              <w:top w:val="nil"/>
              <w:left w:val="nil"/>
              <w:bottom w:val="single" w:sz="4" w:space="0" w:color="808080"/>
              <w:right w:val="nil"/>
            </w:tcBorders>
            <w:shd w:val="clear" w:color="auto" w:fill="auto"/>
            <w:noWrap/>
            <w:vAlign w:val="bottom"/>
            <w:hideMark/>
          </w:tcPr>
          <w:p w14:paraId="6BF682B4"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$449,507 </w:t>
            </w:r>
          </w:p>
        </w:tc>
        <w:tc>
          <w:tcPr>
            <w:tcW w:w="1620" w:type="dxa"/>
            <w:tcBorders>
              <w:top w:val="nil"/>
              <w:left w:val="nil"/>
              <w:bottom w:val="single" w:sz="4" w:space="0" w:color="808080"/>
              <w:right w:val="nil"/>
            </w:tcBorders>
            <w:shd w:val="clear" w:color="auto" w:fill="auto"/>
            <w:noWrap/>
            <w:vAlign w:val="bottom"/>
            <w:hideMark/>
          </w:tcPr>
          <w:p w14:paraId="6B011D43"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$333,733 </w:t>
            </w:r>
          </w:p>
        </w:tc>
      </w:tr>
      <w:tr w:rsidR="00E80EDB" w:rsidRPr="00D85134" w14:paraId="073108DB" w14:textId="77777777" w:rsidTr="007C16AA">
        <w:trPr>
          <w:gridAfter w:val="2"/>
          <w:wAfter w:w="140" w:type="dxa"/>
          <w:trHeight w:val="300"/>
        </w:trPr>
        <w:tc>
          <w:tcPr>
            <w:tcW w:w="1530" w:type="dxa"/>
            <w:tcBorders>
              <w:top w:val="nil"/>
              <w:left w:val="nil"/>
              <w:bottom w:val="single" w:sz="4" w:space="0" w:color="808080"/>
              <w:right w:val="nil"/>
            </w:tcBorders>
            <w:shd w:val="clear" w:color="auto" w:fill="auto"/>
            <w:noWrap/>
            <w:vAlign w:val="bottom"/>
            <w:hideMark/>
          </w:tcPr>
          <w:p w14:paraId="5550E3BF"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2011</w:t>
            </w:r>
          </w:p>
        </w:tc>
        <w:tc>
          <w:tcPr>
            <w:tcW w:w="1285" w:type="dxa"/>
            <w:tcBorders>
              <w:top w:val="nil"/>
              <w:left w:val="nil"/>
              <w:bottom w:val="single" w:sz="4" w:space="0" w:color="808080"/>
              <w:right w:val="nil"/>
            </w:tcBorders>
            <w:shd w:val="clear" w:color="auto" w:fill="auto"/>
            <w:noWrap/>
            <w:vAlign w:val="bottom"/>
            <w:hideMark/>
          </w:tcPr>
          <w:p w14:paraId="1B3DEAE9"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$691,439 </w:t>
            </w:r>
          </w:p>
        </w:tc>
        <w:tc>
          <w:tcPr>
            <w:tcW w:w="1595" w:type="dxa"/>
            <w:tcBorders>
              <w:top w:val="nil"/>
              <w:left w:val="nil"/>
              <w:bottom w:val="single" w:sz="4" w:space="0" w:color="808080"/>
              <w:right w:val="nil"/>
            </w:tcBorders>
            <w:shd w:val="clear" w:color="auto" w:fill="auto"/>
            <w:noWrap/>
            <w:vAlign w:val="bottom"/>
            <w:hideMark/>
          </w:tcPr>
          <w:p w14:paraId="31699BED"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$330,527 </w:t>
            </w:r>
          </w:p>
        </w:tc>
        <w:tc>
          <w:tcPr>
            <w:tcW w:w="1840" w:type="dxa"/>
            <w:gridSpan w:val="2"/>
            <w:tcBorders>
              <w:top w:val="nil"/>
              <w:left w:val="nil"/>
              <w:bottom w:val="single" w:sz="4" w:space="0" w:color="808080"/>
              <w:right w:val="nil"/>
            </w:tcBorders>
            <w:shd w:val="clear" w:color="auto" w:fill="auto"/>
            <w:noWrap/>
            <w:vAlign w:val="bottom"/>
            <w:hideMark/>
          </w:tcPr>
          <w:p w14:paraId="3B8F9E2D"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$390,576 </w:t>
            </w:r>
          </w:p>
        </w:tc>
        <w:tc>
          <w:tcPr>
            <w:tcW w:w="1620" w:type="dxa"/>
            <w:tcBorders>
              <w:top w:val="nil"/>
              <w:left w:val="nil"/>
              <w:bottom w:val="single" w:sz="4" w:space="0" w:color="808080"/>
              <w:right w:val="nil"/>
            </w:tcBorders>
            <w:shd w:val="clear" w:color="auto" w:fill="auto"/>
            <w:noWrap/>
            <w:vAlign w:val="bottom"/>
            <w:hideMark/>
          </w:tcPr>
          <w:p w14:paraId="0FB3FE57"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$300,142 </w:t>
            </w:r>
          </w:p>
        </w:tc>
      </w:tr>
      <w:tr w:rsidR="00E80EDB" w:rsidRPr="00D85134" w14:paraId="13DCD199" w14:textId="77777777" w:rsidTr="007C16AA">
        <w:trPr>
          <w:gridAfter w:val="2"/>
          <w:wAfter w:w="140" w:type="dxa"/>
          <w:trHeight w:val="300"/>
        </w:trPr>
        <w:tc>
          <w:tcPr>
            <w:tcW w:w="1530" w:type="dxa"/>
            <w:tcBorders>
              <w:top w:val="nil"/>
              <w:left w:val="nil"/>
              <w:bottom w:val="single" w:sz="4" w:space="0" w:color="auto"/>
              <w:right w:val="nil"/>
            </w:tcBorders>
            <w:shd w:val="clear" w:color="auto" w:fill="auto"/>
            <w:noWrap/>
            <w:vAlign w:val="bottom"/>
            <w:hideMark/>
          </w:tcPr>
          <w:p w14:paraId="7F2D6457" w14:textId="77777777" w:rsidR="00E80EDB" w:rsidRPr="00D85134" w:rsidRDefault="00E80EDB" w:rsidP="007C16AA">
            <w:pPr>
              <w:rPr>
                <w:rFonts w:eastAsia="Times New Roman" w:cs="Times New Roman"/>
                <w:color w:val="000000"/>
                <w:sz w:val="18"/>
                <w:szCs w:val="18"/>
              </w:rPr>
            </w:pPr>
            <w:r w:rsidRPr="00D85134">
              <w:rPr>
                <w:rFonts w:eastAsia="Times New Roman" w:cs="Times New Roman"/>
                <w:color w:val="000000"/>
                <w:sz w:val="18"/>
                <w:szCs w:val="18"/>
              </w:rPr>
              <w:t>2012</w:t>
            </w:r>
          </w:p>
        </w:tc>
        <w:tc>
          <w:tcPr>
            <w:tcW w:w="1285" w:type="dxa"/>
            <w:tcBorders>
              <w:top w:val="nil"/>
              <w:left w:val="nil"/>
              <w:bottom w:val="single" w:sz="4" w:space="0" w:color="auto"/>
              <w:right w:val="nil"/>
            </w:tcBorders>
            <w:shd w:val="clear" w:color="auto" w:fill="auto"/>
            <w:noWrap/>
            <w:vAlign w:val="bottom"/>
            <w:hideMark/>
          </w:tcPr>
          <w:p w14:paraId="0B6F52F2"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$660,944 </w:t>
            </w:r>
          </w:p>
        </w:tc>
        <w:tc>
          <w:tcPr>
            <w:tcW w:w="1595" w:type="dxa"/>
            <w:tcBorders>
              <w:top w:val="nil"/>
              <w:left w:val="nil"/>
              <w:bottom w:val="single" w:sz="4" w:space="0" w:color="auto"/>
              <w:right w:val="nil"/>
            </w:tcBorders>
            <w:shd w:val="clear" w:color="auto" w:fill="auto"/>
            <w:noWrap/>
            <w:vAlign w:val="bottom"/>
            <w:hideMark/>
          </w:tcPr>
          <w:p w14:paraId="48CDD2C6"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$305,727 </w:t>
            </w:r>
          </w:p>
        </w:tc>
        <w:tc>
          <w:tcPr>
            <w:tcW w:w="1840" w:type="dxa"/>
            <w:gridSpan w:val="2"/>
            <w:tcBorders>
              <w:top w:val="nil"/>
              <w:left w:val="nil"/>
              <w:bottom w:val="single" w:sz="4" w:space="0" w:color="auto"/>
              <w:right w:val="nil"/>
            </w:tcBorders>
            <w:shd w:val="clear" w:color="auto" w:fill="auto"/>
            <w:noWrap/>
            <w:vAlign w:val="bottom"/>
            <w:hideMark/>
          </w:tcPr>
          <w:p w14:paraId="1B1BCD00"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$360,065 </w:t>
            </w:r>
          </w:p>
        </w:tc>
        <w:tc>
          <w:tcPr>
            <w:tcW w:w="1620" w:type="dxa"/>
            <w:tcBorders>
              <w:top w:val="nil"/>
              <w:left w:val="nil"/>
              <w:bottom w:val="single" w:sz="4" w:space="0" w:color="auto"/>
              <w:right w:val="nil"/>
            </w:tcBorders>
            <w:shd w:val="clear" w:color="auto" w:fill="auto"/>
            <w:noWrap/>
            <w:vAlign w:val="bottom"/>
            <w:hideMark/>
          </w:tcPr>
          <w:p w14:paraId="14942F07" w14:textId="77777777" w:rsidR="00E80EDB" w:rsidRPr="00D85134" w:rsidRDefault="00E80EDB" w:rsidP="007C16AA">
            <w:pPr>
              <w:jc w:val="right"/>
              <w:rPr>
                <w:rFonts w:eastAsia="Times New Roman" w:cs="Times New Roman"/>
                <w:color w:val="000000"/>
                <w:sz w:val="18"/>
                <w:szCs w:val="18"/>
              </w:rPr>
            </w:pPr>
            <w:r w:rsidRPr="00D85134">
              <w:rPr>
                <w:rFonts w:eastAsia="Times New Roman" w:cs="Times New Roman"/>
                <w:color w:val="000000"/>
                <w:sz w:val="18"/>
                <w:szCs w:val="18"/>
              </w:rPr>
              <w:t xml:space="preserve">$271,185 </w:t>
            </w:r>
          </w:p>
        </w:tc>
      </w:tr>
      <w:tr w:rsidR="00E80EDB" w:rsidRPr="007D004C" w14:paraId="02E670CE" w14:textId="77777777" w:rsidTr="007C16AA">
        <w:trPr>
          <w:gridAfter w:val="2"/>
          <w:wAfter w:w="140" w:type="dxa"/>
          <w:trHeight w:val="300"/>
        </w:trPr>
        <w:tc>
          <w:tcPr>
            <w:tcW w:w="1530" w:type="dxa"/>
            <w:tcBorders>
              <w:top w:val="nil"/>
              <w:left w:val="nil"/>
              <w:bottom w:val="single" w:sz="4" w:space="0" w:color="auto"/>
              <w:right w:val="nil"/>
            </w:tcBorders>
            <w:shd w:val="clear" w:color="auto" w:fill="auto"/>
            <w:noWrap/>
            <w:vAlign w:val="bottom"/>
            <w:hideMark/>
          </w:tcPr>
          <w:p w14:paraId="19619AF3" w14:textId="3C3FF6C1" w:rsidR="00E80EDB" w:rsidRPr="007D004C" w:rsidRDefault="007866AE" w:rsidP="007C16AA">
            <w:pPr>
              <w:rPr>
                <w:rFonts w:eastAsia="Times New Roman" w:cs="Times New Roman"/>
                <w:b/>
                <w:color w:val="000000"/>
                <w:sz w:val="18"/>
                <w:szCs w:val="18"/>
              </w:rPr>
            </w:pPr>
            <w:r>
              <w:rPr>
                <w:rFonts w:eastAsia="Times New Roman" w:cs="Times New Roman"/>
                <w:b/>
                <w:color w:val="000000"/>
                <w:sz w:val="18"/>
                <w:szCs w:val="18"/>
              </w:rPr>
              <w:t>7</w:t>
            </w:r>
            <w:r w:rsidR="00E80EDB" w:rsidRPr="007D004C">
              <w:rPr>
                <w:rFonts w:eastAsia="Times New Roman" w:cs="Times New Roman"/>
                <w:b/>
                <w:color w:val="000000"/>
                <w:sz w:val="18"/>
                <w:szCs w:val="18"/>
              </w:rPr>
              <w:t>-YearChange</w:t>
            </w:r>
          </w:p>
        </w:tc>
        <w:tc>
          <w:tcPr>
            <w:tcW w:w="1285" w:type="dxa"/>
            <w:tcBorders>
              <w:top w:val="nil"/>
              <w:left w:val="nil"/>
              <w:bottom w:val="single" w:sz="4" w:space="0" w:color="auto"/>
              <w:right w:val="nil"/>
            </w:tcBorders>
            <w:shd w:val="clear" w:color="auto" w:fill="auto"/>
            <w:noWrap/>
            <w:vAlign w:val="center"/>
            <w:hideMark/>
          </w:tcPr>
          <w:p w14:paraId="508210E0" w14:textId="77777777" w:rsidR="00E80EDB" w:rsidRPr="007D004C" w:rsidRDefault="00E80EDB" w:rsidP="007C16AA">
            <w:pPr>
              <w:jc w:val="right"/>
              <w:rPr>
                <w:rFonts w:eastAsia="Times New Roman" w:cs="Times New Roman"/>
                <w:b/>
                <w:sz w:val="18"/>
                <w:szCs w:val="18"/>
              </w:rPr>
            </w:pPr>
            <w:r w:rsidRPr="007D004C">
              <w:rPr>
                <w:rFonts w:eastAsia="Times New Roman" w:cs="Times New Roman"/>
                <w:b/>
                <w:sz w:val="18"/>
                <w:szCs w:val="18"/>
              </w:rPr>
              <w:t>-$278,204</w:t>
            </w:r>
          </w:p>
        </w:tc>
        <w:tc>
          <w:tcPr>
            <w:tcW w:w="1595" w:type="dxa"/>
            <w:tcBorders>
              <w:top w:val="nil"/>
              <w:left w:val="nil"/>
              <w:bottom w:val="single" w:sz="4" w:space="0" w:color="auto"/>
              <w:right w:val="nil"/>
            </w:tcBorders>
            <w:shd w:val="clear" w:color="auto" w:fill="auto"/>
            <w:noWrap/>
            <w:vAlign w:val="center"/>
            <w:hideMark/>
          </w:tcPr>
          <w:p w14:paraId="28CE4ED9" w14:textId="77777777" w:rsidR="00E80EDB" w:rsidRPr="007D004C" w:rsidRDefault="00E80EDB" w:rsidP="007C16AA">
            <w:pPr>
              <w:jc w:val="right"/>
              <w:rPr>
                <w:rFonts w:eastAsia="Times New Roman" w:cs="Times New Roman"/>
                <w:b/>
                <w:sz w:val="18"/>
                <w:szCs w:val="18"/>
              </w:rPr>
            </w:pPr>
            <w:r w:rsidRPr="007D004C">
              <w:rPr>
                <w:rFonts w:eastAsia="Times New Roman" w:cs="Times New Roman"/>
                <w:b/>
                <w:sz w:val="18"/>
                <w:szCs w:val="18"/>
              </w:rPr>
              <w:t>-$270,709</w:t>
            </w:r>
          </w:p>
        </w:tc>
        <w:tc>
          <w:tcPr>
            <w:tcW w:w="1840" w:type="dxa"/>
            <w:gridSpan w:val="2"/>
            <w:tcBorders>
              <w:top w:val="nil"/>
              <w:left w:val="nil"/>
              <w:bottom w:val="single" w:sz="4" w:space="0" w:color="auto"/>
              <w:right w:val="nil"/>
            </w:tcBorders>
            <w:shd w:val="clear" w:color="auto" w:fill="auto"/>
            <w:noWrap/>
            <w:vAlign w:val="center"/>
            <w:hideMark/>
          </w:tcPr>
          <w:p w14:paraId="0DB39CC6" w14:textId="77777777" w:rsidR="00E80EDB" w:rsidRPr="007D004C" w:rsidRDefault="00E80EDB" w:rsidP="007C16AA">
            <w:pPr>
              <w:jc w:val="right"/>
              <w:rPr>
                <w:rFonts w:eastAsia="Times New Roman" w:cs="Times New Roman"/>
                <w:b/>
                <w:sz w:val="18"/>
                <w:szCs w:val="18"/>
              </w:rPr>
            </w:pPr>
            <w:r w:rsidRPr="007D004C">
              <w:rPr>
                <w:rFonts w:eastAsia="Times New Roman" w:cs="Times New Roman"/>
                <w:b/>
                <w:sz w:val="18"/>
                <w:szCs w:val="18"/>
              </w:rPr>
              <w:t>-$226,367</w:t>
            </w:r>
          </w:p>
        </w:tc>
        <w:tc>
          <w:tcPr>
            <w:tcW w:w="1620" w:type="dxa"/>
            <w:tcBorders>
              <w:top w:val="nil"/>
              <w:left w:val="nil"/>
              <w:bottom w:val="single" w:sz="4" w:space="0" w:color="auto"/>
              <w:right w:val="nil"/>
            </w:tcBorders>
            <w:shd w:val="clear" w:color="auto" w:fill="auto"/>
            <w:noWrap/>
            <w:vAlign w:val="center"/>
            <w:hideMark/>
          </w:tcPr>
          <w:p w14:paraId="3E920569" w14:textId="77777777" w:rsidR="00E80EDB" w:rsidRPr="007D004C" w:rsidRDefault="00E80EDB" w:rsidP="007C16AA">
            <w:pPr>
              <w:jc w:val="right"/>
              <w:rPr>
                <w:rFonts w:eastAsia="Times New Roman" w:cs="Times New Roman"/>
                <w:b/>
                <w:sz w:val="18"/>
                <w:szCs w:val="18"/>
              </w:rPr>
            </w:pPr>
            <w:r w:rsidRPr="007D004C">
              <w:rPr>
                <w:rFonts w:eastAsia="Times New Roman" w:cs="Times New Roman"/>
                <w:b/>
                <w:sz w:val="18"/>
                <w:szCs w:val="18"/>
              </w:rPr>
              <w:t>-$227,663</w:t>
            </w:r>
          </w:p>
        </w:tc>
      </w:tr>
      <w:tr w:rsidR="00E80EDB" w:rsidRPr="007D004C" w14:paraId="690E5956" w14:textId="77777777" w:rsidTr="007C16AA">
        <w:trPr>
          <w:gridAfter w:val="2"/>
          <w:wAfter w:w="140" w:type="dxa"/>
          <w:trHeight w:val="300"/>
        </w:trPr>
        <w:tc>
          <w:tcPr>
            <w:tcW w:w="1530" w:type="dxa"/>
            <w:tcBorders>
              <w:top w:val="nil"/>
              <w:left w:val="nil"/>
              <w:bottom w:val="single" w:sz="4" w:space="0" w:color="auto"/>
              <w:right w:val="nil"/>
            </w:tcBorders>
            <w:shd w:val="clear" w:color="auto" w:fill="auto"/>
            <w:noWrap/>
            <w:vAlign w:val="bottom"/>
            <w:hideMark/>
          </w:tcPr>
          <w:p w14:paraId="5D823247" w14:textId="3AA65984" w:rsidR="00E80EDB" w:rsidRPr="007D004C" w:rsidRDefault="007866AE" w:rsidP="007C16AA">
            <w:pPr>
              <w:spacing w:line="240" w:lineRule="auto"/>
              <w:rPr>
                <w:rFonts w:eastAsia="Times New Roman" w:cs="Times New Roman"/>
                <w:b/>
                <w:color w:val="000000"/>
                <w:sz w:val="18"/>
                <w:szCs w:val="18"/>
              </w:rPr>
            </w:pPr>
            <w:r>
              <w:rPr>
                <w:rFonts w:eastAsia="Times New Roman" w:cs="Times New Roman"/>
                <w:b/>
                <w:color w:val="000000"/>
                <w:sz w:val="18"/>
                <w:szCs w:val="18"/>
              </w:rPr>
              <w:t>7</w:t>
            </w:r>
            <w:r w:rsidR="00E80EDB" w:rsidRPr="007D004C">
              <w:rPr>
                <w:rFonts w:eastAsia="Times New Roman" w:cs="Times New Roman"/>
                <w:b/>
                <w:color w:val="000000"/>
                <w:sz w:val="18"/>
                <w:szCs w:val="18"/>
              </w:rPr>
              <w:t>-Year Percent Change</w:t>
            </w:r>
          </w:p>
        </w:tc>
        <w:tc>
          <w:tcPr>
            <w:tcW w:w="1285" w:type="dxa"/>
            <w:tcBorders>
              <w:top w:val="nil"/>
              <w:left w:val="nil"/>
              <w:bottom w:val="single" w:sz="4" w:space="0" w:color="auto"/>
              <w:right w:val="nil"/>
            </w:tcBorders>
            <w:shd w:val="clear" w:color="auto" w:fill="auto"/>
            <w:noWrap/>
            <w:vAlign w:val="center"/>
            <w:hideMark/>
          </w:tcPr>
          <w:p w14:paraId="66CFA469" w14:textId="77777777" w:rsidR="00E80EDB" w:rsidRPr="007D004C" w:rsidRDefault="00E80EDB" w:rsidP="007C16AA">
            <w:pPr>
              <w:spacing w:line="240" w:lineRule="auto"/>
              <w:jc w:val="right"/>
              <w:rPr>
                <w:rFonts w:eastAsia="Times New Roman" w:cs="Times New Roman"/>
                <w:b/>
                <w:color w:val="000000"/>
                <w:sz w:val="18"/>
                <w:szCs w:val="18"/>
              </w:rPr>
            </w:pPr>
            <w:r w:rsidRPr="007D004C">
              <w:rPr>
                <w:rFonts w:eastAsia="Times New Roman" w:cs="Times New Roman"/>
                <w:b/>
                <w:color w:val="000000"/>
                <w:sz w:val="18"/>
                <w:szCs w:val="18"/>
              </w:rPr>
              <w:t>-29.6%</w:t>
            </w:r>
          </w:p>
        </w:tc>
        <w:tc>
          <w:tcPr>
            <w:tcW w:w="1595" w:type="dxa"/>
            <w:tcBorders>
              <w:top w:val="nil"/>
              <w:left w:val="nil"/>
              <w:bottom w:val="single" w:sz="4" w:space="0" w:color="auto"/>
              <w:right w:val="nil"/>
            </w:tcBorders>
            <w:shd w:val="clear" w:color="auto" w:fill="auto"/>
            <w:noWrap/>
            <w:vAlign w:val="center"/>
            <w:hideMark/>
          </w:tcPr>
          <w:p w14:paraId="46E34016" w14:textId="77777777" w:rsidR="00E80EDB" w:rsidRPr="007D004C" w:rsidRDefault="00E80EDB" w:rsidP="007C16AA">
            <w:pPr>
              <w:spacing w:line="240" w:lineRule="auto"/>
              <w:jc w:val="right"/>
              <w:rPr>
                <w:rFonts w:eastAsia="Times New Roman" w:cs="Times New Roman"/>
                <w:b/>
                <w:color w:val="000000"/>
                <w:sz w:val="18"/>
                <w:szCs w:val="18"/>
              </w:rPr>
            </w:pPr>
            <w:r w:rsidRPr="007D004C">
              <w:rPr>
                <w:rFonts w:eastAsia="Times New Roman" w:cs="Times New Roman"/>
                <w:b/>
                <w:color w:val="000000"/>
                <w:sz w:val="18"/>
                <w:szCs w:val="18"/>
              </w:rPr>
              <w:t>-47.0%</w:t>
            </w:r>
          </w:p>
        </w:tc>
        <w:tc>
          <w:tcPr>
            <w:tcW w:w="1840" w:type="dxa"/>
            <w:gridSpan w:val="2"/>
            <w:tcBorders>
              <w:top w:val="nil"/>
              <w:left w:val="nil"/>
              <w:bottom w:val="single" w:sz="4" w:space="0" w:color="auto"/>
              <w:right w:val="nil"/>
            </w:tcBorders>
            <w:shd w:val="clear" w:color="auto" w:fill="auto"/>
            <w:noWrap/>
            <w:vAlign w:val="center"/>
            <w:hideMark/>
          </w:tcPr>
          <w:p w14:paraId="171E7412" w14:textId="77777777" w:rsidR="00E80EDB" w:rsidRPr="007D004C" w:rsidRDefault="00E80EDB" w:rsidP="007C16AA">
            <w:pPr>
              <w:spacing w:line="240" w:lineRule="auto"/>
              <w:jc w:val="right"/>
              <w:rPr>
                <w:rFonts w:eastAsia="Times New Roman" w:cs="Times New Roman"/>
                <w:b/>
                <w:color w:val="000000"/>
                <w:sz w:val="18"/>
                <w:szCs w:val="18"/>
              </w:rPr>
            </w:pPr>
            <w:r w:rsidRPr="007D004C">
              <w:rPr>
                <w:rFonts w:eastAsia="Times New Roman" w:cs="Times New Roman"/>
                <w:b/>
                <w:color w:val="000000"/>
                <w:sz w:val="18"/>
                <w:szCs w:val="18"/>
              </w:rPr>
              <w:t>-38.6%</w:t>
            </w:r>
          </w:p>
        </w:tc>
        <w:tc>
          <w:tcPr>
            <w:tcW w:w="1620" w:type="dxa"/>
            <w:tcBorders>
              <w:top w:val="nil"/>
              <w:left w:val="nil"/>
              <w:bottom w:val="single" w:sz="4" w:space="0" w:color="auto"/>
              <w:right w:val="nil"/>
            </w:tcBorders>
            <w:shd w:val="clear" w:color="auto" w:fill="auto"/>
            <w:noWrap/>
            <w:vAlign w:val="center"/>
            <w:hideMark/>
          </w:tcPr>
          <w:p w14:paraId="0657957C" w14:textId="77777777" w:rsidR="00E80EDB" w:rsidRPr="007D004C" w:rsidRDefault="00E80EDB" w:rsidP="007C16AA">
            <w:pPr>
              <w:spacing w:line="240" w:lineRule="auto"/>
              <w:jc w:val="right"/>
              <w:rPr>
                <w:rFonts w:eastAsia="Times New Roman" w:cs="Times New Roman"/>
                <w:b/>
                <w:color w:val="000000"/>
                <w:sz w:val="18"/>
                <w:szCs w:val="18"/>
              </w:rPr>
            </w:pPr>
            <w:r w:rsidRPr="007D004C">
              <w:rPr>
                <w:rFonts w:eastAsia="Times New Roman" w:cs="Times New Roman"/>
                <w:b/>
                <w:color w:val="000000"/>
                <w:sz w:val="18"/>
                <w:szCs w:val="18"/>
              </w:rPr>
              <w:t>-45.6%</w:t>
            </w:r>
          </w:p>
        </w:tc>
      </w:tr>
      <w:tr w:rsidR="00E80EDB" w:rsidRPr="00B51BDA" w14:paraId="1EF44F6C" w14:textId="77777777" w:rsidTr="007C16AA">
        <w:trPr>
          <w:trHeight w:val="300"/>
        </w:trPr>
        <w:tc>
          <w:tcPr>
            <w:tcW w:w="8010" w:type="dxa"/>
            <w:gridSpan w:val="8"/>
            <w:tcBorders>
              <w:top w:val="single" w:sz="4" w:space="0" w:color="auto"/>
              <w:left w:val="nil"/>
              <w:bottom w:val="nil"/>
              <w:right w:val="nil"/>
            </w:tcBorders>
            <w:shd w:val="clear" w:color="auto" w:fill="auto"/>
            <w:noWrap/>
            <w:vAlign w:val="bottom"/>
            <w:hideMark/>
          </w:tcPr>
          <w:p w14:paraId="66862749" w14:textId="77777777" w:rsidR="00E80EDB" w:rsidRPr="00B51BDA" w:rsidRDefault="00E80EDB" w:rsidP="007C16AA">
            <w:pPr>
              <w:spacing w:line="240" w:lineRule="auto"/>
              <w:rPr>
                <w:rFonts w:eastAsia="Times New Roman" w:cs="Times New Roman"/>
                <w:iCs/>
                <w:color w:val="000000"/>
                <w:sz w:val="10"/>
                <w:szCs w:val="18"/>
              </w:rPr>
            </w:pPr>
          </w:p>
          <w:p w14:paraId="439DFCB4" w14:textId="77777777" w:rsidR="00E80EDB" w:rsidRPr="00B51BDA" w:rsidRDefault="00E80EDB" w:rsidP="007C16AA">
            <w:pPr>
              <w:spacing w:line="240" w:lineRule="auto"/>
              <w:rPr>
                <w:rFonts w:eastAsia="Times New Roman" w:cs="Times New Roman"/>
                <w:iCs/>
                <w:color w:val="000000"/>
                <w:sz w:val="18"/>
                <w:szCs w:val="18"/>
              </w:rPr>
            </w:pPr>
            <w:r w:rsidRPr="00B51BDA">
              <w:rPr>
                <w:rFonts w:eastAsia="Times New Roman" w:cs="Times New Roman"/>
                <w:iCs/>
                <w:color w:val="000000"/>
                <w:sz w:val="18"/>
                <w:szCs w:val="18"/>
              </w:rPr>
              <w:t>Source: San Mateo County Association of Realtors, based on actual sales of each year; State based on Zillow/MLS</w:t>
            </w:r>
            <w:r>
              <w:rPr>
                <w:rFonts w:eastAsia="Times New Roman" w:cs="Times New Roman"/>
                <w:iCs/>
                <w:color w:val="000000"/>
                <w:sz w:val="18"/>
                <w:szCs w:val="18"/>
              </w:rPr>
              <w:t xml:space="preserve"> (a</w:t>
            </w:r>
            <w:r w:rsidRPr="00B51BDA">
              <w:rPr>
                <w:rFonts w:eastAsia="Times New Roman" w:cs="Times New Roman"/>
                <w:iCs/>
                <w:color w:val="000000"/>
                <w:sz w:val="18"/>
                <w:szCs w:val="18"/>
              </w:rPr>
              <w:t>djusted for inflation to 2013 dollars</w:t>
            </w:r>
            <w:r>
              <w:rPr>
                <w:rFonts w:eastAsia="Times New Roman" w:cs="Times New Roman"/>
                <w:iCs/>
                <w:color w:val="000000"/>
                <w:sz w:val="18"/>
                <w:szCs w:val="18"/>
              </w:rPr>
              <w:t>)</w:t>
            </w:r>
          </w:p>
        </w:tc>
      </w:tr>
    </w:tbl>
    <w:p w14:paraId="1D97A765" w14:textId="77777777" w:rsidR="00E80EDB" w:rsidRDefault="00E80EDB" w:rsidP="00E80EDB">
      <w:pPr>
        <w:pStyle w:val="heading10"/>
        <w:rPr>
          <w:color w:val="0B5095"/>
        </w:rPr>
      </w:pPr>
    </w:p>
    <w:p w14:paraId="54E47458" w14:textId="18DEF1C4" w:rsidR="00D25635" w:rsidRPr="006C4E74" w:rsidRDefault="00D25635" w:rsidP="00067077">
      <w:pPr>
        <w:pStyle w:val="heading10"/>
        <w:rPr>
          <w:color w:val="0B5095"/>
        </w:rPr>
      </w:pPr>
      <w:r w:rsidRPr="006C4E74">
        <w:rPr>
          <w:color w:val="0B5095"/>
        </w:rPr>
        <w:t>Overpayment</w:t>
      </w:r>
      <w:r w:rsidR="00812AE9">
        <w:rPr>
          <w:color w:val="0B5095"/>
        </w:rPr>
        <w:t xml:space="preserve"> for Housing</w:t>
      </w:r>
      <w:r w:rsidRPr="006C4E74">
        <w:rPr>
          <w:color w:val="0B5095"/>
        </w:rPr>
        <w:t xml:space="preserve"> </w:t>
      </w:r>
    </w:p>
    <w:p w14:paraId="346F7D38" w14:textId="21F279BE" w:rsidR="003B1324" w:rsidRDefault="003B1324" w:rsidP="003B1324">
      <w:r>
        <w:t xml:space="preserve">Using the 30 percent of income threshold, a significant number of households are overpaying for housing in </w:t>
      </w:r>
      <w:r w:rsidR="00853231">
        <w:t>Hillsborough</w:t>
      </w:r>
      <w:r>
        <w:t xml:space="preserve">. However, there is a smaller number of lower income households in </w:t>
      </w:r>
      <w:r w:rsidR="00853231">
        <w:t>Hillsborough</w:t>
      </w:r>
      <w:r>
        <w:t xml:space="preserve"> who are overpaying for owner-occupied homes than elsewhere in the county. </w:t>
      </w:r>
    </w:p>
    <w:p w14:paraId="20D3DE23" w14:textId="77777777" w:rsidR="003C454C" w:rsidRDefault="003C454C" w:rsidP="003B1324"/>
    <w:p w14:paraId="1AF8C943" w14:textId="20F03D05" w:rsidR="003B1324" w:rsidRDefault="003C454C" w:rsidP="003B1324">
      <w:r w:rsidRPr="00256487">
        <w:t>A household is overpaying for housing if they spend more than 30 percent of their income on rent or mortgage payments. All of the households earning less than $35,000 annually are overpaying for housing in Hillsborough, and almost all (86 percent) the households earning between $35,000- $75,000 are overpaying as well. Of the remaining population of Hillsborough, those who earn more than $75,000 annually, 38 percent are overpaying for housing.</w:t>
      </w:r>
    </w:p>
    <w:p w14:paraId="3B61AD3A" w14:textId="77777777" w:rsidR="0082463F" w:rsidRDefault="0082463F" w:rsidP="003B1324"/>
    <w:p w14:paraId="15E946CD" w14:textId="504EBD50" w:rsidR="00D25635" w:rsidRDefault="003B1324" w:rsidP="00726380">
      <w:pPr>
        <w:pStyle w:val="21ElementsText"/>
      </w:pPr>
      <w:r>
        <w:t xml:space="preserve">Without choices and the availability of affordable housing in </w:t>
      </w:r>
      <w:r w:rsidR="00853231">
        <w:t>Hillsborough</w:t>
      </w:r>
      <w:r>
        <w:t xml:space="preserve">, lower-income people may choose to live elsewhere and commute into the city to work. Or, those households who live in </w:t>
      </w:r>
      <w:r w:rsidR="00853231">
        <w:t>Hillsborough</w:t>
      </w:r>
      <w:r>
        <w:t xml:space="preserve"> may live in overcrowded homes, and have limited money to dedicate towards other necessities such as food, transportation, and medical care.</w:t>
      </w:r>
    </w:p>
    <w:p w14:paraId="5204B1C1" w14:textId="5B89C79F" w:rsidR="00E81844" w:rsidRPr="00E80EDB" w:rsidRDefault="00E80EDB" w:rsidP="00E80EDB">
      <w:pPr>
        <w:pStyle w:val="21ElementsText"/>
      </w:pPr>
      <w:r>
        <w:rPr>
          <w:noProof/>
        </w:rPr>
        <w:drawing>
          <wp:inline distT="0" distB="0" distL="0" distR="0" wp14:anchorId="6B3D12BB" wp14:editId="753FBBA5">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241C79" w14:textId="5B566641" w:rsidR="00E81844" w:rsidRDefault="006669C0" w:rsidP="006669C0">
      <w:pPr>
        <w:ind w:firstLine="720"/>
        <w:rPr>
          <w:rFonts w:eastAsia="Times New Roman" w:cs="Times New Roman"/>
          <w:iCs/>
          <w:color w:val="000000"/>
          <w:sz w:val="18"/>
          <w:szCs w:val="16"/>
        </w:rPr>
      </w:pPr>
      <w:r w:rsidRPr="006669C0">
        <w:rPr>
          <w:rFonts w:eastAsia="Times New Roman" w:cs="Times New Roman"/>
          <w:iCs/>
          <w:color w:val="000000"/>
          <w:sz w:val="18"/>
          <w:szCs w:val="16"/>
        </w:rPr>
        <w:t xml:space="preserve">Source: </w:t>
      </w:r>
      <w:r w:rsidR="0020362E">
        <w:rPr>
          <w:rFonts w:eastAsia="Times New Roman" w:cs="Times New Roman"/>
          <w:iCs/>
          <w:color w:val="000000"/>
          <w:sz w:val="18"/>
          <w:szCs w:val="16"/>
        </w:rPr>
        <w:t>2007-2011</w:t>
      </w:r>
      <w:r w:rsidRPr="006669C0">
        <w:rPr>
          <w:rFonts w:eastAsia="Times New Roman" w:cs="Times New Roman"/>
          <w:iCs/>
          <w:color w:val="000000"/>
          <w:sz w:val="18"/>
          <w:szCs w:val="16"/>
        </w:rPr>
        <w:t xml:space="preserve"> American Community Survey</w:t>
      </w:r>
    </w:p>
    <w:p w14:paraId="606AB086" w14:textId="0C8B928D" w:rsidR="00726380" w:rsidRDefault="00726380" w:rsidP="00E80EDB">
      <w:pPr>
        <w:spacing w:line="240" w:lineRule="auto"/>
        <w:rPr>
          <w:b/>
          <w:u w:val="single"/>
        </w:rPr>
      </w:pPr>
    </w:p>
    <w:tbl>
      <w:tblPr>
        <w:tblW w:w="8295" w:type="dxa"/>
        <w:tblInd w:w="93" w:type="dxa"/>
        <w:tblLayout w:type="fixed"/>
        <w:tblLook w:val="04A0" w:firstRow="1" w:lastRow="0" w:firstColumn="1" w:lastColumn="0" w:noHBand="0" w:noVBand="1"/>
      </w:tblPr>
      <w:tblGrid>
        <w:gridCol w:w="1921"/>
        <w:gridCol w:w="1902"/>
        <w:gridCol w:w="922"/>
        <w:gridCol w:w="898"/>
        <w:gridCol w:w="1212"/>
        <w:gridCol w:w="689"/>
        <w:gridCol w:w="751"/>
      </w:tblGrid>
      <w:tr w:rsidR="00972AD5" w:rsidRPr="00972AD5" w14:paraId="6F593E2D" w14:textId="77777777" w:rsidTr="003B1324">
        <w:trPr>
          <w:trHeight w:val="300"/>
        </w:trPr>
        <w:tc>
          <w:tcPr>
            <w:tcW w:w="8295" w:type="dxa"/>
            <w:gridSpan w:val="7"/>
            <w:tcBorders>
              <w:top w:val="nil"/>
              <w:left w:val="nil"/>
              <w:bottom w:val="nil"/>
              <w:right w:val="nil"/>
            </w:tcBorders>
            <w:shd w:val="clear" w:color="000000" w:fill="000000"/>
            <w:noWrap/>
            <w:vAlign w:val="bottom"/>
            <w:hideMark/>
          </w:tcPr>
          <w:p w14:paraId="5F80E836" w14:textId="23360DF0" w:rsidR="00972AD5" w:rsidRPr="00972AD5" w:rsidRDefault="00972AD5" w:rsidP="003B1324">
            <w:pPr>
              <w:rPr>
                <w:rFonts w:eastAsia="Times New Roman" w:cs="Times New Roman"/>
                <w:b/>
                <w:bCs/>
                <w:color w:val="FFFFFF"/>
                <w:sz w:val="20"/>
                <w:szCs w:val="20"/>
              </w:rPr>
            </w:pPr>
            <w:r w:rsidRPr="00972AD5">
              <w:rPr>
                <w:rFonts w:eastAsia="Times New Roman" w:cs="Times New Roman"/>
                <w:b/>
                <w:bCs/>
                <w:color w:val="FFFFFF"/>
                <w:sz w:val="20"/>
                <w:szCs w:val="20"/>
              </w:rPr>
              <w:t>Households Overpaying for Housing</w:t>
            </w:r>
            <w:r w:rsidR="00E80EDB">
              <w:rPr>
                <w:rFonts w:eastAsia="Times New Roman" w:cs="Times New Roman"/>
                <w:b/>
                <w:bCs/>
                <w:color w:val="FFFFFF"/>
                <w:sz w:val="20"/>
                <w:szCs w:val="20"/>
              </w:rPr>
              <w:t xml:space="preserve"> (2011)</w:t>
            </w:r>
          </w:p>
        </w:tc>
      </w:tr>
      <w:tr w:rsidR="00972AD5" w:rsidRPr="00972AD5" w14:paraId="70BDD5C5" w14:textId="77777777" w:rsidTr="003B1324">
        <w:trPr>
          <w:trHeight w:val="300"/>
        </w:trPr>
        <w:tc>
          <w:tcPr>
            <w:tcW w:w="1921" w:type="dxa"/>
            <w:tcBorders>
              <w:top w:val="nil"/>
              <w:left w:val="nil"/>
              <w:bottom w:val="nil"/>
              <w:right w:val="nil"/>
            </w:tcBorders>
            <w:shd w:val="clear" w:color="auto" w:fill="auto"/>
            <w:noWrap/>
            <w:vAlign w:val="bottom"/>
            <w:hideMark/>
          </w:tcPr>
          <w:p w14:paraId="4DB32707" w14:textId="77777777" w:rsidR="00972AD5" w:rsidRPr="00972AD5" w:rsidRDefault="00972AD5" w:rsidP="003B1324">
            <w:pPr>
              <w:spacing w:line="240" w:lineRule="auto"/>
              <w:rPr>
                <w:rFonts w:eastAsia="Times New Roman" w:cs="Times New Roman"/>
                <w:color w:val="000000"/>
                <w:sz w:val="18"/>
                <w:szCs w:val="18"/>
              </w:rPr>
            </w:pPr>
          </w:p>
        </w:tc>
        <w:tc>
          <w:tcPr>
            <w:tcW w:w="1902" w:type="dxa"/>
            <w:tcBorders>
              <w:top w:val="nil"/>
              <w:left w:val="nil"/>
              <w:bottom w:val="nil"/>
              <w:right w:val="nil"/>
            </w:tcBorders>
            <w:shd w:val="clear" w:color="auto" w:fill="auto"/>
            <w:noWrap/>
            <w:vAlign w:val="bottom"/>
            <w:hideMark/>
          </w:tcPr>
          <w:p w14:paraId="6CED19EC" w14:textId="4433751C" w:rsidR="00972AD5" w:rsidRPr="00972AD5" w:rsidRDefault="00972AD5" w:rsidP="003B1324">
            <w:pPr>
              <w:spacing w:line="240" w:lineRule="auto"/>
              <w:rPr>
                <w:rFonts w:eastAsia="Times New Roman" w:cs="Times New Roman"/>
                <w:b/>
                <w:bCs/>
                <w:color w:val="000000"/>
                <w:sz w:val="18"/>
                <w:szCs w:val="18"/>
              </w:rPr>
            </w:pPr>
          </w:p>
        </w:tc>
        <w:tc>
          <w:tcPr>
            <w:tcW w:w="1820" w:type="dxa"/>
            <w:gridSpan w:val="2"/>
            <w:tcBorders>
              <w:top w:val="nil"/>
              <w:left w:val="nil"/>
              <w:bottom w:val="nil"/>
              <w:right w:val="nil"/>
            </w:tcBorders>
            <w:shd w:val="clear" w:color="auto" w:fill="auto"/>
            <w:noWrap/>
            <w:vAlign w:val="bottom"/>
            <w:hideMark/>
          </w:tcPr>
          <w:p w14:paraId="3EBF4DE5" w14:textId="77777777" w:rsidR="003B1324" w:rsidRDefault="003B1324" w:rsidP="003B1324">
            <w:pPr>
              <w:spacing w:line="240" w:lineRule="auto"/>
              <w:jc w:val="center"/>
              <w:rPr>
                <w:rFonts w:eastAsia="Times New Roman" w:cs="Times New Roman"/>
                <w:b/>
                <w:bCs/>
                <w:color w:val="000000"/>
                <w:sz w:val="18"/>
                <w:szCs w:val="18"/>
              </w:rPr>
            </w:pPr>
          </w:p>
          <w:p w14:paraId="0EF739A7" w14:textId="56B622AF" w:rsidR="00972AD5" w:rsidRDefault="003B70CF" w:rsidP="003B1324">
            <w:pPr>
              <w:spacing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Town of </w:t>
            </w:r>
            <w:r w:rsidR="00853231">
              <w:rPr>
                <w:rFonts w:eastAsia="Times New Roman" w:cs="Times New Roman"/>
                <w:b/>
                <w:bCs/>
                <w:color w:val="000000"/>
                <w:sz w:val="18"/>
                <w:szCs w:val="18"/>
              </w:rPr>
              <w:t>Hillsborough</w:t>
            </w:r>
          </w:p>
          <w:p w14:paraId="5F085F87" w14:textId="4AAF3634" w:rsidR="003B1324" w:rsidRPr="003B1324" w:rsidRDefault="003B1324" w:rsidP="003B1324">
            <w:pPr>
              <w:spacing w:line="240" w:lineRule="auto"/>
              <w:jc w:val="center"/>
              <w:rPr>
                <w:rFonts w:eastAsia="Times New Roman" w:cs="Times New Roman"/>
                <w:b/>
                <w:bCs/>
                <w:color w:val="000000"/>
                <w:sz w:val="10"/>
                <w:szCs w:val="18"/>
              </w:rPr>
            </w:pPr>
          </w:p>
        </w:tc>
        <w:tc>
          <w:tcPr>
            <w:tcW w:w="1212" w:type="dxa"/>
            <w:tcBorders>
              <w:top w:val="nil"/>
              <w:left w:val="nil"/>
              <w:bottom w:val="nil"/>
              <w:right w:val="nil"/>
            </w:tcBorders>
            <w:shd w:val="clear" w:color="auto" w:fill="auto"/>
            <w:noWrap/>
            <w:vAlign w:val="bottom"/>
            <w:hideMark/>
          </w:tcPr>
          <w:p w14:paraId="0924517F" w14:textId="77777777" w:rsidR="003B1324" w:rsidRDefault="003B1324" w:rsidP="003B1324">
            <w:pPr>
              <w:spacing w:line="240" w:lineRule="auto"/>
              <w:jc w:val="right"/>
              <w:rPr>
                <w:rFonts w:eastAsia="Times New Roman" w:cs="Times New Roman"/>
                <w:b/>
                <w:bCs/>
                <w:color w:val="000000"/>
                <w:sz w:val="18"/>
                <w:szCs w:val="18"/>
              </w:rPr>
            </w:pPr>
          </w:p>
          <w:p w14:paraId="5F45B45A" w14:textId="4C1C1E56" w:rsidR="00972AD5" w:rsidRPr="00972AD5" w:rsidRDefault="003B1324" w:rsidP="003B1324">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San Mateo </w:t>
            </w:r>
            <w:r w:rsidR="00972AD5" w:rsidRPr="00972AD5">
              <w:rPr>
                <w:rFonts w:eastAsia="Times New Roman" w:cs="Times New Roman"/>
                <w:b/>
                <w:bCs/>
                <w:color w:val="000000"/>
                <w:sz w:val="18"/>
                <w:szCs w:val="18"/>
              </w:rPr>
              <w:t>County</w:t>
            </w:r>
          </w:p>
        </w:tc>
        <w:tc>
          <w:tcPr>
            <w:tcW w:w="1440" w:type="dxa"/>
            <w:gridSpan w:val="2"/>
            <w:tcBorders>
              <w:top w:val="nil"/>
              <w:left w:val="nil"/>
              <w:bottom w:val="nil"/>
              <w:right w:val="nil"/>
            </w:tcBorders>
            <w:shd w:val="clear" w:color="auto" w:fill="auto"/>
            <w:noWrap/>
            <w:vAlign w:val="bottom"/>
            <w:hideMark/>
          </w:tcPr>
          <w:p w14:paraId="1024D9A2" w14:textId="6DC4A268" w:rsidR="00972AD5" w:rsidRPr="00972AD5" w:rsidRDefault="00972AD5" w:rsidP="003B1324">
            <w:pPr>
              <w:spacing w:line="240" w:lineRule="auto"/>
              <w:jc w:val="right"/>
              <w:rPr>
                <w:rFonts w:eastAsia="Times New Roman" w:cs="Times New Roman"/>
                <w:b/>
                <w:bCs/>
                <w:color w:val="000000"/>
                <w:sz w:val="18"/>
                <w:szCs w:val="18"/>
              </w:rPr>
            </w:pPr>
            <w:r w:rsidRPr="00972AD5">
              <w:rPr>
                <w:rFonts w:eastAsia="Times New Roman" w:cs="Times New Roman"/>
                <w:b/>
                <w:bCs/>
                <w:color w:val="000000"/>
                <w:sz w:val="18"/>
                <w:szCs w:val="18"/>
              </w:rPr>
              <w:t>State</w:t>
            </w:r>
            <w:r w:rsidR="003B1324">
              <w:rPr>
                <w:rFonts w:eastAsia="Times New Roman" w:cs="Times New Roman"/>
                <w:b/>
                <w:bCs/>
                <w:color w:val="000000"/>
                <w:sz w:val="18"/>
                <w:szCs w:val="18"/>
              </w:rPr>
              <w:t xml:space="preserve"> of California</w:t>
            </w:r>
          </w:p>
        </w:tc>
      </w:tr>
      <w:tr w:rsidR="003B1324" w:rsidRPr="00972AD5" w14:paraId="01C132B0" w14:textId="77777777" w:rsidTr="003B1324">
        <w:trPr>
          <w:trHeight w:val="320"/>
        </w:trPr>
        <w:tc>
          <w:tcPr>
            <w:tcW w:w="1921" w:type="dxa"/>
            <w:tcBorders>
              <w:top w:val="nil"/>
              <w:left w:val="nil"/>
              <w:bottom w:val="nil"/>
              <w:right w:val="nil"/>
            </w:tcBorders>
            <w:shd w:val="clear" w:color="auto" w:fill="auto"/>
            <w:noWrap/>
            <w:vAlign w:val="bottom"/>
            <w:hideMark/>
          </w:tcPr>
          <w:p w14:paraId="3DBED011" w14:textId="77777777" w:rsidR="003B1324" w:rsidRPr="00972AD5" w:rsidRDefault="003B1324" w:rsidP="003B1324">
            <w:pPr>
              <w:spacing w:line="240" w:lineRule="auto"/>
              <w:rPr>
                <w:rFonts w:eastAsia="Times New Roman" w:cs="Times New Roman"/>
                <w:color w:val="000000"/>
                <w:sz w:val="18"/>
                <w:szCs w:val="18"/>
              </w:rPr>
            </w:pPr>
          </w:p>
        </w:tc>
        <w:tc>
          <w:tcPr>
            <w:tcW w:w="1902" w:type="dxa"/>
            <w:tcBorders>
              <w:top w:val="nil"/>
              <w:left w:val="nil"/>
              <w:bottom w:val="single" w:sz="8" w:space="0" w:color="auto"/>
              <w:right w:val="nil"/>
            </w:tcBorders>
            <w:shd w:val="clear" w:color="auto" w:fill="auto"/>
            <w:noWrap/>
            <w:vAlign w:val="bottom"/>
            <w:hideMark/>
          </w:tcPr>
          <w:p w14:paraId="5C40EC6C" w14:textId="05207EDA" w:rsidR="003B1324" w:rsidRPr="00972AD5" w:rsidRDefault="003B1324" w:rsidP="003B1324">
            <w:pPr>
              <w:spacing w:line="240" w:lineRule="auto"/>
              <w:rPr>
                <w:rFonts w:eastAsia="Times New Roman" w:cs="Times New Roman"/>
                <w:color w:val="000000"/>
                <w:sz w:val="18"/>
                <w:szCs w:val="18"/>
              </w:rPr>
            </w:pPr>
            <w:r w:rsidRPr="00972AD5">
              <w:rPr>
                <w:rFonts w:eastAsia="Times New Roman" w:cs="Times New Roman"/>
                <w:b/>
                <w:bCs/>
                <w:color w:val="000000"/>
                <w:sz w:val="18"/>
                <w:szCs w:val="18"/>
              </w:rPr>
              <w:t>Income</w:t>
            </w:r>
            <w:r w:rsidRPr="00972AD5">
              <w:rPr>
                <w:rFonts w:eastAsia="Times New Roman" w:cs="Times New Roman"/>
                <w:color w:val="000000"/>
                <w:sz w:val="18"/>
                <w:szCs w:val="18"/>
              </w:rPr>
              <w:t> </w:t>
            </w:r>
          </w:p>
        </w:tc>
        <w:tc>
          <w:tcPr>
            <w:tcW w:w="922" w:type="dxa"/>
            <w:tcBorders>
              <w:top w:val="nil"/>
              <w:left w:val="nil"/>
              <w:bottom w:val="single" w:sz="8" w:space="0" w:color="auto"/>
              <w:right w:val="nil"/>
            </w:tcBorders>
            <w:shd w:val="clear" w:color="auto" w:fill="auto"/>
            <w:noWrap/>
            <w:vAlign w:val="bottom"/>
            <w:hideMark/>
          </w:tcPr>
          <w:p w14:paraId="15C3F779" w14:textId="77777777" w:rsidR="003B1324" w:rsidRDefault="003B1324" w:rsidP="003B1324">
            <w:pPr>
              <w:spacing w:line="240" w:lineRule="auto"/>
              <w:jc w:val="right"/>
              <w:rPr>
                <w:rFonts w:eastAsia="Times New Roman" w:cs="Times New Roman"/>
                <w:color w:val="000000"/>
                <w:sz w:val="18"/>
                <w:szCs w:val="18"/>
              </w:rPr>
            </w:pPr>
            <w:r w:rsidRPr="00972AD5">
              <w:rPr>
                <w:rFonts w:eastAsia="Times New Roman" w:cs="Times New Roman"/>
                <w:color w:val="000000"/>
                <w:sz w:val="18"/>
                <w:szCs w:val="18"/>
              </w:rPr>
              <w:t>Number</w:t>
            </w:r>
          </w:p>
          <w:p w14:paraId="41BAD9AE" w14:textId="77777777" w:rsidR="003B1324" w:rsidRPr="003B1324" w:rsidRDefault="003B1324" w:rsidP="003B1324">
            <w:pPr>
              <w:spacing w:line="240" w:lineRule="auto"/>
              <w:jc w:val="right"/>
              <w:rPr>
                <w:rFonts w:eastAsia="Times New Roman" w:cs="Times New Roman"/>
                <w:color w:val="000000"/>
                <w:sz w:val="10"/>
                <w:szCs w:val="18"/>
              </w:rPr>
            </w:pPr>
          </w:p>
        </w:tc>
        <w:tc>
          <w:tcPr>
            <w:tcW w:w="898" w:type="dxa"/>
            <w:tcBorders>
              <w:top w:val="nil"/>
              <w:left w:val="nil"/>
              <w:bottom w:val="single" w:sz="8" w:space="0" w:color="auto"/>
              <w:right w:val="nil"/>
            </w:tcBorders>
            <w:shd w:val="clear" w:color="auto" w:fill="auto"/>
            <w:noWrap/>
            <w:vAlign w:val="bottom"/>
            <w:hideMark/>
          </w:tcPr>
          <w:p w14:paraId="51571B6D" w14:textId="77777777" w:rsidR="003B1324" w:rsidRDefault="003B1324" w:rsidP="003B1324">
            <w:pPr>
              <w:spacing w:line="240" w:lineRule="auto"/>
              <w:jc w:val="right"/>
              <w:rPr>
                <w:rFonts w:eastAsia="Times New Roman" w:cs="Times New Roman"/>
                <w:color w:val="000000"/>
                <w:sz w:val="18"/>
                <w:szCs w:val="18"/>
              </w:rPr>
            </w:pPr>
            <w:r w:rsidRPr="00972AD5">
              <w:rPr>
                <w:rFonts w:eastAsia="Times New Roman" w:cs="Times New Roman"/>
                <w:color w:val="000000"/>
                <w:sz w:val="18"/>
                <w:szCs w:val="18"/>
              </w:rPr>
              <w:t>Percent</w:t>
            </w:r>
          </w:p>
          <w:p w14:paraId="383DB803" w14:textId="77777777" w:rsidR="003B1324" w:rsidRPr="003B1324" w:rsidRDefault="003B1324" w:rsidP="003B1324">
            <w:pPr>
              <w:spacing w:line="240" w:lineRule="auto"/>
              <w:jc w:val="right"/>
              <w:rPr>
                <w:rFonts w:eastAsia="Times New Roman" w:cs="Times New Roman"/>
                <w:color w:val="000000"/>
                <w:sz w:val="10"/>
                <w:szCs w:val="18"/>
              </w:rPr>
            </w:pPr>
          </w:p>
        </w:tc>
        <w:tc>
          <w:tcPr>
            <w:tcW w:w="1212" w:type="dxa"/>
            <w:tcBorders>
              <w:top w:val="nil"/>
              <w:left w:val="nil"/>
              <w:bottom w:val="single" w:sz="8" w:space="0" w:color="auto"/>
              <w:right w:val="nil"/>
            </w:tcBorders>
            <w:shd w:val="clear" w:color="auto" w:fill="auto"/>
            <w:noWrap/>
            <w:vAlign w:val="bottom"/>
            <w:hideMark/>
          </w:tcPr>
          <w:p w14:paraId="419E9754" w14:textId="77777777" w:rsidR="003B1324" w:rsidRDefault="003B1324" w:rsidP="003B1324">
            <w:pPr>
              <w:spacing w:line="240" w:lineRule="auto"/>
              <w:jc w:val="right"/>
              <w:rPr>
                <w:rFonts w:eastAsia="Times New Roman" w:cs="Times New Roman"/>
                <w:color w:val="000000"/>
                <w:sz w:val="18"/>
                <w:szCs w:val="18"/>
              </w:rPr>
            </w:pPr>
            <w:r w:rsidRPr="00972AD5">
              <w:rPr>
                <w:rFonts w:eastAsia="Times New Roman" w:cs="Times New Roman"/>
                <w:color w:val="000000"/>
                <w:sz w:val="18"/>
                <w:szCs w:val="18"/>
              </w:rPr>
              <w:t>Percent</w:t>
            </w:r>
          </w:p>
          <w:p w14:paraId="32C90FBA" w14:textId="3963B835" w:rsidR="003B1324" w:rsidRPr="003B1324" w:rsidRDefault="003B1324" w:rsidP="003B1324">
            <w:pPr>
              <w:spacing w:line="240" w:lineRule="auto"/>
              <w:jc w:val="right"/>
              <w:rPr>
                <w:rFonts w:eastAsia="Times New Roman" w:cs="Times New Roman"/>
                <w:color w:val="000000"/>
                <w:sz w:val="10"/>
                <w:szCs w:val="18"/>
              </w:rPr>
            </w:pPr>
          </w:p>
        </w:tc>
        <w:tc>
          <w:tcPr>
            <w:tcW w:w="1440" w:type="dxa"/>
            <w:gridSpan w:val="2"/>
            <w:tcBorders>
              <w:top w:val="nil"/>
              <w:left w:val="nil"/>
              <w:bottom w:val="single" w:sz="8" w:space="0" w:color="auto"/>
              <w:right w:val="nil"/>
            </w:tcBorders>
            <w:shd w:val="clear" w:color="auto" w:fill="auto"/>
            <w:noWrap/>
            <w:vAlign w:val="bottom"/>
            <w:hideMark/>
          </w:tcPr>
          <w:p w14:paraId="46D9073B" w14:textId="77777777" w:rsidR="003B1324" w:rsidRDefault="003B1324" w:rsidP="003B1324">
            <w:pPr>
              <w:spacing w:line="240" w:lineRule="auto"/>
              <w:jc w:val="right"/>
              <w:rPr>
                <w:rFonts w:eastAsia="Times New Roman" w:cs="Times New Roman"/>
                <w:color w:val="000000"/>
                <w:sz w:val="18"/>
                <w:szCs w:val="18"/>
              </w:rPr>
            </w:pPr>
            <w:r w:rsidRPr="00972AD5">
              <w:rPr>
                <w:rFonts w:eastAsia="Times New Roman" w:cs="Times New Roman"/>
                <w:color w:val="000000"/>
                <w:sz w:val="18"/>
                <w:szCs w:val="18"/>
              </w:rPr>
              <w:t>Percent</w:t>
            </w:r>
          </w:p>
          <w:p w14:paraId="666D14BB" w14:textId="289A69C9" w:rsidR="003B1324" w:rsidRPr="003B1324" w:rsidRDefault="003B1324" w:rsidP="003B1324">
            <w:pPr>
              <w:spacing w:line="240" w:lineRule="auto"/>
              <w:jc w:val="right"/>
              <w:rPr>
                <w:rFonts w:eastAsia="Times New Roman" w:cs="Times New Roman"/>
                <w:color w:val="000000"/>
                <w:sz w:val="10"/>
                <w:szCs w:val="18"/>
              </w:rPr>
            </w:pPr>
          </w:p>
        </w:tc>
      </w:tr>
      <w:tr w:rsidR="00E80EDB" w:rsidRPr="00972AD5" w14:paraId="0484C000" w14:textId="77777777" w:rsidTr="003B1324">
        <w:trPr>
          <w:trHeight w:val="300"/>
        </w:trPr>
        <w:tc>
          <w:tcPr>
            <w:tcW w:w="1921" w:type="dxa"/>
            <w:tcBorders>
              <w:top w:val="single" w:sz="8" w:space="0" w:color="auto"/>
              <w:left w:val="nil"/>
              <w:bottom w:val="nil"/>
              <w:right w:val="nil"/>
            </w:tcBorders>
            <w:shd w:val="clear" w:color="auto" w:fill="auto"/>
            <w:noWrap/>
            <w:vAlign w:val="bottom"/>
            <w:hideMark/>
          </w:tcPr>
          <w:p w14:paraId="6BC23ADD" w14:textId="77777777" w:rsidR="00E80EDB" w:rsidRPr="008D1973" w:rsidRDefault="00E80EDB" w:rsidP="00067077">
            <w:pPr>
              <w:rPr>
                <w:rFonts w:eastAsia="Times New Roman" w:cs="Times New Roman"/>
                <w:b/>
                <w:color w:val="000000"/>
                <w:sz w:val="18"/>
                <w:szCs w:val="18"/>
              </w:rPr>
            </w:pPr>
            <w:r w:rsidRPr="008D1973">
              <w:rPr>
                <w:rFonts w:eastAsia="Times New Roman" w:cs="Times New Roman"/>
                <w:b/>
                <w:color w:val="000000"/>
                <w:sz w:val="18"/>
                <w:szCs w:val="18"/>
              </w:rPr>
              <w:t>Owner-occupied</w:t>
            </w:r>
          </w:p>
        </w:tc>
        <w:tc>
          <w:tcPr>
            <w:tcW w:w="1902" w:type="dxa"/>
            <w:tcBorders>
              <w:top w:val="nil"/>
              <w:left w:val="nil"/>
              <w:bottom w:val="single" w:sz="4" w:space="0" w:color="969696"/>
              <w:right w:val="nil"/>
            </w:tcBorders>
            <w:shd w:val="clear" w:color="auto" w:fill="auto"/>
            <w:noWrap/>
            <w:vAlign w:val="bottom"/>
            <w:hideMark/>
          </w:tcPr>
          <w:p w14:paraId="15592195" w14:textId="77777777" w:rsidR="00E80EDB" w:rsidRPr="00972AD5" w:rsidRDefault="00E80EDB" w:rsidP="00067077">
            <w:pPr>
              <w:rPr>
                <w:rFonts w:eastAsia="Times New Roman" w:cs="Times New Roman"/>
                <w:color w:val="000000"/>
                <w:sz w:val="18"/>
                <w:szCs w:val="18"/>
              </w:rPr>
            </w:pPr>
            <w:r w:rsidRPr="00972AD5">
              <w:rPr>
                <w:rFonts w:eastAsia="Times New Roman" w:cs="Times New Roman"/>
                <w:color w:val="000000"/>
                <w:sz w:val="18"/>
                <w:szCs w:val="18"/>
              </w:rPr>
              <w:t>Less than $35,000</w:t>
            </w:r>
          </w:p>
        </w:tc>
        <w:tc>
          <w:tcPr>
            <w:tcW w:w="922" w:type="dxa"/>
            <w:tcBorders>
              <w:top w:val="nil"/>
              <w:left w:val="nil"/>
              <w:bottom w:val="single" w:sz="4" w:space="0" w:color="969696"/>
              <w:right w:val="nil"/>
            </w:tcBorders>
            <w:shd w:val="clear" w:color="auto" w:fill="auto"/>
            <w:noWrap/>
            <w:vAlign w:val="bottom"/>
            <w:hideMark/>
          </w:tcPr>
          <w:p w14:paraId="176A0DE6" w14:textId="42EA29CC" w:rsidR="00E80EDB" w:rsidRPr="005C76CD" w:rsidRDefault="00E80EDB" w:rsidP="00067077">
            <w:pPr>
              <w:jc w:val="right"/>
              <w:rPr>
                <w:rFonts w:eastAsia="Times New Roman" w:cs="Times New Roman"/>
                <w:color w:val="000000"/>
                <w:sz w:val="18"/>
                <w:szCs w:val="18"/>
                <w:highlight w:val="yellow"/>
              </w:rPr>
            </w:pPr>
            <w:r w:rsidRPr="008B4F27">
              <w:rPr>
                <w:rFonts w:eastAsia="Times New Roman" w:cs="Times New Roman"/>
                <w:color w:val="000000"/>
                <w:sz w:val="18"/>
                <w:szCs w:val="18"/>
              </w:rPr>
              <w:t>189</w:t>
            </w:r>
          </w:p>
        </w:tc>
        <w:tc>
          <w:tcPr>
            <w:tcW w:w="898" w:type="dxa"/>
            <w:tcBorders>
              <w:top w:val="nil"/>
              <w:left w:val="nil"/>
              <w:bottom w:val="single" w:sz="4" w:space="0" w:color="969696"/>
              <w:right w:val="nil"/>
            </w:tcBorders>
            <w:shd w:val="clear" w:color="auto" w:fill="auto"/>
            <w:noWrap/>
            <w:vAlign w:val="bottom"/>
            <w:hideMark/>
          </w:tcPr>
          <w:p w14:paraId="5AA3EFF1" w14:textId="6B4EDF16" w:rsidR="00E80EDB" w:rsidRPr="005C76CD" w:rsidRDefault="00E80EDB" w:rsidP="00067077">
            <w:pPr>
              <w:jc w:val="right"/>
              <w:rPr>
                <w:rFonts w:eastAsia="Times New Roman" w:cs="Times New Roman"/>
                <w:color w:val="000000"/>
                <w:sz w:val="18"/>
                <w:szCs w:val="18"/>
                <w:highlight w:val="yellow"/>
              </w:rPr>
            </w:pPr>
            <w:r w:rsidRPr="008B4F27">
              <w:rPr>
                <w:rFonts w:eastAsia="Times New Roman" w:cs="Times New Roman"/>
                <w:color w:val="000000"/>
                <w:sz w:val="18"/>
                <w:szCs w:val="18"/>
              </w:rPr>
              <w:t>100%</w:t>
            </w:r>
          </w:p>
        </w:tc>
        <w:tc>
          <w:tcPr>
            <w:tcW w:w="1212" w:type="dxa"/>
            <w:tcBorders>
              <w:top w:val="nil"/>
              <w:left w:val="nil"/>
              <w:bottom w:val="single" w:sz="4" w:space="0" w:color="969696"/>
              <w:right w:val="nil"/>
            </w:tcBorders>
            <w:shd w:val="clear" w:color="auto" w:fill="auto"/>
            <w:noWrap/>
            <w:vAlign w:val="bottom"/>
            <w:hideMark/>
          </w:tcPr>
          <w:p w14:paraId="5E38E404" w14:textId="77777777" w:rsidR="00E80EDB" w:rsidRPr="00972AD5" w:rsidRDefault="00E80EDB" w:rsidP="003B1324">
            <w:pPr>
              <w:jc w:val="right"/>
              <w:rPr>
                <w:rFonts w:eastAsia="Times New Roman" w:cs="Times New Roman"/>
                <w:color w:val="000000"/>
                <w:sz w:val="18"/>
                <w:szCs w:val="18"/>
              </w:rPr>
            </w:pPr>
            <w:r w:rsidRPr="00972AD5">
              <w:rPr>
                <w:rFonts w:eastAsia="Times New Roman" w:cs="Times New Roman"/>
                <w:color w:val="000000"/>
                <w:sz w:val="18"/>
                <w:szCs w:val="18"/>
              </w:rPr>
              <w:t>68%</w:t>
            </w:r>
          </w:p>
        </w:tc>
        <w:tc>
          <w:tcPr>
            <w:tcW w:w="1440" w:type="dxa"/>
            <w:gridSpan w:val="2"/>
            <w:tcBorders>
              <w:top w:val="nil"/>
              <w:left w:val="nil"/>
              <w:bottom w:val="single" w:sz="4" w:space="0" w:color="969696"/>
              <w:right w:val="nil"/>
            </w:tcBorders>
            <w:shd w:val="clear" w:color="auto" w:fill="auto"/>
            <w:noWrap/>
            <w:vAlign w:val="bottom"/>
            <w:hideMark/>
          </w:tcPr>
          <w:p w14:paraId="479043C5" w14:textId="77777777" w:rsidR="00E80EDB" w:rsidRPr="00972AD5" w:rsidRDefault="00E80EDB" w:rsidP="003B1324">
            <w:pPr>
              <w:jc w:val="right"/>
              <w:rPr>
                <w:rFonts w:eastAsia="Times New Roman" w:cs="Times New Roman"/>
                <w:color w:val="000000"/>
                <w:sz w:val="18"/>
                <w:szCs w:val="18"/>
              </w:rPr>
            </w:pPr>
            <w:r w:rsidRPr="00972AD5">
              <w:rPr>
                <w:rFonts w:eastAsia="Times New Roman" w:cs="Times New Roman"/>
                <w:color w:val="000000"/>
                <w:sz w:val="18"/>
                <w:szCs w:val="18"/>
              </w:rPr>
              <w:t>68%</w:t>
            </w:r>
          </w:p>
        </w:tc>
      </w:tr>
      <w:tr w:rsidR="00E80EDB" w:rsidRPr="00972AD5" w14:paraId="17948977" w14:textId="77777777" w:rsidTr="003B1324">
        <w:trPr>
          <w:trHeight w:val="300"/>
        </w:trPr>
        <w:tc>
          <w:tcPr>
            <w:tcW w:w="1921" w:type="dxa"/>
            <w:tcBorders>
              <w:top w:val="nil"/>
              <w:left w:val="nil"/>
              <w:bottom w:val="nil"/>
              <w:right w:val="nil"/>
            </w:tcBorders>
            <w:shd w:val="clear" w:color="auto" w:fill="auto"/>
            <w:noWrap/>
            <w:vAlign w:val="bottom"/>
            <w:hideMark/>
          </w:tcPr>
          <w:p w14:paraId="73C674E6" w14:textId="77777777" w:rsidR="00E80EDB" w:rsidRPr="00972AD5" w:rsidRDefault="00E80EDB" w:rsidP="00067077">
            <w:pPr>
              <w:rPr>
                <w:rFonts w:eastAsia="Times New Roman" w:cs="Times New Roman"/>
                <w:color w:val="000000"/>
                <w:sz w:val="18"/>
                <w:szCs w:val="18"/>
              </w:rPr>
            </w:pPr>
          </w:p>
        </w:tc>
        <w:tc>
          <w:tcPr>
            <w:tcW w:w="1902" w:type="dxa"/>
            <w:tcBorders>
              <w:top w:val="nil"/>
              <w:left w:val="nil"/>
              <w:bottom w:val="single" w:sz="4" w:space="0" w:color="969696"/>
              <w:right w:val="nil"/>
            </w:tcBorders>
            <w:shd w:val="clear" w:color="auto" w:fill="auto"/>
            <w:noWrap/>
            <w:vAlign w:val="bottom"/>
            <w:hideMark/>
          </w:tcPr>
          <w:p w14:paraId="1F7F7E8A" w14:textId="77777777" w:rsidR="00E80EDB" w:rsidRPr="00972AD5" w:rsidRDefault="00E80EDB" w:rsidP="00067077">
            <w:pPr>
              <w:rPr>
                <w:rFonts w:eastAsia="Times New Roman" w:cs="Times New Roman"/>
                <w:color w:val="000000"/>
                <w:sz w:val="18"/>
                <w:szCs w:val="18"/>
              </w:rPr>
            </w:pPr>
            <w:r w:rsidRPr="00972AD5">
              <w:rPr>
                <w:rFonts w:eastAsia="Times New Roman" w:cs="Times New Roman"/>
                <w:color w:val="000000"/>
                <w:sz w:val="18"/>
                <w:szCs w:val="18"/>
              </w:rPr>
              <w:t>$35,000-$74,999</w:t>
            </w:r>
          </w:p>
        </w:tc>
        <w:tc>
          <w:tcPr>
            <w:tcW w:w="922" w:type="dxa"/>
            <w:tcBorders>
              <w:top w:val="nil"/>
              <w:left w:val="nil"/>
              <w:bottom w:val="single" w:sz="4" w:space="0" w:color="969696"/>
              <w:right w:val="nil"/>
            </w:tcBorders>
            <w:shd w:val="clear" w:color="auto" w:fill="auto"/>
            <w:noWrap/>
            <w:vAlign w:val="bottom"/>
            <w:hideMark/>
          </w:tcPr>
          <w:p w14:paraId="792625A8" w14:textId="37314A6A" w:rsidR="00E80EDB" w:rsidRPr="005C76CD" w:rsidRDefault="00E80EDB" w:rsidP="00067077">
            <w:pPr>
              <w:jc w:val="right"/>
              <w:rPr>
                <w:rFonts w:eastAsia="Times New Roman" w:cs="Times New Roman"/>
                <w:color w:val="000000"/>
                <w:sz w:val="18"/>
                <w:szCs w:val="18"/>
                <w:highlight w:val="yellow"/>
              </w:rPr>
            </w:pPr>
            <w:r w:rsidRPr="008B4F27">
              <w:rPr>
                <w:rFonts w:eastAsia="Times New Roman" w:cs="Times New Roman"/>
                <w:color w:val="000000"/>
                <w:sz w:val="18"/>
                <w:szCs w:val="18"/>
              </w:rPr>
              <w:t>230</w:t>
            </w:r>
          </w:p>
        </w:tc>
        <w:tc>
          <w:tcPr>
            <w:tcW w:w="898" w:type="dxa"/>
            <w:tcBorders>
              <w:top w:val="nil"/>
              <w:left w:val="nil"/>
              <w:bottom w:val="single" w:sz="4" w:space="0" w:color="969696"/>
              <w:right w:val="nil"/>
            </w:tcBorders>
            <w:shd w:val="clear" w:color="auto" w:fill="auto"/>
            <w:noWrap/>
            <w:vAlign w:val="bottom"/>
            <w:hideMark/>
          </w:tcPr>
          <w:p w14:paraId="477FA0B5" w14:textId="245515B5" w:rsidR="00E80EDB" w:rsidRPr="005C76CD" w:rsidRDefault="00E80EDB" w:rsidP="00067077">
            <w:pPr>
              <w:jc w:val="right"/>
              <w:rPr>
                <w:rFonts w:eastAsia="Times New Roman" w:cs="Times New Roman"/>
                <w:color w:val="000000"/>
                <w:sz w:val="18"/>
                <w:szCs w:val="18"/>
                <w:highlight w:val="yellow"/>
              </w:rPr>
            </w:pPr>
            <w:r w:rsidRPr="008B4F27">
              <w:rPr>
                <w:rFonts w:eastAsia="Times New Roman" w:cs="Times New Roman"/>
                <w:color w:val="000000"/>
                <w:sz w:val="18"/>
                <w:szCs w:val="18"/>
              </w:rPr>
              <w:t>86%</w:t>
            </w:r>
          </w:p>
        </w:tc>
        <w:tc>
          <w:tcPr>
            <w:tcW w:w="1212" w:type="dxa"/>
            <w:tcBorders>
              <w:top w:val="nil"/>
              <w:left w:val="nil"/>
              <w:bottom w:val="single" w:sz="4" w:space="0" w:color="969696"/>
              <w:right w:val="nil"/>
            </w:tcBorders>
            <w:shd w:val="clear" w:color="auto" w:fill="auto"/>
            <w:noWrap/>
            <w:vAlign w:val="bottom"/>
            <w:hideMark/>
          </w:tcPr>
          <w:p w14:paraId="06451134" w14:textId="77777777" w:rsidR="00E80EDB" w:rsidRPr="00972AD5" w:rsidRDefault="00E80EDB" w:rsidP="003B1324">
            <w:pPr>
              <w:jc w:val="right"/>
              <w:rPr>
                <w:rFonts w:eastAsia="Times New Roman" w:cs="Times New Roman"/>
                <w:color w:val="000000"/>
                <w:sz w:val="18"/>
                <w:szCs w:val="18"/>
              </w:rPr>
            </w:pPr>
            <w:r w:rsidRPr="00972AD5">
              <w:rPr>
                <w:rFonts w:eastAsia="Times New Roman" w:cs="Times New Roman"/>
                <w:color w:val="000000"/>
                <w:sz w:val="18"/>
                <w:szCs w:val="18"/>
              </w:rPr>
              <w:t>53%</w:t>
            </w:r>
          </w:p>
        </w:tc>
        <w:tc>
          <w:tcPr>
            <w:tcW w:w="1440" w:type="dxa"/>
            <w:gridSpan w:val="2"/>
            <w:tcBorders>
              <w:top w:val="nil"/>
              <w:left w:val="nil"/>
              <w:bottom w:val="single" w:sz="4" w:space="0" w:color="969696"/>
              <w:right w:val="nil"/>
            </w:tcBorders>
            <w:shd w:val="clear" w:color="auto" w:fill="auto"/>
            <w:noWrap/>
            <w:vAlign w:val="bottom"/>
            <w:hideMark/>
          </w:tcPr>
          <w:p w14:paraId="22B1BC61" w14:textId="77777777" w:rsidR="00E80EDB" w:rsidRPr="00972AD5" w:rsidRDefault="00E80EDB" w:rsidP="003B1324">
            <w:pPr>
              <w:jc w:val="right"/>
              <w:rPr>
                <w:rFonts w:eastAsia="Times New Roman" w:cs="Times New Roman"/>
                <w:color w:val="000000"/>
                <w:sz w:val="18"/>
                <w:szCs w:val="18"/>
              </w:rPr>
            </w:pPr>
            <w:r w:rsidRPr="00972AD5">
              <w:rPr>
                <w:rFonts w:eastAsia="Times New Roman" w:cs="Times New Roman"/>
                <w:color w:val="000000"/>
                <w:sz w:val="18"/>
                <w:szCs w:val="18"/>
              </w:rPr>
              <w:t>54%</w:t>
            </w:r>
          </w:p>
        </w:tc>
      </w:tr>
      <w:tr w:rsidR="00E80EDB" w:rsidRPr="00972AD5" w14:paraId="386CAD1C" w14:textId="77777777" w:rsidTr="003B1324">
        <w:trPr>
          <w:trHeight w:val="300"/>
        </w:trPr>
        <w:tc>
          <w:tcPr>
            <w:tcW w:w="1921" w:type="dxa"/>
            <w:tcBorders>
              <w:top w:val="nil"/>
              <w:left w:val="nil"/>
              <w:bottom w:val="single" w:sz="4" w:space="0" w:color="auto"/>
              <w:right w:val="nil"/>
            </w:tcBorders>
            <w:shd w:val="clear" w:color="auto" w:fill="auto"/>
            <w:noWrap/>
            <w:vAlign w:val="bottom"/>
            <w:hideMark/>
          </w:tcPr>
          <w:p w14:paraId="386A64DC" w14:textId="77777777" w:rsidR="00E80EDB" w:rsidRPr="00972AD5" w:rsidRDefault="00E80EDB" w:rsidP="00067077">
            <w:pPr>
              <w:rPr>
                <w:rFonts w:eastAsia="Times New Roman" w:cs="Times New Roman"/>
                <w:color w:val="000000"/>
                <w:sz w:val="18"/>
                <w:szCs w:val="18"/>
              </w:rPr>
            </w:pPr>
            <w:r w:rsidRPr="00972AD5">
              <w:rPr>
                <w:rFonts w:eastAsia="Times New Roman" w:cs="Times New Roman"/>
                <w:color w:val="000000"/>
                <w:sz w:val="18"/>
                <w:szCs w:val="18"/>
              </w:rPr>
              <w:t> </w:t>
            </w:r>
          </w:p>
        </w:tc>
        <w:tc>
          <w:tcPr>
            <w:tcW w:w="1902" w:type="dxa"/>
            <w:tcBorders>
              <w:top w:val="nil"/>
              <w:left w:val="nil"/>
              <w:bottom w:val="single" w:sz="4" w:space="0" w:color="auto"/>
              <w:right w:val="nil"/>
            </w:tcBorders>
            <w:shd w:val="clear" w:color="auto" w:fill="auto"/>
            <w:noWrap/>
            <w:vAlign w:val="bottom"/>
            <w:hideMark/>
          </w:tcPr>
          <w:p w14:paraId="64AC2276" w14:textId="77777777" w:rsidR="00E80EDB" w:rsidRPr="00972AD5" w:rsidRDefault="00E80EDB" w:rsidP="00067077">
            <w:pPr>
              <w:rPr>
                <w:rFonts w:eastAsia="Times New Roman" w:cs="Times New Roman"/>
                <w:color w:val="000000"/>
                <w:sz w:val="18"/>
                <w:szCs w:val="18"/>
              </w:rPr>
            </w:pPr>
            <w:r w:rsidRPr="00972AD5">
              <w:rPr>
                <w:rFonts w:eastAsia="Times New Roman" w:cs="Times New Roman"/>
                <w:color w:val="000000"/>
                <w:sz w:val="18"/>
                <w:szCs w:val="18"/>
              </w:rPr>
              <w:t>$75,000+</w:t>
            </w:r>
          </w:p>
        </w:tc>
        <w:tc>
          <w:tcPr>
            <w:tcW w:w="922" w:type="dxa"/>
            <w:tcBorders>
              <w:top w:val="nil"/>
              <w:left w:val="nil"/>
              <w:bottom w:val="single" w:sz="4" w:space="0" w:color="auto"/>
              <w:right w:val="nil"/>
            </w:tcBorders>
            <w:shd w:val="clear" w:color="auto" w:fill="auto"/>
            <w:noWrap/>
            <w:vAlign w:val="bottom"/>
            <w:hideMark/>
          </w:tcPr>
          <w:p w14:paraId="3AB30134" w14:textId="69BF8CF5" w:rsidR="00E80EDB" w:rsidRPr="005C76CD" w:rsidRDefault="00E80EDB" w:rsidP="00067077">
            <w:pPr>
              <w:jc w:val="right"/>
              <w:rPr>
                <w:rFonts w:eastAsia="Times New Roman" w:cs="Times New Roman"/>
                <w:color w:val="000000"/>
                <w:sz w:val="18"/>
                <w:szCs w:val="18"/>
                <w:highlight w:val="yellow"/>
              </w:rPr>
            </w:pPr>
            <w:r w:rsidRPr="008B4F27">
              <w:rPr>
                <w:rFonts w:eastAsia="Times New Roman" w:cs="Times New Roman"/>
                <w:color w:val="000000"/>
                <w:sz w:val="18"/>
                <w:szCs w:val="18"/>
              </w:rPr>
              <w:t>1087</w:t>
            </w:r>
          </w:p>
        </w:tc>
        <w:tc>
          <w:tcPr>
            <w:tcW w:w="898" w:type="dxa"/>
            <w:tcBorders>
              <w:top w:val="nil"/>
              <w:left w:val="nil"/>
              <w:bottom w:val="single" w:sz="4" w:space="0" w:color="auto"/>
              <w:right w:val="nil"/>
            </w:tcBorders>
            <w:shd w:val="clear" w:color="auto" w:fill="auto"/>
            <w:noWrap/>
            <w:vAlign w:val="bottom"/>
            <w:hideMark/>
          </w:tcPr>
          <w:p w14:paraId="0041F6CB" w14:textId="4165BD11" w:rsidR="00E80EDB" w:rsidRPr="005C76CD" w:rsidRDefault="00E80EDB" w:rsidP="00067077">
            <w:pPr>
              <w:jc w:val="right"/>
              <w:rPr>
                <w:rFonts w:eastAsia="Times New Roman" w:cs="Times New Roman"/>
                <w:color w:val="000000"/>
                <w:sz w:val="18"/>
                <w:szCs w:val="18"/>
                <w:highlight w:val="yellow"/>
              </w:rPr>
            </w:pPr>
            <w:r w:rsidRPr="008B4F27">
              <w:rPr>
                <w:rFonts w:eastAsia="Times New Roman" w:cs="Times New Roman"/>
                <w:color w:val="000000"/>
                <w:sz w:val="18"/>
                <w:szCs w:val="18"/>
              </w:rPr>
              <w:t>38%</w:t>
            </w:r>
          </w:p>
        </w:tc>
        <w:tc>
          <w:tcPr>
            <w:tcW w:w="1212" w:type="dxa"/>
            <w:tcBorders>
              <w:top w:val="nil"/>
              <w:left w:val="nil"/>
              <w:bottom w:val="single" w:sz="4" w:space="0" w:color="auto"/>
              <w:right w:val="nil"/>
            </w:tcBorders>
            <w:shd w:val="clear" w:color="auto" w:fill="auto"/>
            <w:noWrap/>
            <w:vAlign w:val="bottom"/>
            <w:hideMark/>
          </w:tcPr>
          <w:p w14:paraId="7DA5877C" w14:textId="77777777" w:rsidR="00E80EDB" w:rsidRPr="00972AD5" w:rsidRDefault="00E80EDB" w:rsidP="003B1324">
            <w:pPr>
              <w:jc w:val="right"/>
              <w:rPr>
                <w:rFonts w:eastAsia="Times New Roman" w:cs="Times New Roman"/>
                <w:color w:val="000000"/>
                <w:sz w:val="18"/>
                <w:szCs w:val="18"/>
              </w:rPr>
            </w:pPr>
            <w:r w:rsidRPr="00972AD5">
              <w:rPr>
                <w:rFonts w:eastAsia="Times New Roman" w:cs="Times New Roman"/>
                <w:color w:val="000000"/>
                <w:sz w:val="18"/>
                <w:szCs w:val="18"/>
              </w:rPr>
              <w:t>33%</w:t>
            </w:r>
          </w:p>
        </w:tc>
        <w:tc>
          <w:tcPr>
            <w:tcW w:w="1440" w:type="dxa"/>
            <w:gridSpan w:val="2"/>
            <w:tcBorders>
              <w:top w:val="nil"/>
              <w:left w:val="nil"/>
              <w:bottom w:val="single" w:sz="4" w:space="0" w:color="auto"/>
              <w:right w:val="nil"/>
            </w:tcBorders>
            <w:shd w:val="clear" w:color="auto" w:fill="auto"/>
            <w:noWrap/>
            <w:vAlign w:val="bottom"/>
            <w:hideMark/>
          </w:tcPr>
          <w:p w14:paraId="524B93A9" w14:textId="77777777" w:rsidR="00E80EDB" w:rsidRPr="00972AD5" w:rsidRDefault="00E80EDB" w:rsidP="003B1324">
            <w:pPr>
              <w:jc w:val="right"/>
              <w:rPr>
                <w:rFonts w:eastAsia="Times New Roman" w:cs="Times New Roman"/>
                <w:color w:val="000000"/>
                <w:sz w:val="18"/>
                <w:szCs w:val="18"/>
              </w:rPr>
            </w:pPr>
            <w:r w:rsidRPr="00972AD5">
              <w:rPr>
                <w:rFonts w:eastAsia="Times New Roman" w:cs="Times New Roman"/>
                <w:color w:val="000000"/>
                <w:sz w:val="18"/>
                <w:szCs w:val="18"/>
              </w:rPr>
              <w:t>27%</w:t>
            </w:r>
          </w:p>
        </w:tc>
      </w:tr>
      <w:tr w:rsidR="003B1324" w:rsidRPr="00972AD5" w14:paraId="0EEB1CCD" w14:textId="77777777" w:rsidTr="003B1324">
        <w:trPr>
          <w:trHeight w:val="300"/>
        </w:trPr>
        <w:tc>
          <w:tcPr>
            <w:tcW w:w="1921" w:type="dxa"/>
            <w:tcBorders>
              <w:top w:val="nil"/>
              <w:left w:val="nil"/>
              <w:bottom w:val="nil"/>
              <w:right w:val="nil"/>
            </w:tcBorders>
            <w:shd w:val="clear" w:color="auto" w:fill="auto"/>
            <w:noWrap/>
            <w:vAlign w:val="bottom"/>
            <w:hideMark/>
          </w:tcPr>
          <w:p w14:paraId="3C39E888" w14:textId="77777777" w:rsidR="003B1324" w:rsidRPr="008D1973" w:rsidRDefault="003B1324" w:rsidP="00067077">
            <w:pPr>
              <w:rPr>
                <w:rFonts w:eastAsia="Times New Roman" w:cs="Times New Roman"/>
                <w:b/>
                <w:color w:val="000000"/>
                <w:sz w:val="18"/>
                <w:szCs w:val="18"/>
              </w:rPr>
            </w:pPr>
            <w:r w:rsidRPr="008D1973">
              <w:rPr>
                <w:rFonts w:eastAsia="Times New Roman" w:cs="Times New Roman"/>
                <w:b/>
                <w:color w:val="000000"/>
                <w:sz w:val="18"/>
                <w:szCs w:val="18"/>
              </w:rPr>
              <w:t>Renter-occupied</w:t>
            </w:r>
          </w:p>
        </w:tc>
        <w:tc>
          <w:tcPr>
            <w:tcW w:w="1902" w:type="dxa"/>
            <w:tcBorders>
              <w:top w:val="nil"/>
              <w:left w:val="nil"/>
              <w:bottom w:val="single" w:sz="4" w:space="0" w:color="969696"/>
              <w:right w:val="nil"/>
            </w:tcBorders>
            <w:shd w:val="clear" w:color="auto" w:fill="auto"/>
            <w:noWrap/>
            <w:vAlign w:val="bottom"/>
            <w:hideMark/>
          </w:tcPr>
          <w:p w14:paraId="149A8FB0" w14:textId="77777777" w:rsidR="003B1324" w:rsidRPr="00972AD5" w:rsidRDefault="003B1324" w:rsidP="00067077">
            <w:pPr>
              <w:rPr>
                <w:rFonts w:eastAsia="Times New Roman" w:cs="Times New Roman"/>
                <w:color w:val="000000"/>
                <w:sz w:val="18"/>
                <w:szCs w:val="18"/>
              </w:rPr>
            </w:pPr>
            <w:r w:rsidRPr="00972AD5">
              <w:rPr>
                <w:rFonts w:eastAsia="Times New Roman" w:cs="Times New Roman"/>
                <w:color w:val="000000"/>
                <w:sz w:val="18"/>
                <w:szCs w:val="18"/>
              </w:rPr>
              <w:t>Less than $35,000</w:t>
            </w:r>
          </w:p>
        </w:tc>
        <w:tc>
          <w:tcPr>
            <w:tcW w:w="922" w:type="dxa"/>
            <w:tcBorders>
              <w:top w:val="nil"/>
              <w:left w:val="nil"/>
              <w:bottom w:val="single" w:sz="4" w:space="0" w:color="969696"/>
              <w:right w:val="nil"/>
            </w:tcBorders>
            <w:shd w:val="clear" w:color="auto" w:fill="auto"/>
            <w:noWrap/>
            <w:vAlign w:val="bottom"/>
            <w:hideMark/>
          </w:tcPr>
          <w:p w14:paraId="08870418" w14:textId="3092E55E" w:rsidR="003B1324" w:rsidRPr="00E80EDB" w:rsidRDefault="00E80EDB" w:rsidP="00067077">
            <w:pPr>
              <w:jc w:val="right"/>
              <w:rPr>
                <w:rFonts w:eastAsia="Times New Roman" w:cs="Times New Roman"/>
                <w:color w:val="000000"/>
                <w:sz w:val="18"/>
                <w:szCs w:val="18"/>
              </w:rPr>
            </w:pPr>
            <w:r>
              <w:rPr>
                <w:rFonts w:eastAsia="Times New Roman" w:cs="Times New Roman"/>
                <w:color w:val="000000"/>
                <w:sz w:val="18"/>
                <w:szCs w:val="18"/>
              </w:rPr>
              <w:t>—</w:t>
            </w:r>
          </w:p>
        </w:tc>
        <w:tc>
          <w:tcPr>
            <w:tcW w:w="898" w:type="dxa"/>
            <w:tcBorders>
              <w:top w:val="nil"/>
              <w:left w:val="nil"/>
              <w:bottom w:val="single" w:sz="4" w:space="0" w:color="969696"/>
              <w:right w:val="nil"/>
            </w:tcBorders>
            <w:shd w:val="clear" w:color="auto" w:fill="auto"/>
            <w:noWrap/>
            <w:vAlign w:val="bottom"/>
            <w:hideMark/>
          </w:tcPr>
          <w:p w14:paraId="3EB4C630" w14:textId="64E7DB10" w:rsidR="003B1324" w:rsidRPr="00E80EDB" w:rsidRDefault="00E80EDB" w:rsidP="00067077">
            <w:pPr>
              <w:jc w:val="right"/>
              <w:rPr>
                <w:rFonts w:eastAsia="Times New Roman" w:cs="Times New Roman"/>
                <w:color w:val="000000"/>
                <w:sz w:val="18"/>
                <w:szCs w:val="18"/>
              </w:rPr>
            </w:pPr>
            <w:r>
              <w:rPr>
                <w:rFonts w:eastAsia="Times New Roman" w:cs="Times New Roman"/>
                <w:color w:val="000000"/>
                <w:sz w:val="18"/>
                <w:szCs w:val="18"/>
              </w:rPr>
              <w:t>—</w:t>
            </w:r>
          </w:p>
        </w:tc>
        <w:tc>
          <w:tcPr>
            <w:tcW w:w="1212" w:type="dxa"/>
            <w:tcBorders>
              <w:top w:val="nil"/>
              <w:left w:val="nil"/>
              <w:bottom w:val="single" w:sz="4" w:space="0" w:color="969696"/>
              <w:right w:val="nil"/>
            </w:tcBorders>
            <w:shd w:val="clear" w:color="auto" w:fill="auto"/>
            <w:noWrap/>
            <w:vAlign w:val="bottom"/>
            <w:hideMark/>
          </w:tcPr>
          <w:p w14:paraId="3824057E" w14:textId="77777777" w:rsidR="003B1324" w:rsidRPr="00972AD5" w:rsidRDefault="003B1324" w:rsidP="003B1324">
            <w:pPr>
              <w:jc w:val="right"/>
              <w:rPr>
                <w:rFonts w:eastAsia="Times New Roman" w:cs="Times New Roman"/>
                <w:color w:val="000000"/>
                <w:sz w:val="18"/>
                <w:szCs w:val="18"/>
              </w:rPr>
            </w:pPr>
            <w:r w:rsidRPr="00972AD5">
              <w:rPr>
                <w:rFonts w:eastAsia="Times New Roman" w:cs="Times New Roman"/>
                <w:color w:val="000000"/>
                <w:sz w:val="18"/>
                <w:szCs w:val="18"/>
              </w:rPr>
              <w:t>95%</w:t>
            </w:r>
          </w:p>
        </w:tc>
        <w:tc>
          <w:tcPr>
            <w:tcW w:w="1440" w:type="dxa"/>
            <w:gridSpan w:val="2"/>
            <w:tcBorders>
              <w:top w:val="nil"/>
              <w:left w:val="nil"/>
              <w:bottom w:val="single" w:sz="4" w:space="0" w:color="969696"/>
              <w:right w:val="nil"/>
            </w:tcBorders>
            <w:shd w:val="clear" w:color="auto" w:fill="auto"/>
            <w:noWrap/>
            <w:vAlign w:val="bottom"/>
            <w:hideMark/>
          </w:tcPr>
          <w:p w14:paraId="58F37562" w14:textId="77777777" w:rsidR="003B1324" w:rsidRPr="00972AD5" w:rsidRDefault="003B1324" w:rsidP="003B1324">
            <w:pPr>
              <w:jc w:val="right"/>
              <w:rPr>
                <w:rFonts w:eastAsia="Times New Roman" w:cs="Times New Roman"/>
                <w:color w:val="000000"/>
                <w:sz w:val="18"/>
                <w:szCs w:val="18"/>
              </w:rPr>
            </w:pPr>
            <w:r w:rsidRPr="00972AD5">
              <w:rPr>
                <w:rFonts w:eastAsia="Times New Roman" w:cs="Times New Roman"/>
                <w:color w:val="000000"/>
                <w:sz w:val="18"/>
                <w:szCs w:val="18"/>
              </w:rPr>
              <w:t>90%</w:t>
            </w:r>
          </w:p>
        </w:tc>
      </w:tr>
      <w:tr w:rsidR="003B1324" w:rsidRPr="00972AD5" w14:paraId="50331493" w14:textId="77777777" w:rsidTr="003B1324">
        <w:trPr>
          <w:trHeight w:val="300"/>
        </w:trPr>
        <w:tc>
          <w:tcPr>
            <w:tcW w:w="1921" w:type="dxa"/>
            <w:tcBorders>
              <w:top w:val="nil"/>
              <w:left w:val="nil"/>
              <w:bottom w:val="nil"/>
              <w:right w:val="nil"/>
            </w:tcBorders>
            <w:shd w:val="clear" w:color="auto" w:fill="auto"/>
            <w:noWrap/>
            <w:vAlign w:val="bottom"/>
            <w:hideMark/>
          </w:tcPr>
          <w:p w14:paraId="6CBCA309" w14:textId="77777777" w:rsidR="003B1324" w:rsidRPr="00972AD5" w:rsidRDefault="003B1324" w:rsidP="00067077">
            <w:pPr>
              <w:rPr>
                <w:rFonts w:eastAsia="Times New Roman" w:cs="Times New Roman"/>
                <w:color w:val="000000"/>
                <w:sz w:val="18"/>
                <w:szCs w:val="18"/>
              </w:rPr>
            </w:pPr>
          </w:p>
        </w:tc>
        <w:tc>
          <w:tcPr>
            <w:tcW w:w="1902" w:type="dxa"/>
            <w:tcBorders>
              <w:top w:val="nil"/>
              <w:left w:val="nil"/>
              <w:bottom w:val="single" w:sz="4" w:space="0" w:color="969696"/>
              <w:right w:val="nil"/>
            </w:tcBorders>
            <w:shd w:val="clear" w:color="auto" w:fill="auto"/>
            <w:noWrap/>
            <w:vAlign w:val="bottom"/>
            <w:hideMark/>
          </w:tcPr>
          <w:p w14:paraId="1BC783D0" w14:textId="77777777" w:rsidR="003B1324" w:rsidRPr="00972AD5" w:rsidRDefault="003B1324" w:rsidP="00067077">
            <w:pPr>
              <w:rPr>
                <w:rFonts w:eastAsia="Times New Roman" w:cs="Times New Roman"/>
                <w:color w:val="000000"/>
                <w:sz w:val="18"/>
                <w:szCs w:val="18"/>
              </w:rPr>
            </w:pPr>
            <w:r w:rsidRPr="00972AD5">
              <w:rPr>
                <w:rFonts w:eastAsia="Times New Roman" w:cs="Times New Roman"/>
                <w:color w:val="000000"/>
                <w:sz w:val="18"/>
                <w:szCs w:val="18"/>
              </w:rPr>
              <w:t>$35,000-$74,999</w:t>
            </w:r>
          </w:p>
        </w:tc>
        <w:tc>
          <w:tcPr>
            <w:tcW w:w="922" w:type="dxa"/>
            <w:tcBorders>
              <w:top w:val="nil"/>
              <w:left w:val="nil"/>
              <w:bottom w:val="single" w:sz="4" w:space="0" w:color="969696"/>
              <w:right w:val="nil"/>
            </w:tcBorders>
            <w:shd w:val="clear" w:color="auto" w:fill="auto"/>
            <w:noWrap/>
            <w:vAlign w:val="bottom"/>
            <w:hideMark/>
          </w:tcPr>
          <w:p w14:paraId="501879A2" w14:textId="01F9C95B" w:rsidR="003B1324" w:rsidRPr="00E80EDB" w:rsidRDefault="00E80EDB" w:rsidP="00067077">
            <w:pPr>
              <w:jc w:val="right"/>
              <w:rPr>
                <w:rFonts w:eastAsia="Times New Roman" w:cs="Times New Roman"/>
                <w:color w:val="000000"/>
                <w:sz w:val="18"/>
                <w:szCs w:val="18"/>
              </w:rPr>
            </w:pPr>
            <w:r>
              <w:rPr>
                <w:rFonts w:eastAsia="Times New Roman" w:cs="Times New Roman"/>
                <w:color w:val="000000"/>
                <w:sz w:val="18"/>
                <w:szCs w:val="18"/>
              </w:rPr>
              <w:t>—</w:t>
            </w:r>
          </w:p>
        </w:tc>
        <w:tc>
          <w:tcPr>
            <w:tcW w:w="898" w:type="dxa"/>
            <w:tcBorders>
              <w:top w:val="nil"/>
              <w:left w:val="nil"/>
              <w:bottom w:val="single" w:sz="4" w:space="0" w:color="969696"/>
              <w:right w:val="nil"/>
            </w:tcBorders>
            <w:shd w:val="clear" w:color="auto" w:fill="auto"/>
            <w:noWrap/>
            <w:vAlign w:val="bottom"/>
            <w:hideMark/>
          </w:tcPr>
          <w:p w14:paraId="55FF2919" w14:textId="4B8156DB" w:rsidR="003B1324" w:rsidRPr="00E80EDB" w:rsidRDefault="00E80EDB" w:rsidP="00067077">
            <w:pPr>
              <w:jc w:val="right"/>
              <w:rPr>
                <w:rFonts w:eastAsia="Times New Roman" w:cs="Times New Roman"/>
                <w:color w:val="000000"/>
                <w:sz w:val="18"/>
                <w:szCs w:val="18"/>
              </w:rPr>
            </w:pPr>
            <w:r>
              <w:rPr>
                <w:rFonts w:eastAsia="Times New Roman" w:cs="Times New Roman"/>
                <w:color w:val="000000"/>
                <w:sz w:val="18"/>
                <w:szCs w:val="18"/>
              </w:rPr>
              <w:t>—</w:t>
            </w:r>
          </w:p>
        </w:tc>
        <w:tc>
          <w:tcPr>
            <w:tcW w:w="1212" w:type="dxa"/>
            <w:tcBorders>
              <w:top w:val="nil"/>
              <w:left w:val="nil"/>
              <w:bottom w:val="single" w:sz="4" w:space="0" w:color="969696"/>
              <w:right w:val="nil"/>
            </w:tcBorders>
            <w:shd w:val="clear" w:color="auto" w:fill="auto"/>
            <w:noWrap/>
            <w:vAlign w:val="bottom"/>
            <w:hideMark/>
          </w:tcPr>
          <w:p w14:paraId="38D8777A" w14:textId="77777777" w:rsidR="003B1324" w:rsidRPr="00972AD5" w:rsidRDefault="003B1324" w:rsidP="003B1324">
            <w:pPr>
              <w:jc w:val="right"/>
              <w:rPr>
                <w:rFonts w:eastAsia="Times New Roman" w:cs="Times New Roman"/>
                <w:color w:val="000000"/>
                <w:sz w:val="18"/>
                <w:szCs w:val="18"/>
              </w:rPr>
            </w:pPr>
            <w:r w:rsidRPr="00972AD5">
              <w:rPr>
                <w:rFonts w:eastAsia="Times New Roman" w:cs="Times New Roman"/>
                <w:color w:val="000000"/>
                <w:sz w:val="18"/>
                <w:szCs w:val="18"/>
              </w:rPr>
              <w:t>61%</w:t>
            </w:r>
          </w:p>
        </w:tc>
        <w:tc>
          <w:tcPr>
            <w:tcW w:w="1440" w:type="dxa"/>
            <w:gridSpan w:val="2"/>
            <w:tcBorders>
              <w:top w:val="nil"/>
              <w:left w:val="nil"/>
              <w:bottom w:val="single" w:sz="4" w:space="0" w:color="969696"/>
              <w:right w:val="nil"/>
            </w:tcBorders>
            <w:shd w:val="clear" w:color="auto" w:fill="auto"/>
            <w:noWrap/>
            <w:vAlign w:val="bottom"/>
            <w:hideMark/>
          </w:tcPr>
          <w:p w14:paraId="636C6387" w14:textId="77777777" w:rsidR="003B1324" w:rsidRPr="00972AD5" w:rsidRDefault="003B1324" w:rsidP="003B1324">
            <w:pPr>
              <w:jc w:val="right"/>
              <w:rPr>
                <w:rFonts w:eastAsia="Times New Roman" w:cs="Times New Roman"/>
                <w:color w:val="000000"/>
                <w:sz w:val="18"/>
                <w:szCs w:val="18"/>
              </w:rPr>
            </w:pPr>
            <w:r w:rsidRPr="00972AD5">
              <w:rPr>
                <w:rFonts w:eastAsia="Times New Roman" w:cs="Times New Roman"/>
                <w:color w:val="000000"/>
                <w:sz w:val="18"/>
                <w:szCs w:val="18"/>
              </w:rPr>
              <w:t>49%</w:t>
            </w:r>
          </w:p>
        </w:tc>
      </w:tr>
      <w:tr w:rsidR="003B1324" w:rsidRPr="00972AD5" w14:paraId="54E54006" w14:textId="77777777" w:rsidTr="003B1324">
        <w:trPr>
          <w:trHeight w:val="300"/>
        </w:trPr>
        <w:tc>
          <w:tcPr>
            <w:tcW w:w="1921" w:type="dxa"/>
            <w:tcBorders>
              <w:top w:val="nil"/>
              <w:left w:val="nil"/>
              <w:bottom w:val="single" w:sz="4" w:space="0" w:color="auto"/>
              <w:right w:val="nil"/>
            </w:tcBorders>
            <w:shd w:val="clear" w:color="auto" w:fill="auto"/>
            <w:noWrap/>
            <w:vAlign w:val="bottom"/>
            <w:hideMark/>
          </w:tcPr>
          <w:p w14:paraId="52A91FC5" w14:textId="77777777" w:rsidR="003B1324" w:rsidRPr="00972AD5" w:rsidRDefault="003B1324" w:rsidP="00067077">
            <w:pPr>
              <w:rPr>
                <w:rFonts w:eastAsia="Times New Roman" w:cs="Times New Roman"/>
                <w:color w:val="000000"/>
                <w:sz w:val="18"/>
                <w:szCs w:val="18"/>
              </w:rPr>
            </w:pPr>
            <w:r w:rsidRPr="00972AD5">
              <w:rPr>
                <w:rFonts w:eastAsia="Times New Roman" w:cs="Times New Roman"/>
                <w:color w:val="000000"/>
                <w:sz w:val="18"/>
                <w:szCs w:val="18"/>
              </w:rPr>
              <w:t> </w:t>
            </w:r>
          </w:p>
        </w:tc>
        <w:tc>
          <w:tcPr>
            <w:tcW w:w="1902" w:type="dxa"/>
            <w:tcBorders>
              <w:top w:val="nil"/>
              <w:left w:val="nil"/>
              <w:bottom w:val="single" w:sz="4" w:space="0" w:color="auto"/>
              <w:right w:val="nil"/>
            </w:tcBorders>
            <w:shd w:val="clear" w:color="auto" w:fill="auto"/>
            <w:noWrap/>
            <w:vAlign w:val="bottom"/>
            <w:hideMark/>
          </w:tcPr>
          <w:p w14:paraId="3D34B6A3" w14:textId="77777777" w:rsidR="003B1324" w:rsidRPr="00972AD5" w:rsidRDefault="003B1324" w:rsidP="00067077">
            <w:pPr>
              <w:rPr>
                <w:rFonts w:eastAsia="Times New Roman" w:cs="Times New Roman"/>
                <w:color w:val="000000"/>
                <w:sz w:val="18"/>
                <w:szCs w:val="18"/>
              </w:rPr>
            </w:pPr>
            <w:r w:rsidRPr="00972AD5">
              <w:rPr>
                <w:rFonts w:eastAsia="Times New Roman" w:cs="Times New Roman"/>
                <w:color w:val="000000"/>
                <w:sz w:val="18"/>
                <w:szCs w:val="18"/>
              </w:rPr>
              <w:t>$75,000+</w:t>
            </w:r>
          </w:p>
        </w:tc>
        <w:tc>
          <w:tcPr>
            <w:tcW w:w="922" w:type="dxa"/>
            <w:tcBorders>
              <w:top w:val="nil"/>
              <w:left w:val="nil"/>
              <w:bottom w:val="single" w:sz="4" w:space="0" w:color="auto"/>
              <w:right w:val="nil"/>
            </w:tcBorders>
            <w:shd w:val="clear" w:color="auto" w:fill="auto"/>
            <w:noWrap/>
            <w:vAlign w:val="bottom"/>
            <w:hideMark/>
          </w:tcPr>
          <w:p w14:paraId="2A4F5E89" w14:textId="31002126" w:rsidR="003B1324" w:rsidRPr="00E80EDB" w:rsidRDefault="00E80EDB" w:rsidP="00067077">
            <w:pPr>
              <w:jc w:val="right"/>
              <w:rPr>
                <w:rFonts w:eastAsia="Times New Roman" w:cs="Times New Roman"/>
                <w:color w:val="000000"/>
                <w:sz w:val="18"/>
                <w:szCs w:val="18"/>
              </w:rPr>
            </w:pPr>
            <w:r>
              <w:rPr>
                <w:rFonts w:eastAsia="Times New Roman" w:cs="Times New Roman"/>
                <w:color w:val="000000"/>
                <w:sz w:val="18"/>
                <w:szCs w:val="18"/>
              </w:rPr>
              <w:t>—</w:t>
            </w:r>
          </w:p>
        </w:tc>
        <w:tc>
          <w:tcPr>
            <w:tcW w:w="898" w:type="dxa"/>
            <w:tcBorders>
              <w:top w:val="nil"/>
              <w:left w:val="nil"/>
              <w:bottom w:val="single" w:sz="4" w:space="0" w:color="auto"/>
              <w:right w:val="nil"/>
            </w:tcBorders>
            <w:shd w:val="clear" w:color="auto" w:fill="auto"/>
            <w:noWrap/>
            <w:vAlign w:val="bottom"/>
            <w:hideMark/>
          </w:tcPr>
          <w:p w14:paraId="41EA8702" w14:textId="62F5085C" w:rsidR="003B1324" w:rsidRPr="00E80EDB" w:rsidRDefault="00E80EDB" w:rsidP="00067077">
            <w:pPr>
              <w:jc w:val="right"/>
              <w:rPr>
                <w:rFonts w:eastAsia="Times New Roman" w:cs="Times New Roman"/>
                <w:color w:val="000000"/>
                <w:sz w:val="18"/>
                <w:szCs w:val="18"/>
              </w:rPr>
            </w:pPr>
            <w:r>
              <w:rPr>
                <w:rFonts w:eastAsia="Times New Roman" w:cs="Times New Roman"/>
                <w:color w:val="000000"/>
                <w:sz w:val="18"/>
                <w:szCs w:val="18"/>
              </w:rPr>
              <w:t>—</w:t>
            </w:r>
          </w:p>
        </w:tc>
        <w:tc>
          <w:tcPr>
            <w:tcW w:w="1212" w:type="dxa"/>
            <w:tcBorders>
              <w:top w:val="nil"/>
              <w:left w:val="nil"/>
              <w:bottom w:val="single" w:sz="4" w:space="0" w:color="auto"/>
              <w:right w:val="nil"/>
            </w:tcBorders>
            <w:shd w:val="clear" w:color="auto" w:fill="auto"/>
            <w:noWrap/>
            <w:vAlign w:val="bottom"/>
            <w:hideMark/>
          </w:tcPr>
          <w:p w14:paraId="5D4A3E60" w14:textId="77777777" w:rsidR="003B1324" w:rsidRPr="00972AD5" w:rsidRDefault="003B1324" w:rsidP="003B1324">
            <w:pPr>
              <w:jc w:val="right"/>
              <w:rPr>
                <w:rFonts w:eastAsia="Times New Roman" w:cs="Times New Roman"/>
                <w:color w:val="000000"/>
                <w:sz w:val="18"/>
                <w:szCs w:val="18"/>
              </w:rPr>
            </w:pPr>
            <w:r w:rsidRPr="00972AD5">
              <w:rPr>
                <w:rFonts w:eastAsia="Times New Roman" w:cs="Times New Roman"/>
                <w:color w:val="000000"/>
                <w:sz w:val="18"/>
                <w:szCs w:val="18"/>
              </w:rPr>
              <w:t>11%</w:t>
            </w:r>
          </w:p>
        </w:tc>
        <w:tc>
          <w:tcPr>
            <w:tcW w:w="1440" w:type="dxa"/>
            <w:gridSpan w:val="2"/>
            <w:tcBorders>
              <w:top w:val="nil"/>
              <w:left w:val="nil"/>
              <w:bottom w:val="single" w:sz="4" w:space="0" w:color="auto"/>
              <w:right w:val="nil"/>
            </w:tcBorders>
            <w:shd w:val="clear" w:color="auto" w:fill="auto"/>
            <w:noWrap/>
            <w:vAlign w:val="bottom"/>
            <w:hideMark/>
          </w:tcPr>
          <w:p w14:paraId="0447E33D" w14:textId="77777777" w:rsidR="003B1324" w:rsidRPr="00972AD5" w:rsidRDefault="003B1324" w:rsidP="003B1324">
            <w:pPr>
              <w:jc w:val="right"/>
              <w:rPr>
                <w:rFonts w:eastAsia="Times New Roman" w:cs="Times New Roman"/>
                <w:color w:val="000000"/>
                <w:sz w:val="18"/>
                <w:szCs w:val="18"/>
              </w:rPr>
            </w:pPr>
            <w:r w:rsidRPr="00972AD5">
              <w:rPr>
                <w:rFonts w:eastAsia="Times New Roman" w:cs="Times New Roman"/>
                <w:color w:val="000000"/>
                <w:sz w:val="18"/>
                <w:szCs w:val="18"/>
              </w:rPr>
              <w:t>9%</w:t>
            </w:r>
          </w:p>
        </w:tc>
      </w:tr>
      <w:tr w:rsidR="003B1324" w:rsidRPr="006669C0" w14:paraId="23E7F92D" w14:textId="77777777" w:rsidTr="003B1324">
        <w:trPr>
          <w:gridAfter w:val="1"/>
          <w:wAfter w:w="751" w:type="dxa"/>
          <w:trHeight w:val="300"/>
        </w:trPr>
        <w:tc>
          <w:tcPr>
            <w:tcW w:w="7544" w:type="dxa"/>
            <w:gridSpan w:val="6"/>
            <w:tcBorders>
              <w:top w:val="single" w:sz="4" w:space="0" w:color="auto"/>
              <w:left w:val="nil"/>
              <w:bottom w:val="nil"/>
              <w:right w:val="nil"/>
            </w:tcBorders>
            <w:shd w:val="clear" w:color="auto" w:fill="auto"/>
            <w:noWrap/>
            <w:vAlign w:val="bottom"/>
            <w:hideMark/>
          </w:tcPr>
          <w:p w14:paraId="542D123C" w14:textId="77777777" w:rsidR="006669C0" w:rsidRDefault="006669C0" w:rsidP="003B1324">
            <w:pPr>
              <w:spacing w:line="240" w:lineRule="auto"/>
              <w:rPr>
                <w:rFonts w:eastAsia="Times New Roman" w:cs="Times New Roman"/>
                <w:iCs/>
                <w:color w:val="000000"/>
                <w:sz w:val="18"/>
                <w:szCs w:val="16"/>
              </w:rPr>
            </w:pPr>
          </w:p>
          <w:p w14:paraId="79D60E1A" w14:textId="672621B5" w:rsidR="003B1324" w:rsidRPr="006669C0" w:rsidRDefault="003B1324" w:rsidP="003B1324">
            <w:pPr>
              <w:spacing w:line="240" w:lineRule="auto"/>
              <w:rPr>
                <w:rFonts w:eastAsia="Times New Roman" w:cs="Times New Roman"/>
                <w:iCs/>
                <w:color w:val="000000"/>
                <w:sz w:val="18"/>
                <w:szCs w:val="16"/>
              </w:rPr>
            </w:pPr>
            <w:r w:rsidRPr="006669C0">
              <w:rPr>
                <w:rFonts w:eastAsia="Times New Roman" w:cs="Times New Roman"/>
                <w:iCs/>
                <w:color w:val="000000"/>
                <w:sz w:val="18"/>
                <w:szCs w:val="16"/>
              </w:rPr>
              <w:t xml:space="preserve">Source: </w:t>
            </w:r>
            <w:r w:rsidR="0020362E">
              <w:rPr>
                <w:rFonts w:eastAsia="Times New Roman" w:cs="Times New Roman"/>
                <w:iCs/>
                <w:color w:val="000000"/>
                <w:sz w:val="18"/>
                <w:szCs w:val="16"/>
              </w:rPr>
              <w:t>2007-2011</w:t>
            </w:r>
            <w:r w:rsidRPr="006669C0">
              <w:rPr>
                <w:rFonts w:eastAsia="Times New Roman" w:cs="Times New Roman"/>
                <w:iCs/>
                <w:color w:val="000000"/>
                <w:sz w:val="18"/>
                <w:szCs w:val="16"/>
              </w:rPr>
              <w:t xml:space="preserve"> American Community Survey</w:t>
            </w:r>
          </w:p>
        </w:tc>
      </w:tr>
      <w:tr w:rsidR="003B1324" w:rsidRPr="006669C0" w14:paraId="138EC990" w14:textId="77777777" w:rsidTr="003B1324">
        <w:trPr>
          <w:gridAfter w:val="1"/>
          <w:wAfter w:w="751" w:type="dxa"/>
          <w:trHeight w:val="300"/>
        </w:trPr>
        <w:tc>
          <w:tcPr>
            <w:tcW w:w="7544" w:type="dxa"/>
            <w:gridSpan w:val="6"/>
            <w:tcBorders>
              <w:top w:val="nil"/>
              <w:left w:val="nil"/>
              <w:bottom w:val="nil"/>
              <w:right w:val="nil"/>
            </w:tcBorders>
            <w:shd w:val="clear" w:color="auto" w:fill="auto"/>
            <w:noWrap/>
            <w:vAlign w:val="bottom"/>
            <w:hideMark/>
          </w:tcPr>
          <w:p w14:paraId="154F0566" w14:textId="77777777" w:rsidR="003B1324" w:rsidRPr="006669C0" w:rsidRDefault="003B1324" w:rsidP="003B1324">
            <w:pPr>
              <w:spacing w:line="240" w:lineRule="auto"/>
              <w:rPr>
                <w:rFonts w:eastAsia="Times New Roman" w:cs="Times New Roman"/>
                <w:iCs/>
                <w:color w:val="000000"/>
                <w:sz w:val="18"/>
                <w:szCs w:val="16"/>
              </w:rPr>
            </w:pPr>
            <w:r w:rsidRPr="006669C0">
              <w:rPr>
                <w:rFonts w:eastAsia="Times New Roman" w:cs="Times New Roman"/>
                <w:iCs/>
                <w:color w:val="000000"/>
                <w:sz w:val="18"/>
                <w:szCs w:val="16"/>
              </w:rPr>
              <w:t>Note: Excludes Households with no income or cash rent.</w:t>
            </w:r>
          </w:p>
        </w:tc>
      </w:tr>
    </w:tbl>
    <w:p w14:paraId="3FBD88AB" w14:textId="77777777" w:rsidR="00D22EC0" w:rsidRDefault="00D22EC0" w:rsidP="00D22EC0">
      <w:pPr>
        <w:spacing w:line="240" w:lineRule="auto"/>
        <w:rPr>
          <w:color w:val="0B5095"/>
        </w:rPr>
      </w:pPr>
    </w:p>
    <w:p w14:paraId="6530EA93" w14:textId="77777777" w:rsidR="00D22EC0" w:rsidRDefault="00D22EC0" w:rsidP="00D22EC0">
      <w:pPr>
        <w:spacing w:line="240" w:lineRule="auto"/>
        <w:rPr>
          <w:color w:val="0B5095"/>
        </w:rPr>
      </w:pPr>
    </w:p>
    <w:p w14:paraId="0C29A3BE" w14:textId="4D0B25FF" w:rsidR="00D25635" w:rsidRPr="00D22EC0" w:rsidRDefault="00812AE9" w:rsidP="00D22EC0">
      <w:pPr>
        <w:spacing w:line="240" w:lineRule="auto"/>
        <w:rPr>
          <w:b/>
          <w:color w:val="0B5095"/>
          <w:sz w:val="36"/>
          <w:szCs w:val="28"/>
        </w:rPr>
      </w:pPr>
      <w:r w:rsidRPr="00D22EC0">
        <w:rPr>
          <w:b/>
          <w:color w:val="0B5095"/>
          <w:sz w:val="28"/>
        </w:rPr>
        <w:t xml:space="preserve">Housing </w:t>
      </w:r>
      <w:r w:rsidR="00D25635" w:rsidRPr="00D22EC0">
        <w:rPr>
          <w:b/>
          <w:color w:val="0B5095"/>
          <w:sz w:val="28"/>
        </w:rPr>
        <w:t xml:space="preserve">Overcrowding </w:t>
      </w:r>
    </w:p>
    <w:p w14:paraId="32E3DC40" w14:textId="77777777" w:rsidR="005B5E5C" w:rsidRPr="00971E36" w:rsidRDefault="005B5E5C" w:rsidP="005B5E5C">
      <w:r w:rsidRPr="00971E36">
        <w:t>According to the U.S. Census Bureau, a unit is considered overcrowded if it the unit is occupied by more than 1.01 persons per room (excluding bathrooms and kitchens). Homes with more than 1.5 persons per room are considered severely overcrowded. Overcrowding increases health and safety concerns and stresses the condition of the housing stock and infrastructure. Overcrowding correlates strongly with household size, particularly for large households.</w:t>
      </w:r>
    </w:p>
    <w:p w14:paraId="72FA1E0C" w14:textId="7A48AAD0" w:rsidR="0082463F" w:rsidRDefault="0082463F" w:rsidP="006669C0"/>
    <w:p w14:paraId="6D8F39DC" w14:textId="52AF3124" w:rsidR="003C454C" w:rsidRPr="00C37606" w:rsidRDefault="003C454C" w:rsidP="003C454C">
      <w:r w:rsidRPr="00C37606">
        <w:t xml:space="preserve">Hillsborough has almost negligible rates of overcrowding, due in part to the very large size of housing. Only seven owner-occupied homes in the entire city (or .2% of the households) are considered overcrowded. </w:t>
      </w:r>
    </w:p>
    <w:p w14:paraId="1A342098" w14:textId="6181F5ED" w:rsidR="00D25635" w:rsidRPr="00C37606" w:rsidRDefault="00D25635" w:rsidP="00E80EDB">
      <w:pPr>
        <w:spacing w:line="240" w:lineRule="auto"/>
      </w:pPr>
    </w:p>
    <w:tbl>
      <w:tblPr>
        <w:tblW w:w="9102" w:type="dxa"/>
        <w:tblInd w:w="93" w:type="dxa"/>
        <w:tblLook w:val="04A0" w:firstRow="1" w:lastRow="0" w:firstColumn="1" w:lastColumn="0" w:noHBand="0" w:noVBand="1"/>
      </w:tblPr>
      <w:tblGrid>
        <w:gridCol w:w="1005"/>
        <w:gridCol w:w="2641"/>
        <w:gridCol w:w="1697"/>
        <w:gridCol w:w="1289"/>
        <w:gridCol w:w="1235"/>
        <w:gridCol w:w="1213"/>
        <w:gridCol w:w="22"/>
      </w:tblGrid>
      <w:tr w:rsidR="00277587" w:rsidRPr="00C37606" w14:paraId="1C1C1296" w14:textId="77777777" w:rsidTr="00E80EDB">
        <w:trPr>
          <w:gridAfter w:val="1"/>
          <w:wAfter w:w="22" w:type="dxa"/>
          <w:trHeight w:val="300"/>
        </w:trPr>
        <w:tc>
          <w:tcPr>
            <w:tcW w:w="9080" w:type="dxa"/>
            <w:gridSpan w:val="6"/>
            <w:tcBorders>
              <w:top w:val="nil"/>
              <w:left w:val="nil"/>
              <w:bottom w:val="nil"/>
              <w:right w:val="nil"/>
            </w:tcBorders>
            <w:shd w:val="clear" w:color="000000" w:fill="000000"/>
            <w:noWrap/>
            <w:vAlign w:val="bottom"/>
            <w:hideMark/>
          </w:tcPr>
          <w:p w14:paraId="1259DA65" w14:textId="1A1BA4A2" w:rsidR="00277587" w:rsidRPr="00C37606" w:rsidRDefault="00277587" w:rsidP="00900F95">
            <w:pPr>
              <w:rPr>
                <w:rFonts w:eastAsia="Times New Roman" w:cs="Times New Roman"/>
                <w:b/>
                <w:bCs/>
                <w:color w:val="FFFFFF"/>
                <w:sz w:val="20"/>
                <w:szCs w:val="20"/>
              </w:rPr>
            </w:pPr>
            <w:r w:rsidRPr="00C37606">
              <w:rPr>
                <w:rFonts w:eastAsia="Times New Roman" w:cs="Times New Roman"/>
                <w:b/>
                <w:bCs/>
                <w:color w:val="FFFFFF"/>
                <w:sz w:val="20"/>
                <w:szCs w:val="20"/>
              </w:rPr>
              <w:t>Number of Overcrowded Units</w:t>
            </w:r>
            <w:r w:rsidR="007C16AA" w:rsidRPr="00C37606">
              <w:rPr>
                <w:rFonts w:eastAsia="Times New Roman" w:cs="Times New Roman"/>
                <w:b/>
                <w:bCs/>
                <w:color w:val="FFFFFF"/>
                <w:sz w:val="20"/>
                <w:szCs w:val="20"/>
              </w:rPr>
              <w:t xml:space="preserve"> (2011)</w:t>
            </w:r>
          </w:p>
        </w:tc>
      </w:tr>
      <w:tr w:rsidR="00277587" w:rsidRPr="00C37606" w14:paraId="32E689E8" w14:textId="77777777" w:rsidTr="00E80EDB">
        <w:trPr>
          <w:trHeight w:val="320"/>
        </w:trPr>
        <w:tc>
          <w:tcPr>
            <w:tcW w:w="1005" w:type="dxa"/>
            <w:tcBorders>
              <w:top w:val="nil"/>
              <w:left w:val="nil"/>
              <w:bottom w:val="single" w:sz="8" w:space="0" w:color="auto"/>
              <w:right w:val="nil"/>
            </w:tcBorders>
            <w:shd w:val="clear" w:color="auto" w:fill="auto"/>
            <w:noWrap/>
            <w:vAlign w:val="bottom"/>
            <w:hideMark/>
          </w:tcPr>
          <w:p w14:paraId="07CE19EB" w14:textId="77777777" w:rsidR="00277587" w:rsidRPr="00C37606" w:rsidRDefault="00277587" w:rsidP="003B1324">
            <w:pPr>
              <w:spacing w:line="240" w:lineRule="auto"/>
              <w:rPr>
                <w:rFonts w:eastAsia="Times New Roman" w:cs="Times New Roman"/>
                <w:b/>
                <w:color w:val="000000"/>
                <w:sz w:val="18"/>
                <w:szCs w:val="18"/>
              </w:rPr>
            </w:pPr>
            <w:r w:rsidRPr="00C37606">
              <w:rPr>
                <w:rFonts w:eastAsia="Times New Roman" w:cs="Times New Roman"/>
                <w:b/>
                <w:color w:val="000000"/>
                <w:sz w:val="18"/>
                <w:szCs w:val="18"/>
              </w:rPr>
              <w:t> </w:t>
            </w:r>
          </w:p>
        </w:tc>
        <w:tc>
          <w:tcPr>
            <w:tcW w:w="2641" w:type="dxa"/>
            <w:tcBorders>
              <w:top w:val="nil"/>
              <w:left w:val="nil"/>
              <w:bottom w:val="single" w:sz="8" w:space="0" w:color="auto"/>
              <w:right w:val="nil"/>
            </w:tcBorders>
            <w:shd w:val="clear" w:color="auto" w:fill="auto"/>
            <w:noWrap/>
            <w:vAlign w:val="bottom"/>
            <w:hideMark/>
          </w:tcPr>
          <w:p w14:paraId="08C50240" w14:textId="77777777" w:rsidR="00277587" w:rsidRPr="00C37606" w:rsidRDefault="00277587" w:rsidP="003B1324">
            <w:pPr>
              <w:spacing w:line="240" w:lineRule="auto"/>
              <w:jc w:val="right"/>
              <w:rPr>
                <w:rFonts w:eastAsia="Times New Roman" w:cs="Times New Roman"/>
                <w:b/>
                <w:bCs/>
                <w:color w:val="000000"/>
                <w:sz w:val="18"/>
                <w:szCs w:val="18"/>
              </w:rPr>
            </w:pPr>
            <w:r w:rsidRPr="00C37606">
              <w:rPr>
                <w:rFonts w:eastAsia="Times New Roman" w:cs="Times New Roman"/>
                <w:b/>
                <w:bCs/>
                <w:color w:val="000000"/>
                <w:sz w:val="18"/>
                <w:szCs w:val="18"/>
              </w:rPr>
              <w:t> </w:t>
            </w:r>
          </w:p>
        </w:tc>
        <w:tc>
          <w:tcPr>
            <w:tcW w:w="1697" w:type="dxa"/>
            <w:tcBorders>
              <w:top w:val="nil"/>
              <w:left w:val="nil"/>
              <w:bottom w:val="single" w:sz="8" w:space="0" w:color="auto"/>
              <w:right w:val="nil"/>
            </w:tcBorders>
            <w:shd w:val="clear" w:color="auto" w:fill="auto"/>
            <w:noWrap/>
            <w:vAlign w:val="bottom"/>
            <w:hideMark/>
          </w:tcPr>
          <w:p w14:paraId="17D4C047" w14:textId="77777777" w:rsidR="006669C0" w:rsidRPr="00C37606" w:rsidRDefault="006669C0" w:rsidP="006669C0">
            <w:pPr>
              <w:spacing w:line="240" w:lineRule="auto"/>
              <w:jc w:val="right"/>
              <w:rPr>
                <w:rFonts w:eastAsia="Times New Roman" w:cs="Times New Roman"/>
                <w:b/>
                <w:color w:val="000000"/>
                <w:sz w:val="18"/>
                <w:szCs w:val="18"/>
              </w:rPr>
            </w:pPr>
          </w:p>
          <w:p w14:paraId="586D29A8" w14:textId="37DD778E" w:rsidR="00277587" w:rsidRPr="00C37606" w:rsidRDefault="006669C0" w:rsidP="006669C0">
            <w:pPr>
              <w:spacing w:line="240" w:lineRule="auto"/>
              <w:jc w:val="right"/>
              <w:rPr>
                <w:rFonts w:eastAsia="Times New Roman" w:cs="Times New Roman"/>
                <w:b/>
                <w:color w:val="000000"/>
                <w:sz w:val="18"/>
                <w:szCs w:val="18"/>
              </w:rPr>
            </w:pPr>
            <w:r w:rsidRPr="00C37606">
              <w:rPr>
                <w:rFonts w:eastAsia="Times New Roman" w:cs="Times New Roman"/>
                <w:b/>
                <w:color w:val="000000"/>
                <w:sz w:val="18"/>
                <w:szCs w:val="18"/>
              </w:rPr>
              <w:t xml:space="preserve">Number of Occupied Homes in </w:t>
            </w:r>
            <w:r w:rsidR="00853231" w:rsidRPr="00C37606">
              <w:rPr>
                <w:rFonts w:eastAsia="Times New Roman" w:cs="Times New Roman"/>
                <w:b/>
                <w:color w:val="000000"/>
                <w:sz w:val="18"/>
                <w:szCs w:val="18"/>
              </w:rPr>
              <w:t>Hillsborough</w:t>
            </w:r>
          </w:p>
          <w:p w14:paraId="08F3F55E" w14:textId="1511D483" w:rsidR="006669C0" w:rsidRPr="00C37606" w:rsidRDefault="006669C0" w:rsidP="006669C0">
            <w:pPr>
              <w:spacing w:line="240" w:lineRule="auto"/>
              <w:jc w:val="right"/>
              <w:rPr>
                <w:rFonts w:eastAsia="Times New Roman" w:cs="Times New Roman"/>
                <w:b/>
                <w:color w:val="000000"/>
                <w:sz w:val="10"/>
                <w:szCs w:val="18"/>
              </w:rPr>
            </w:pPr>
          </w:p>
        </w:tc>
        <w:tc>
          <w:tcPr>
            <w:tcW w:w="1289" w:type="dxa"/>
            <w:tcBorders>
              <w:top w:val="nil"/>
              <w:left w:val="nil"/>
              <w:bottom w:val="single" w:sz="8" w:space="0" w:color="auto"/>
              <w:right w:val="nil"/>
            </w:tcBorders>
            <w:shd w:val="clear" w:color="auto" w:fill="auto"/>
            <w:noWrap/>
            <w:vAlign w:val="bottom"/>
            <w:hideMark/>
          </w:tcPr>
          <w:p w14:paraId="57E12D39" w14:textId="2EBC0C8C" w:rsidR="00277587" w:rsidRPr="00C37606" w:rsidRDefault="003B70CF" w:rsidP="003B1324">
            <w:pPr>
              <w:spacing w:line="240" w:lineRule="auto"/>
              <w:jc w:val="right"/>
              <w:rPr>
                <w:rFonts w:eastAsia="Times New Roman" w:cs="Times New Roman"/>
                <w:b/>
                <w:color w:val="000000"/>
                <w:sz w:val="18"/>
                <w:szCs w:val="18"/>
              </w:rPr>
            </w:pPr>
            <w:r w:rsidRPr="00C37606">
              <w:rPr>
                <w:rFonts w:eastAsia="Times New Roman" w:cs="Times New Roman"/>
                <w:b/>
                <w:color w:val="000000"/>
                <w:sz w:val="18"/>
                <w:szCs w:val="18"/>
              </w:rPr>
              <w:t xml:space="preserve">Town of </w:t>
            </w:r>
            <w:r w:rsidR="00853231" w:rsidRPr="00C37606">
              <w:rPr>
                <w:rFonts w:eastAsia="Times New Roman" w:cs="Times New Roman"/>
                <w:b/>
                <w:color w:val="000000"/>
                <w:sz w:val="18"/>
                <w:szCs w:val="18"/>
              </w:rPr>
              <w:t>Hillsborough</w:t>
            </w:r>
          </w:p>
          <w:p w14:paraId="7490BDD8" w14:textId="77777777" w:rsidR="006669C0" w:rsidRPr="00C37606" w:rsidRDefault="006669C0" w:rsidP="003B1324">
            <w:pPr>
              <w:spacing w:line="240" w:lineRule="auto"/>
              <w:jc w:val="right"/>
              <w:rPr>
                <w:rFonts w:eastAsia="Times New Roman" w:cs="Times New Roman"/>
                <w:b/>
                <w:color w:val="000000"/>
                <w:sz w:val="18"/>
                <w:szCs w:val="18"/>
              </w:rPr>
            </w:pPr>
            <w:r w:rsidRPr="00C37606">
              <w:rPr>
                <w:rFonts w:eastAsia="Times New Roman" w:cs="Times New Roman"/>
                <w:b/>
                <w:color w:val="000000"/>
                <w:sz w:val="18"/>
                <w:szCs w:val="18"/>
              </w:rPr>
              <w:t>Percentage</w:t>
            </w:r>
          </w:p>
          <w:p w14:paraId="1218DFC2" w14:textId="11E31719" w:rsidR="006669C0" w:rsidRPr="00C37606" w:rsidRDefault="006669C0" w:rsidP="003B1324">
            <w:pPr>
              <w:spacing w:line="240" w:lineRule="auto"/>
              <w:jc w:val="right"/>
              <w:rPr>
                <w:rFonts w:eastAsia="Times New Roman" w:cs="Times New Roman"/>
                <w:b/>
                <w:color w:val="000000"/>
                <w:sz w:val="10"/>
                <w:szCs w:val="18"/>
              </w:rPr>
            </w:pPr>
          </w:p>
        </w:tc>
        <w:tc>
          <w:tcPr>
            <w:tcW w:w="1235" w:type="dxa"/>
            <w:tcBorders>
              <w:top w:val="nil"/>
              <w:left w:val="nil"/>
              <w:bottom w:val="nil"/>
              <w:right w:val="nil"/>
            </w:tcBorders>
            <w:shd w:val="clear" w:color="auto" w:fill="auto"/>
            <w:noWrap/>
            <w:vAlign w:val="bottom"/>
            <w:hideMark/>
          </w:tcPr>
          <w:p w14:paraId="0A2E558A" w14:textId="23FD4DF1" w:rsidR="00F708B1" w:rsidRPr="00C37606" w:rsidRDefault="006669C0" w:rsidP="003B1324">
            <w:pPr>
              <w:spacing w:line="240" w:lineRule="auto"/>
              <w:jc w:val="right"/>
              <w:rPr>
                <w:rFonts w:eastAsia="Times New Roman" w:cs="Times New Roman"/>
                <w:b/>
                <w:color w:val="000000"/>
                <w:sz w:val="18"/>
                <w:szCs w:val="18"/>
              </w:rPr>
            </w:pPr>
            <w:r w:rsidRPr="00C37606">
              <w:rPr>
                <w:rFonts w:eastAsia="Times New Roman" w:cs="Times New Roman"/>
                <w:b/>
                <w:color w:val="000000"/>
                <w:sz w:val="18"/>
                <w:szCs w:val="18"/>
              </w:rPr>
              <w:t xml:space="preserve">San Mateo </w:t>
            </w:r>
            <w:r w:rsidR="00277587" w:rsidRPr="00C37606">
              <w:rPr>
                <w:rFonts w:eastAsia="Times New Roman" w:cs="Times New Roman"/>
                <w:b/>
                <w:color w:val="000000"/>
                <w:sz w:val="18"/>
                <w:szCs w:val="18"/>
              </w:rPr>
              <w:t>Count</w:t>
            </w:r>
            <w:r w:rsidR="00F708B1" w:rsidRPr="00C37606">
              <w:rPr>
                <w:rFonts w:eastAsia="Times New Roman" w:cs="Times New Roman"/>
                <w:b/>
                <w:color w:val="000000"/>
                <w:sz w:val="18"/>
                <w:szCs w:val="18"/>
              </w:rPr>
              <w:t>y</w:t>
            </w:r>
          </w:p>
          <w:p w14:paraId="09F9FEC5" w14:textId="77777777" w:rsidR="00F708B1" w:rsidRPr="00C37606" w:rsidRDefault="00F708B1" w:rsidP="00F708B1">
            <w:pPr>
              <w:spacing w:line="240" w:lineRule="auto"/>
              <w:jc w:val="right"/>
              <w:rPr>
                <w:rFonts w:eastAsia="Times New Roman" w:cs="Times New Roman"/>
                <w:b/>
                <w:color w:val="000000"/>
                <w:sz w:val="18"/>
                <w:szCs w:val="18"/>
              </w:rPr>
            </w:pPr>
            <w:r w:rsidRPr="00C37606">
              <w:rPr>
                <w:rFonts w:eastAsia="Times New Roman" w:cs="Times New Roman"/>
                <w:b/>
                <w:color w:val="000000"/>
                <w:sz w:val="18"/>
                <w:szCs w:val="18"/>
              </w:rPr>
              <w:t>Percentage</w:t>
            </w:r>
          </w:p>
          <w:p w14:paraId="5F4CC953" w14:textId="56AF73E0" w:rsidR="00277587" w:rsidRPr="00C37606" w:rsidRDefault="00277587" w:rsidP="00F708B1">
            <w:pPr>
              <w:spacing w:line="240" w:lineRule="auto"/>
              <w:rPr>
                <w:rFonts w:eastAsia="Times New Roman" w:cs="Times New Roman"/>
                <w:b/>
                <w:color w:val="000000"/>
                <w:sz w:val="10"/>
                <w:szCs w:val="18"/>
              </w:rPr>
            </w:pPr>
          </w:p>
        </w:tc>
        <w:tc>
          <w:tcPr>
            <w:tcW w:w="1235" w:type="dxa"/>
            <w:gridSpan w:val="2"/>
            <w:tcBorders>
              <w:top w:val="nil"/>
              <w:left w:val="nil"/>
              <w:bottom w:val="nil"/>
              <w:right w:val="nil"/>
            </w:tcBorders>
            <w:shd w:val="clear" w:color="auto" w:fill="auto"/>
            <w:noWrap/>
            <w:vAlign w:val="bottom"/>
            <w:hideMark/>
          </w:tcPr>
          <w:p w14:paraId="47A3C9CD" w14:textId="77777777" w:rsidR="00277587" w:rsidRPr="00C37606" w:rsidRDefault="00277587" w:rsidP="003B1324">
            <w:pPr>
              <w:spacing w:line="240" w:lineRule="auto"/>
              <w:jc w:val="right"/>
              <w:rPr>
                <w:rFonts w:eastAsia="Times New Roman" w:cs="Times New Roman"/>
                <w:b/>
                <w:color w:val="000000"/>
                <w:sz w:val="18"/>
                <w:szCs w:val="18"/>
              </w:rPr>
            </w:pPr>
            <w:r w:rsidRPr="00C37606">
              <w:rPr>
                <w:rFonts w:eastAsia="Times New Roman" w:cs="Times New Roman"/>
                <w:b/>
                <w:color w:val="000000"/>
                <w:sz w:val="18"/>
                <w:szCs w:val="18"/>
              </w:rPr>
              <w:t>State</w:t>
            </w:r>
            <w:r w:rsidR="006669C0" w:rsidRPr="00C37606">
              <w:rPr>
                <w:rFonts w:eastAsia="Times New Roman" w:cs="Times New Roman"/>
                <w:b/>
                <w:color w:val="000000"/>
                <w:sz w:val="18"/>
                <w:szCs w:val="18"/>
              </w:rPr>
              <w:t xml:space="preserve"> of California</w:t>
            </w:r>
          </w:p>
          <w:p w14:paraId="7181A09A" w14:textId="77777777" w:rsidR="00F708B1" w:rsidRPr="00C37606" w:rsidRDefault="00F708B1" w:rsidP="00F708B1">
            <w:pPr>
              <w:spacing w:line="240" w:lineRule="auto"/>
              <w:jc w:val="right"/>
              <w:rPr>
                <w:rFonts w:eastAsia="Times New Roman" w:cs="Times New Roman"/>
                <w:b/>
                <w:color w:val="000000"/>
                <w:sz w:val="18"/>
                <w:szCs w:val="18"/>
              </w:rPr>
            </w:pPr>
            <w:r w:rsidRPr="00C37606">
              <w:rPr>
                <w:rFonts w:eastAsia="Times New Roman" w:cs="Times New Roman"/>
                <w:b/>
                <w:color w:val="000000"/>
                <w:sz w:val="18"/>
                <w:szCs w:val="18"/>
              </w:rPr>
              <w:t>Percentage</w:t>
            </w:r>
          </w:p>
          <w:p w14:paraId="1FD469AB" w14:textId="3DD112CD" w:rsidR="00F708B1" w:rsidRPr="00C37606" w:rsidRDefault="00F708B1" w:rsidP="003B1324">
            <w:pPr>
              <w:spacing w:line="240" w:lineRule="auto"/>
              <w:jc w:val="right"/>
              <w:rPr>
                <w:rFonts w:eastAsia="Times New Roman" w:cs="Times New Roman"/>
                <w:b/>
                <w:color w:val="000000"/>
                <w:sz w:val="10"/>
                <w:szCs w:val="18"/>
              </w:rPr>
            </w:pPr>
          </w:p>
        </w:tc>
      </w:tr>
      <w:tr w:rsidR="00E80EDB" w:rsidRPr="00C37606" w14:paraId="20470C4A" w14:textId="77777777" w:rsidTr="00E80EDB">
        <w:trPr>
          <w:trHeight w:val="300"/>
        </w:trPr>
        <w:tc>
          <w:tcPr>
            <w:tcW w:w="1005" w:type="dxa"/>
            <w:vMerge w:val="restart"/>
            <w:tcBorders>
              <w:top w:val="nil"/>
              <w:left w:val="nil"/>
              <w:bottom w:val="single" w:sz="4" w:space="0" w:color="000000"/>
              <w:right w:val="nil"/>
            </w:tcBorders>
            <w:shd w:val="clear" w:color="auto" w:fill="auto"/>
            <w:noWrap/>
            <w:vAlign w:val="center"/>
            <w:hideMark/>
          </w:tcPr>
          <w:p w14:paraId="51455961" w14:textId="3A4FEFAD" w:rsidR="00E80EDB" w:rsidRPr="00C37606" w:rsidRDefault="00E80EDB" w:rsidP="00067077">
            <w:pPr>
              <w:rPr>
                <w:rFonts w:eastAsia="Times New Roman" w:cs="Times New Roman"/>
                <w:b/>
                <w:color w:val="000000"/>
                <w:sz w:val="18"/>
                <w:szCs w:val="18"/>
              </w:rPr>
            </w:pPr>
            <w:r w:rsidRPr="00C37606">
              <w:rPr>
                <w:rFonts w:eastAsia="Times New Roman" w:cs="Times New Roman"/>
                <w:b/>
                <w:color w:val="000000"/>
                <w:sz w:val="18"/>
                <w:szCs w:val="18"/>
              </w:rPr>
              <w:t>Owners</w:t>
            </w:r>
          </w:p>
        </w:tc>
        <w:tc>
          <w:tcPr>
            <w:tcW w:w="2641" w:type="dxa"/>
            <w:tcBorders>
              <w:top w:val="nil"/>
              <w:left w:val="nil"/>
              <w:bottom w:val="single" w:sz="4" w:space="0" w:color="808080"/>
              <w:right w:val="nil"/>
            </w:tcBorders>
            <w:shd w:val="clear" w:color="auto" w:fill="auto"/>
            <w:noWrap/>
            <w:vAlign w:val="bottom"/>
            <w:hideMark/>
          </w:tcPr>
          <w:p w14:paraId="6C82BEBE" w14:textId="77777777" w:rsidR="00E80EDB" w:rsidRPr="00C37606" w:rsidRDefault="00E80EDB" w:rsidP="008D1973">
            <w:pPr>
              <w:rPr>
                <w:rFonts w:eastAsia="Times New Roman" w:cs="Times New Roman"/>
                <w:color w:val="000000"/>
                <w:sz w:val="18"/>
                <w:szCs w:val="18"/>
              </w:rPr>
            </w:pPr>
            <w:r w:rsidRPr="00C37606">
              <w:rPr>
                <w:rFonts w:eastAsia="Times New Roman" w:cs="Times New Roman"/>
                <w:color w:val="000000"/>
                <w:sz w:val="18"/>
                <w:szCs w:val="18"/>
              </w:rPr>
              <w:t>Not overcrowded</w:t>
            </w:r>
          </w:p>
        </w:tc>
        <w:tc>
          <w:tcPr>
            <w:tcW w:w="1697" w:type="dxa"/>
            <w:tcBorders>
              <w:top w:val="nil"/>
              <w:left w:val="nil"/>
              <w:bottom w:val="single" w:sz="4" w:space="0" w:color="808080"/>
              <w:right w:val="nil"/>
            </w:tcBorders>
            <w:shd w:val="clear" w:color="auto" w:fill="auto"/>
            <w:noWrap/>
            <w:vAlign w:val="bottom"/>
            <w:hideMark/>
          </w:tcPr>
          <w:p w14:paraId="6EDC7D6D" w14:textId="7621C43F"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3,358</w:t>
            </w:r>
          </w:p>
        </w:tc>
        <w:tc>
          <w:tcPr>
            <w:tcW w:w="1289" w:type="dxa"/>
            <w:tcBorders>
              <w:top w:val="nil"/>
              <w:left w:val="nil"/>
              <w:bottom w:val="single" w:sz="4" w:space="0" w:color="808080"/>
              <w:right w:val="nil"/>
            </w:tcBorders>
            <w:shd w:val="clear" w:color="auto" w:fill="auto"/>
            <w:noWrap/>
            <w:vAlign w:val="bottom"/>
            <w:hideMark/>
          </w:tcPr>
          <w:p w14:paraId="1BC4A8EC" w14:textId="2D5D2155"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100%</w:t>
            </w:r>
          </w:p>
        </w:tc>
        <w:tc>
          <w:tcPr>
            <w:tcW w:w="1235" w:type="dxa"/>
            <w:tcBorders>
              <w:top w:val="single" w:sz="8" w:space="0" w:color="auto"/>
              <w:left w:val="nil"/>
              <w:bottom w:val="single" w:sz="4" w:space="0" w:color="808080"/>
              <w:right w:val="nil"/>
            </w:tcBorders>
            <w:shd w:val="clear" w:color="auto" w:fill="auto"/>
            <w:noWrap/>
            <w:vAlign w:val="bottom"/>
            <w:hideMark/>
          </w:tcPr>
          <w:p w14:paraId="629135FB"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96%</w:t>
            </w:r>
          </w:p>
        </w:tc>
        <w:tc>
          <w:tcPr>
            <w:tcW w:w="1235" w:type="dxa"/>
            <w:gridSpan w:val="2"/>
            <w:tcBorders>
              <w:top w:val="single" w:sz="8" w:space="0" w:color="auto"/>
              <w:left w:val="nil"/>
              <w:bottom w:val="single" w:sz="4" w:space="0" w:color="808080"/>
              <w:right w:val="nil"/>
            </w:tcBorders>
            <w:shd w:val="clear" w:color="auto" w:fill="auto"/>
            <w:noWrap/>
            <w:vAlign w:val="bottom"/>
            <w:hideMark/>
          </w:tcPr>
          <w:p w14:paraId="77D0CCA0"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96%</w:t>
            </w:r>
          </w:p>
        </w:tc>
      </w:tr>
      <w:tr w:rsidR="00E80EDB" w:rsidRPr="00C37606" w14:paraId="3E8C0AA0" w14:textId="77777777" w:rsidTr="00E80EDB">
        <w:trPr>
          <w:trHeight w:val="300"/>
        </w:trPr>
        <w:tc>
          <w:tcPr>
            <w:tcW w:w="1005" w:type="dxa"/>
            <w:vMerge/>
            <w:tcBorders>
              <w:top w:val="nil"/>
              <w:left w:val="nil"/>
              <w:bottom w:val="single" w:sz="4" w:space="0" w:color="000000"/>
              <w:right w:val="nil"/>
            </w:tcBorders>
            <w:vAlign w:val="center"/>
            <w:hideMark/>
          </w:tcPr>
          <w:p w14:paraId="60AF3797" w14:textId="77777777" w:rsidR="00E80EDB" w:rsidRPr="00C37606" w:rsidRDefault="00E80EDB" w:rsidP="00067077">
            <w:pPr>
              <w:rPr>
                <w:rFonts w:eastAsia="Times New Roman" w:cs="Times New Roman"/>
                <w:color w:val="000000"/>
                <w:sz w:val="18"/>
                <w:szCs w:val="18"/>
              </w:rPr>
            </w:pPr>
          </w:p>
        </w:tc>
        <w:tc>
          <w:tcPr>
            <w:tcW w:w="2641" w:type="dxa"/>
            <w:tcBorders>
              <w:top w:val="nil"/>
              <w:left w:val="nil"/>
              <w:bottom w:val="single" w:sz="4" w:space="0" w:color="808080"/>
              <w:right w:val="nil"/>
            </w:tcBorders>
            <w:shd w:val="clear" w:color="auto" w:fill="auto"/>
            <w:noWrap/>
            <w:vAlign w:val="bottom"/>
            <w:hideMark/>
          </w:tcPr>
          <w:p w14:paraId="3CF48B59" w14:textId="77777777" w:rsidR="00E80EDB" w:rsidRPr="00C37606" w:rsidRDefault="00E80EDB" w:rsidP="008D1973">
            <w:pPr>
              <w:rPr>
                <w:rFonts w:eastAsia="Times New Roman" w:cs="Times New Roman"/>
                <w:color w:val="000000"/>
                <w:sz w:val="18"/>
                <w:szCs w:val="18"/>
              </w:rPr>
            </w:pPr>
            <w:r w:rsidRPr="00C37606">
              <w:rPr>
                <w:rFonts w:eastAsia="Times New Roman" w:cs="Times New Roman"/>
                <w:color w:val="000000"/>
                <w:sz w:val="18"/>
                <w:szCs w:val="18"/>
              </w:rPr>
              <w:t>Overcrowded</w:t>
            </w:r>
          </w:p>
        </w:tc>
        <w:tc>
          <w:tcPr>
            <w:tcW w:w="1697" w:type="dxa"/>
            <w:tcBorders>
              <w:top w:val="nil"/>
              <w:left w:val="nil"/>
              <w:bottom w:val="single" w:sz="4" w:space="0" w:color="808080"/>
              <w:right w:val="nil"/>
            </w:tcBorders>
            <w:shd w:val="clear" w:color="auto" w:fill="auto"/>
            <w:noWrap/>
            <w:vAlign w:val="bottom"/>
            <w:hideMark/>
          </w:tcPr>
          <w:p w14:paraId="0C92B9F7" w14:textId="3DACB198"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7</w:t>
            </w:r>
          </w:p>
        </w:tc>
        <w:tc>
          <w:tcPr>
            <w:tcW w:w="1289" w:type="dxa"/>
            <w:tcBorders>
              <w:top w:val="nil"/>
              <w:left w:val="nil"/>
              <w:bottom w:val="single" w:sz="4" w:space="0" w:color="808080"/>
              <w:right w:val="nil"/>
            </w:tcBorders>
            <w:shd w:val="clear" w:color="auto" w:fill="auto"/>
            <w:noWrap/>
            <w:vAlign w:val="bottom"/>
            <w:hideMark/>
          </w:tcPr>
          <w:p w14:paraId="73F4EA08" w14:textId="3B6124AA"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0.2%</w:t>
            </w:r>
          </w:p>
        </w:tc>
        <w:tc>
          <w:tcPr>
            <w:tcW w:w="1235" w:type="dxa"/>
            <w:tcBorders>
              <w:top w:val="nil"/>
              <w:left w:val="nil"/>
              <w:bottom w:val="single" w:sz="4" w:space="0" w:color="808080"/>
              <w:right w:val="nil"/>
            </w:tcBorders>
            <w:shd w:val="clear" w:color="auto" w:fill="auto"/>
            <w:noWrap/>
            <w:vAlign w:val="bottom"/>
            <w:hideMark/>
          </w:tcPr>
          <w:p w14:paraId="15C322AE"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3%</w:t>
            </w:r>
          </w:p>
        </w:tc>
        <w:tc>
          <w:tcPr>
            <w:tcW w:w="1235" w:type="dxa"/>
            <w:gridSpan w:val="2"/>
            <w:tcBorders>
              <w:top w:val="nil"/>
              <w:left w:val="nil"/>
              <w:bottom w:val="single" w:sz="4" w:space="0" w:color="808080"/>
              <w:right w:val="nil"/>
            </w:tcBorders>
            <w:shd w:val="clear" w:color="auto" w:fill="auto"/>
            <w:noWrap/>
            <w:vAlign w:val="bottom"/>
            <w:hideMark/>
          </w:tcPr>
          <w:p w14:paraId="7A1624BB"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3%</w:t>
            </w:r>
          </w:p>
        </w:tc>
      </w:tr>
      <w:tr w:rsidR="00E80EDB" w:rsidRPr="00C37606" w14:paraId="32524C32" w14:textId="77777777" w:rsidTr="00E80EDB">
        <w:trPr>
          <w:trHeight w:val="300"/>
        </w:trPr>
        <w:tc>
          <w:tcPr>
            <w:tcW w:w="1005" w:type="dxa"/>
            <w:vMerge/>
            <w:tcBorders>
              <w:top w:val="nil"/>
              <w:left w:val="nil"/>
              <w:bottom w:val="single" w:sz="4" w:space="0" w:color="000000"/>
              <w:right w:val="nil"/>
            </w:tcBorders>
            <w:vAlign w:val="center"/>
            <w:hideMark/>
          </w:tcPr>
          <w:p w14:paraId="1D807D29" w14:textId="77777777" w:rsidR="00E80EDB" w:rsidRPr="00C37606" w:rsidRDefault="00E80EDB" w:rsidP="00067077">
            <w:pPr>
              <w:rPr>
                <w:rFonts w:eastAsia="Times New Roman" w:cs="Times New Roman"/>
                <w:color w:val="000000"/>
                <w:sz w:val="18"/>
                <w:szCs w:val="18"/>
              </w:rPr>
            </w:pPr>
          </w:p>
        </w:tc>
        <w:tc>
          <w:tcPr>
            <w:tcW w:w="2641" w:type="dxa"/>
            <w:tcBorders>
              <w:top w:val="nil"/>
              <w:left w:val="nil"/>
              <w:bottom w:val="single" w:sz="4" w:space="0" w:color="auto"/>
              <w:right w:val="nil"/>
            </w:tcBorders>
            <w:shd w:val="clear" w:color="auto" w:fill="auto"/>
            <w:noWrap/>
            <w:vAlign w:val="bottom"/>
            <w:hideMark/>
          </w:tcPr>
          <w:p w14:paraId="654E49FC" w14:textId="77777777" w:rsidR="00E80EDB" w:rsidRPr="00C37606" w:rsidRDefault="00E80EDB" w:rsidP="008D1973">
            <w:pPr>
              <w:rPr>
                <w:rFonts w:eastAsia="Times New Roman" w:cs="Times New Roman"/>
                <w:color w:val="000000"/>
                <w:sz w:val="18"/>
                <w:szCs w:val="18"/>
              </w:rPr>
            </w:pPr>
            <w:r w:rsidRPr="00C37606">
              <w:rPr>
                <w:rFonts w:eastAsia="Times New Roman" w:cs="Times New Roman"/>
                <w:color w:val="000000"/>
                <w:sz w:val="18"/>
                <w:szCs w:val="18"/>
              </w:rPr>
              <w:t>Extremely overcrowded</w:t>
            </w:r>
          </w:p>
        </w:tc>
        <w:tc>
          <w:tcPr>
            <w:tcW w:w="1697" w:type="dxa"/>
            <w:tcBorders>
              <w:top w:val="nil"/>
              <w:left w:val="nil"/>
              <w:bottom w:val="single" w:sz="4" w:space="0" w:color="auto"/>
              <w:right w:val="nil"/>
            </w:tcBorders>
            <w:shd w:val="clear" w:color="auto" w:fill="auto"/>
            <w:noWrap/>
            <w:vAlign w:val="bottom"/>
            <w:hideMark/>
          </w:tcPr>
          <w:p w14:paraId="07793C51" w14:textId="5AED8DBF"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0</w:t>
            </w:r>
          </w:p>
        </w:tc>
        <w:tc>
          <w:tcPr>
            <w:tcW w:w="1289" w:type="dxa"/>
            <w:tcBorders>
              <w:top w:val="nil"/>
              <w:left w:val="nil"/>
              <w:bottom w:val="single" w:sz="4" w:space="0" w:color="auto"/>
              <w:right w:val="nil"/>
            </w:tcBorders>
            <w:shd w:val="clear" w:color="auto" w:fill="auto"/>
            <w:noWrap/>
            <w:vAlign w:val="bottom"/>
            <w:hideMark/>
          </w:tcPr>
          <w:p w14:paraId="510B94E4" w14:textId="1915541E"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0.0%</w:t>
            </w:r>
          </w:p>
        </w:tc>
        <w:tc>
          <w:tcPr>
            <w:tcW w:w="1235" w:type="dxa"/>
            <w:tcBorders>
              <w:top w:val="nil"/>
              <w:left w:val="nil"/>
              <w:bottom w:val="single" w:sz="4" w:space="0" w:color="auto"/>
              <w:right w:val="nil"/>
            </w:tcBorders>
            <w:shd w:val="clear" w:color="auto" w:fill="auto"/>
            <w:noWrap/>
            <w:vAlign w:val="bottom"/>
            <w:hideMark/>
          </w:tcPr>
          <w:p w14:paraId="445BC1C6"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1%</w:t>
            </w:r>
          </w:p>
        </w:tc>
        <w:tc>
          <w:tcPr>
            <w:tcW w:w="1235" w:type="dxa"/>
            <w:gridSpan w:val="2"/>
            <w:tcBorders>
              <w:top w:val="nil"/>
              <w:left w:val="nil"/>
              <w:bottom w:val="single" w:sz="4" w:space="0" w:color="auto"/>
              <w:right w:val="nil"/>
            </w:tcBorders>
            <w:shd w:val="clear" w:color="auto" w:fill="auto"/>
            <w:noWrap/>
            <w:vAlign w:val="bottom"/>
            <w:hideMark/>
          </w:tcPr>
          <w:p w14:paraId="0F25A5B2"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1%</w:t>
            </w:r>
          </w:p>
        </w:tc>
      </w:tr>
      <w:tr w:rsidR="00E80EDB" w:rsidRPr="00C37606" w14:paraId="6448FCD6" w14:textId="77777777" w:rsidTr="00E80EDB">
        <w:trPr>
          <w:trHeight w:val="300"/>
        </w:trPr>
        <w:tc>
          <w:tcPr>
            <w:tcW w:w="1005" w:type="dxa"/>
            <w:tcBorders>
              <w:top w:val="nil"/>
              <w:left w:val="nil"/>
              <w:bottom w:val="nil"/>
              <w:right w:val="nil"/>
            </w:tcBorders>
            <w:shd w:val="clear" w:color="auto" w:fill="auto"/>
            <w:noWrap/>
            <w:vAlign w:val="center"/>
          </w:tcPr>
          <w:p w14:paraId="1A41EC4A" w14:textId="46C8B4A8" w:rsidR="00E80EDB" w:rsidRPr="00C37606" w:rsidRDefault="00E80EDB" w:rsidP="00067077">
            <w:pPr>
              <w:rPr>
                <w:rFonts w:eastAsia="Times New Roman" w:cs="Times New Roman"/>
                <w:color w:val="000000"/>
                <w:sz w:val="18"/>
                <w:szCs w:val="18"/>
              </w:rPr>
            </w:pPr>
          </w:p>
        </w:tc>
        <w:tc>
          <w:tcPr>
            <w:tcW w:w="2641" w:type="dxa"/>
            <w:tcBorders>
              <w:top w:val="nil"/>
              <w:left w:val="nil"/>
              <w:bottom w:val="single" w:sz="4" w:space="0" w:color="808080"/>
              <w:right w:val="nil"/>
            </w:tcBorders>
            <w:shd w:val="clear" w:color="auto" w:fill="auto"/>
            <w:noWrap/>
            <w:vAlign w:val="bottom"/>
            <w:hideMark/>
          </w:tcPr>
          <w:p w14:paraId="6E12895A" w14:textId="77777777" w:rsidR="00E80EDB" w:rsidRPr="00C37606" w:rsidRDefault="00E80EDB" w:rsidP="008D1973">
            <w:pPr>
              <w:rPr>
                <w:rFonts w:eastAsia="Times New Roman" w:cs="Times New Roman"/>
                <w:color w:val="000000"/>
                <w:sz w:val="18"/>
                <w:szCs w:val="18"/>
              </w:rPr>
            </w:pPr>
            <w:r w:rsidRPr="00C37606">
              <w:rPr>
                <w:rFonts w:eastAsia="Times New Roman" w:cs="Times New Roman"/>
                <w:color w:val="000000"/>
                <w:sz w:val="18"/>
                <w:szCs w:val="18"/>
              </w:rPr>
              <w:t>Not overcrowded</w:t>
            </w:r>
          </w:p>
        </w:tc>
        <w:tc>
          <w:tcPr>
            <w:tcW w:w="1697" w:type="dxa"/>
            <w:tcBorders>
              <w:top w:val="nil"/>
              <w:left w:val="nil"/>
              <w:bottom w:val="single" w:sz="4" w:space="0" w:color="808080"/>
              <w:right w:val="nil"/>
            </w:tcBorders>
            <w:shd w:val="clear" w:color="auto" w:fill="auto"/>
            <w:noWrap/>
            <w:vAlign w:val="bottom"/>
            <w:hideMark/>
          </w:tcPr>
          <w:p w14:paraId="582C43EB" w14:textId="1B2D2B2E"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147</w:t>
            </w:r>
          </w:p>
        </w:tc>
        <w:tc>
          <w:tcPr>
            <w:tcW w:w="1289" w:type="dxa"/>
            <w:tcBorders>
              <w:top w:val="nil"/>
              <w:left w:val="nil"/>
              <w:bottom w:val="single" w:sz="4" w:space="0" w:color="808080"/>
              <w:right w:val="nil"/>
            </w:tcBorders>
            <w:shd w:val="clear" w:color="auto" w:fill="auto"/>
            <w:noWrap/>
            <w:vAlign w:val="bottom"/>
            <w:hideMark/>
          </w:tcPr>
          <w:p w14:paraId="353682E3" w14:textId="1D31A709"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100%</w:t>
            </w:r>
          </w:p>
        </w:tc>
        <w:tc>
          <w:tcPr>
            <w:tcW w:w="1235" w:type="dxa"/>
            <w:tcBorders>
              <w:top w:val="nil"/>
              <w:left w:val="nil"/>
              <w:bottom w:val="single" w:sz="4" w:space="0" w:color="808080"/>
              <w:right w:val="nil"/>
            </w:tcBorders>
            <w:shd w:val="clear" w:color="auto" w:fill="auto"/>
            <w:noWrap/>
            <w:vAlign w:val="bottom"/>
            <w:hideMark/>
          </w:tcPr>
          <w:p w14:paraId="07480341"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86%</w:t>
            </w:r>
          </w:p>
        </w:tc>
        <w:tc>
          <w:tcPr>
            <w:tcW w:w="1235" w:type="dxa"/>
            <w:gridSpan w:val="2"/>
            <w:tcBorders>
              <w:top w:val="nil"/>
              <w:left w:val="nil"/>
              <w:bottom w:val="single" w:sz="4" w:space="0" w:color="808080"/>
              <w:right w:val="nil"/>
            </w:tcBorders>
            <w:shd w:val="clear" w:color="auto" w:fill="auto"/>
            <w:noWrap/>
            <w:vAlign w:val="bottom"/>
            <w:hideMark/>
          </w:tcPr>
          <w:p w14:paraId="70B17E58"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86%</w:t>
            </w:r>
          </w:p>
        </w:tc>
      </w:tr>
      <w:tr w:rsidR="00E80EDB" w:rsidRPr="00C37606" w14:paraId="52571152" w14:textId="77777777" w:rsidTr="00E80EDB">
        <w:trPr>
          <w:trHeight w:val="300"/>
        </w:trPr>
        <w:tc>
          <w:tcPr>
            <w:tcW w:w="1005" w:type="dxa"/>
            <w:tcBorders>
              <w:top w:val="nil"/>
              <w:left w:val="nil"/>
              <w:bottom w:val="nil"/>
              <w:right w:val="nil"/>
            </w:tcBorders>
            <w:shd w:val="clear" w:color="auto" w:fill="auto"/>
            <w:noWrap/>
            <w:vAlign w:val="center"/>
            <w:hideMark/>
          </w:tcPr>
          <w:p w14:paraId="5F189C25" w14:textId="27AA908C" w:rsidR="00E80EDB" w:rsidRPr="00C37606" w:rsidRDefault="00E80EDB" w:rsidP="00067077">
            <w:pPr>
              <w:rPr>
                <w:rFonts w:eastAsia="Times New Roman" w:cs="Times New Roman"/>
                <w:b/>
                <w:color w:val="000000"/>
                <w:sz w:val="18"/>
                <w:szCs w:val="18"/>
              </w:rPr>
            </w:pPr>
            <w:r w:rsidRPr="00C37606">
              <w:rPr>
                <w:rFonts w:eastAsia="Times New Roman" w:cs="Times New Roman"/>
                <w:b/>
                <w:color w:val="000000"/>
                <w:sz w:val="18"/>
                <w:szCs w:val="18"/>
              </w:rPr>
              <w:t>Renters</w:t>
            </w:r>
          </w:p>
        </w:tc>
        <w:tc>
          <w:tcPr>
            <w:tcW w:w="2641" w:type="dxa"/>
            <w:tcBorders>
              <w:top w:val="nil"/>
              <w:left w:val="nil"/>
              <w:bottom w:val="single" w:sz="4" w:space="0" w:color="808080"/>
              <w:right w:val="nil"/>
            </w:tcBorders>
            <w:shd w:val="clear" w:color="auto" w:fill="auto"/>
            <w:noWrap/>
            <w:vAlign w:val="bottom"/>
            <w:hideMark/>
          </w:tcPr>
          <w:p w14:paraId="4E2B21B0" w14:textId="77777777" w:rsidR="00E80EDB" w:rsidRPr="00C37606" w:rsidRDefault="00E80EDB" w:rsidP="008D1973">
            <w:pPr>
              <w:rPr>
                <w:rFonts w:eastAsia="Times New Roman" w:cs="Times New Roman"/>
                <w:color w:val="000000"/>
                <w:sz w:val="18"/>
                <w:szCs w:val="18"/>
              </w:rPr>
            </w:pPr>
            <w:r w:rsidRPr="00C37606">
              <w:rPr>
                <w:rFonts w:eastAsia="Times New Roman" w:cs="Times New Roman"/>
                <w:color w:val="000000"/>
                <w:sz w:val="18"/>
                <w:szCs w:val="18"/>
              </w:rPr>
              <w:t>Overcrowded</w:t>
            </w:r>
          </w:p>
        </w:tc>
        <w:tc>
          <w:tcPr>
            <w:tcW w:w="1697" w:type="dxa"/>
            <w:tcBorders>
              <w:top w:val="nil"/>
              <w:left w:val="nil"/>
              <w:bottom w:val="single" w:sz="4" w:space="0" w:color="808080"/>
              <w:right w:val="nil"/>
            </w:tcBorders>
            <w:shd w:val="clear" w:color="auto" w:fill="auto"/>
            <w:noWrap/>
            <w:vAlign w:val="bottom"/>
            <w:hideMark/>
          </w:tcPr>
          <w:p w14:paraId="67B84C81" w14:textId="34A0318C"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0</w:t>
            </w:r>
          </w:p>
        </w:tc>
        <w:tc>
          <w:tcPr>
            <w:tcW w:w="1289" w:type="dxa"/>
            <w:tcBorders>
              <w:top w:val="nil"/>
              <w:left w:val="nil"/>
              <w:bottom w:val="single" w:sz="4" w:space="0" w:color="808080"/>
              <w:right w:val="nil"/>
            </w:tcBorders>
            <w:shd w:val="clear" w:color="auto" w:fill="auto"/>
            <w:noWrap/>
            <w:vAlign w:val="bottom"/>
            <w:hideMark/>
          </w:tcPr>
          <w:p w14:paraId="245BDC76" w14:textId="20AC43E6"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0.0%</w:t>
            </w:r>
          </w:p>
        </w:tc>
        <w:tc>
          <w:tcPr>
            <w:tcW w:w="1235" w:type="dxa"/>
            <w:tcBorders>
              <w:top w:val="nil"/>
              <w:left w:val="nil"/>
              <w:bottom w:val="single" w:sz="4" w:space="0" w:color="808080"/>
              <w:right w:val="nil"/>
            </w:tcBorders>
            <w:shd w:val="clear" w:color="auto" w:fill="auto"/>
            <w:noWrap/>
            <w:vAlign w:val="bottom"/>
            <w:hideMark/>
          </w:tcPr>
          <w:p w14:paraId="73256E69"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8%</w:t>
            </w:r>
          </w:p>
        </w:tc>
        <w:tc>
          <w:tcPr>
            <w:tcW w:w="1235" w:type="dxa"/>
            <w:gridSpan w:val="2"/>
            <w:tcBorders>
              <w:top w:val="nil"/>
              <w:left w:val="nil"/>
              <w:bottom w:val="single" w:sz="4" w:space="0" w:color="808080"/>
              <w:right w:val="nil"/>
            </w:tcBorders>
            <w:shd w:val="clear" w:color="auto" w:fill="auto"/>
            <w:noWrap/>
            <w:vAlign w:val="bottom"/>
            <w:hideMark/>
          </w:tcPr>
          <w:p w14:paraId="7E09A049"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8%</w:t>
            </w:r>
          </w:p>
        </w:tc>
      </w:tr>
      <w:tr w:rsidR="00E80EDB" w:rsidRPr="00C37606" w14:paraId="341E4DA4" w14:textId="77777777" w:rsidTr="00E80EDB">
        <w:trPr>
          <w:trHeight w:val="300"/>
        </w:trPr>
        <w:tc>
          <w:tcPr>
            <w:tcW w:w="1005" w:type="dxa"/>
            <w:tcBorders>
              <w:top w:val="nil"/>
              <w:left w:val="nil"/>
              <w:bottom w:val="single" w:sz="4" w:space="0" w:color="auto"/>
              <w:right w:val="nil"/>
            </w:tcBorders>
            <w:shd w:val="clear" w:color="auto" w:fill="auto"/>
            <w:noWrap/>
            <w:vAlign w:val="center"/>
            <w:hideMark/>
          </w:tcPr>
          <w:p w14:paraId="714059EB" w14:textId="77777777" w:rsidR="00E80EDB" w:rsidRPr="00C37606" w:rsidRDefault="00E80EDB" w:rsidP="00067077">
            <w:pPr>
              <w:rPr>
                <w:rFonts w:eastAsia="Times New Roman" w:cs="Times New Roman"/>
                <w:color w:val="000000"/>
                <w:sz w:val="18"/>
                <w:szCs w:val="18"/>
              </w:rPr>
            </w:pPr>
            <w:r w:rsidRPr="00C37606">
              <w:rPr>
                <w:rFonts w:eastAsia="Times New Roman" w:cs="Times New Roman"/>
                <w:color w:val="000000"/>
                <w:sz w:val="18"/>
                <w:szCs w:val="18"/>
              </w:rPr>
              <w:t> </w:t>
            </w:r>
          </w:p>
        </w:tc>
        <w:tc>
          <w:tcPr>
            <w:tcW w:w="2641" w:type="dxa"/>
            <w:tcBorders>
              <w:top w:val="nil"/>
              <w:left w:val="nil"/>
              <w:bottom w:val="single" w:sz="4" w:space="0" w:color="auto"/>
              <w:right w:val="nil"/>
            </w:tcBorders>
            <w:shd w:val="clear" w:color="auto" w:fill="auto"/>
            <w:noWrap/>
            <w:vAlign w:val="bottom"/>
            <w:hideMark/>
          </w:tcPr>
          <w:p w14:paraId="4CC67220" w14:textId="77777777" w:rsidR="00E80EDB" w:rsidRPr="00C37606" w:rsidRDefault="00E80EDB" w:rsidP="008D1973">
            <w:pPr>
              <w:rPr>
                <w:rFonts w:eastAsia="Times New Roman" w:cs="Times New Roman"/>
                <w:color w:val="000000"/>
                <w:sz w:val="18"/>
                <w:szCs w:val="18"/>
              </w:rPr>
            </w:pPr>
            <w:r w:rsidRPr="00C37606">
              <w:rPr>
                <w:rFonts w:eastAsia="Times New Roman" w:cs="Times New Roman"/>
                <w:color w:val="000000"/>
                <w:sz w:val="18"/>
                <w:szCs w:val="18"/>
              </w:rPr>
              <w:t>Extremely overcrowded</w:t>
            </w:r>
          </w:p>
        </w:tc>
        <w:tc>
          <w:tcPr>
            <w:tcW w:w="1697" w:type="dxa"/>
            <w:tcBorders>
              <w:top w:val="nil"/>
              <w:left w:val="nil"/>
              <w:bottom w:val="single" w:sz="4" w:space="0" w:color="auto"/>
              <w:right w:val="nil"/>
            </w:tcBorders>
            <w:shd w:val="clear" w:color="auto" w:fill="auto"/>
            <w:noWrap/>
            <w:vAlign w:val="bottom"/>
            <w:hideMark/>
          </w:tcPr>
          <w:p w14:paraId="741502E0" w14:textId="51F8F426"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0</w:t>
            </w:r>
          </w:p>
        </w:tc>
        <w:tc>
          <w:tcPr>
            <w:tcW w:w="1289" w:type="dxa"/>
            <w:tcBorders>
              <w:top w:val="nil"/>
              <w:left w:val="nil"/>
              <w:bottom w:val="single" w:sz="4" w:space="0" w:color="auto"/>
              <w:right w:val="nil"/>
            </w:tcBorders>
            <w:shd w:val="clear" w:color="auto" w:fill="auto"/>
            <w:noWrap/>
            <w:vAlign w:val="bottom"/>
            <w:hideMark/>
          </w:tcPr>
          <w:p w14:paraId="651C2FA1" w14:textId="696E287D"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0.0%</w:t>
            </w:r>
          </w:p>
        </w:tc>
        <w:tc>
          <w:tcPr>
            <w:tcW w:w="1235" w:type="dxa"/>
            <w:tcBorders>
              <w:top w:val="nil"/>
              <w:left w:val="nil"/>
              <w:bottom w:val="single" w:sz="4" w:space="0" w:color="auto"/>
              <w:right w:val="nil"/>
            </w:tcBorders>
            <w:shd w:val="clear" w:color="auto" w:fill="auto"/>
            <w:noWrap/>
            <w:vAlign w:val="bottom"/>
            <w:hideMark/>
          </w:tcPr>
          <w:p w14:paraId="055C0ED4"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5%</w:t>
            </w:r>
          </w:p>
        </w:tc>
        <w:tc>
          <w:tcPr>
            <w:tcW w:w="1235" w:type="dxa"/>
            <w:gridSpan w:val="2"/>
            <w:tcBorders>
              <w:top w:val="nil"/>
              <w:left w:val="nil"/>
              <w:bottom w:val="single" w:sz="4" w:space="0" w:color="auto"/>
              <w:right w:val="nil"/>
            </w:tcBorders>
            <w:shd w:val="clear" w:color="auto" w:fill="auto"/>
            <w:noWrap/>
            <w:vAlign w:val="bottom"/>
            <w:hideMark/>
          </w:tcPr>
          <w:p w14:paraId="37B19E9A" w14:textId="77777777" w:rsidR="00E80EDB" w:rsidRPr="00C37606" w:rsidRDefault="00E80EDB" w:rsidP="00067077">
            <w:pPr>
              <w:jc w:val="right"/>
              <w:rPr>
                <w:rFonts w:eastAsia="Times New Roman" w:cs="Times New Roman"/>
                <w:color w:val="000000"/>
                <w:sz w:val="18"/>
                <w:szCs w:val="18"/>
              </w:rPr>
            </w:pPr>
            <w:r w:rsidRPr="00C37606">
              <w:rPr>
                <w:rFonts w:eastAsia="Times New Roman" w:cs="Times New Roman"/>
                <w:color w:val="000000"/>
                <w:sz w:val="18"/>
                <w:szCs w:val="18"/>
              </w:rPr>
              <w:t>6%</w:t>
            </w:r>
          </w:p>
        </w:tc>
      </w:tr>
      <w:tr w:rsidR="008D1973" w:rsidRPr="00C37606" w14:paraId="42E8CFA8" w14:textId="77777777" w:rsidTr="00E80EDB">
        <w:trPr>
          <w:gridAfter w:val="1"/>
          <w:wAfter w:w="22" w:type="dxa"/>
          <w:trHeight w:val="300"/>
        </w:trPr>
        <w:tc>
          <w:tcPr>
            <w:tcW w:w="9080" w:type="dxa"/>
            <w:gridSpan w:val="6"/>
            <w:tcBorders>
              <w:top w:val="single" w:sz="4" w:space="0" w:color="auto"/>
              <w:left w:val="nil"/>
              <w:bottom w:val="nil"/>
              <w:right w:val="nil"/>
            </w:tcBorders>
            <w:shd w:val="clear" w:color="auto" w:fill="auto"/>
            <w:noWrap/>
            <w:vAlign w:val="bottom"/>
            <w:hideMark/>
          </w:tcPr>
          <w:p w14:paraId="6021708C" w14:textId="77777777" w:rsidR="008D1973" w:rsidRPr="00C37606" w:rsidRDefault="008D1973" w:rsidP="006669C0">
            <w:pPr>
              <w:spacing w:line="240" w:lineRule="auto"/>
              <w:rPr>
                <w:rFonts w:eastAsia="Times New Roman" w:cs="Times New Roman"/>
                <w:iCs/>
                <w:color w:val="000000"/>
                <w:sz w:val="18"/>
                <w:szCs w:val="16"/>
              </w:rPr>
            </w:pPr>
          </w:p>
          <w:p w14:paraId="0995624D" w14:textId="2C479BBC" w:rsidR="008D1973" w:rsidRPr="00C37606" w:rsidRDefault="008D1973" w:rsidP="006669C0">
            <w:pPr>
              <w:spacing w:line="240" w:lineRule="auto"/>
              <w:rPr>
                <w:rFonts w:eastAsia="Times New Roman" w:cs="Times New Roman"/>
                <w:iCs/>
                <w:color w:val="000000"/>
                <w:sz w:val="18"/>
                <w:szCs w:val="16"/>
              </w:rPr>
            </w:pPr>
            <w:r w:rsidRPr="00C37606">
              <w:rPr>
                <w:rFonts w:eastAsia="Times New Roman" w:cs="Times New Roman"/>
                <w:iCs/>
                <w:color w:val="000000"/>
                <w:sz w:val="18"/>
                <w:szCs w:val="16"/>
              </w:rPr>
              <w:t xml:space="preserve">Source: </w:t>
            </w:r>
            <w:r w:rsidR="0020362E">
              <w:rPr>
                <w:rFonts w:eastAsia="Times New Roman" w:cs="Times New Roman"/>
                <w:iCs/>
                <w:color w:val="000000"/>
                <w:sz w:val="18"/>
                <w:szCs w:val="16"/>
              </w:rPr>
              <w:t>2007-2011</w:t>
            </w:r>
            <w:r w:rsidRPr="00C37606">
              <w:rPr>
                <w:rFonts w:eastAsia="Times New Roman" w:cs="Times New Roman"/>
                <w:iCs/>
                <w:color w:val="000000"/>
                <w:sz w:val="18"/>
                <w:szCs w:val="16"/>
              </w:rPr>
              <w:t xml:space="preserve"> American Community Survey</w:t>
            </w:r>
          </w:p>
        </w:tc>
      </w:tr>
      <w:tr w:rsidR="008D1973" w:rsidRPr="00C37606" w14:paraId="76E79889" w14:textId="77777777" w:rsidTr="00E80EDB">
        <w:trPr>
          <w:gridAfter w:val="1"/>
          <w:wAfter w:w="22" w:type="dxa"/>
          <w:trHeight w:val="540"/>
        </w:trPr>
        <w:tc>
          <w:tcPr>
            <w:tcW w:w="9080" w:type="dxa"/>
            <w:gridSpan w:val="6"/>
            <w:tcBorders>
              <w:top w:val="nil"/>
              <w:left w:val="nil"/>
              <w:bottom w:val="nil"/>
              <w:right w:val="nil"/>
            </w:tcBorders>
            <w:shd w:val="clear" w:color="auto" w:fill="auto"/>
            <w:vAlign w:val="bottom"/>
            <w:hideMark/>
          </w:tcPr>
          <w:p w14:paraId="787335E5" w14:textId="77777777" w:rsidR="008D1973" w:rsidRPr="00C37606" w:rsidRDefault="008D1973" w:rsidP="006669C0">
            <w:pPr>
              <w:spacing w:line="240" w:lineRule="auto"/>
              <w:rPr>
                <w:rFonts w:eastAsia="Times New Roman" w:cs="Times New Roman"/>
                <w:iCs/>
                <w:color w:val="000000"/>
                <w:sz w:val="18"/>
                <w:szCs w:val="16"/>
              </w:rPr>
            </w:pPr>
            <w:r w:rsidRPr="00C37606">
              <w:rPr>
                <w:rFonts w:eastAsia="Times New Roman" w:cs="Times New Roman"/>
                <w:iCs/>
                <w:color w:val="000000"/>
                <w:sz w:val="18"/>
                <w:szCs w:val="16"/>
              </w:rPr>
              <w:t xml:space="preserve">Note: 0-1 people per room is not overcrowded, 1-1.5 people per room is overcrowded, more than 1.5 people per room is extremely overcrowded </w:t>
            </w:r>
          </w:p>
        </w:tc>
      </w:tr>
    </w:tbl>
    <w:p w14:paraId="105E9E5F" w14:textId="77777777" w:rsidR="00D25635" w:rsidRPr="00C37606" w:rsidRDefault="00D25635" w:rsidP="00067077">
      <w:pPr>
        <w:rPr>
          <w:sz w:val="32"/>
        </w:rPr>
      </w:pPr>
    </w:p>
    <w:p w14:paraId="18EE4F06" w14:textId="37D6240A" w:rsidR="00D25635" w:rsidRPr="00C37606" w:rsidRDefault="00D25635" w:rsidP="00067077">
      <w:pPr>
        <w:pStyle w:val="heading10"/>
        <w:rPr>
          <w:color w:val="0B5095"/>
        </w:rPr>
      </w:pPr>
      <w:r w:rsidRPr="00C37606">
        <w:rPr>
          <w:color w:val="0B5095"/>
        </w:rPr>
        <w:t xml:space="preserve">Other Housing </w:t>
      </w:r>
      <w:r w:rsidR="006C4E74" w:rsidRPr="00C37606">
        <w:rPr>
          <w:color w:val="0B5095"/>
        </w:rPr>
        <w:t>Issues</w:t>
      </w:r>
    </w:p>
    <w:p w14:paraId="0E3DD094" w14:textId="77777777" w:rsidR="00F708B1" w:rsidRPr="00C37606" w:rsidRDefault="00F708B1" w:rsidP="00F708B1">
      <w:r w:rsidRPr="00C37606">
        <w:t xml:space="preserve">In addition to issues with affordability and overcrowding, housing can have physical problems such as lack of facilities or deterioration due to age. One of the best ways to assess the condition of the housing stock is through a windshield survey. The census also provides useful information as to the conditions of the housing stock. </w:t>
      </w:r>
    </w:p>
    <w:p w14:paraId="5BFD567D" w14:textId="77777777" w:rsidR="003C454C" w:rsidRPr="00C37606" w:rsidRDefault="003C454C" w:rsidP="00F708B1"/>
    <w:p w14:paraId="130E24AC" w14:textId="77777777" w:rsidR="003C454C" w:rsidRPr="00C37606" w:rsidRDefault="003C454C" w:rsidP="003C454C">
      <w:r w:rsidRPr="00C37606">
        <w:t xml:space="preserve">Almost all of Hillsborough’s housing was built before 1980, and almost half was built before 1970. Often older homes can be more expensive to maintain and rehabilitate, though Hillsborough’s high housing prices indicate that the age of housing here is a selling point instead of a burden. </w:t>
      </w:r>
    </w:p>
    <w:p w14:paraId="20A1A69D" w14:textId="77777777" w:rsidR="003C454C" w:rsidRPr="00C37606" w:rsidRDefault="003C454C" w:rsidP="003C454C"/>
    <w:p w14:paraId="20EBD9C5" w14:textId="2B83B70D" w:rsidR="003C454C" w:rsidRDefault="003C454C" w:rsidP="00F708B1">
      <w:r w:rsidRPr="00C37606">
        <w:t>The census tracks other housing problems, including a lack of plumbing and kitchen facilities. However, no homes in Hillsborough are lacking facilities such as plumbing or kitchen facilities.</w:t>
      </w:r>
      <w:r>
        <w:t xml:space="preserve"> </w:t>
      </w:r>
    </w:p>
    <w:p w14:paraId="7A99F05F" w14:textId="7EA75974" w:rsidR="00D25635" w:rsidRDefault="00C37606" w:rsidP="007C16AA">
      <w:pPr>
        <w:spacing w:line="240" w:lineRule="auto"/>
      </w:pPr>
      <w:r>
        <w:br w:type="page"/>
      </w:r>
    </w:p>
    <w:tbl>
      <w:tblPr>
        <w:tblW w:w="7035" w:type="dxa"/>
        <w:tblInd w:w="93" w:type="dxa"/>
        <w:tblLayout w:type="fixed"/>
        <w:tblLook w:val="04A0" w:firstRow="1" w:lastRow="0" w:firstColumn="1" w:lastColumn="0" w:noHBand="0" w:noVBand="1"/>
      </w:tblPr>
      <w:tblGrid>
        <w:gridCol w:w="2705"/>
        <w:gridCol w:w="338"/>
        <w:gridCol w:w="1022"/>
        <w:gridCol w:w="1440"/>
        <w:gridCol w:w="90"/>
        <w:gridCol w:w="35"/>
        <w:gridCol w:w="322"/>
        <w:gridCol w:w="1083"/>
      </w:tblGrid>
      <w:tr w:rsidR="00206E3A" w:rsidRPr="000B6780" w14:paraId="74719CDD" w14:textId="77777777" w:rsidTr="007C16AA">
        <w:trPr>
          <w:trHeight w:val="300"/>
        </w:trPr>
        <w:tc>
          <w:tcPr>
            <w:tcW w:w="7035" w:type="dxa"/>
            <w:gridSpan w:val="8"/>
            <w:tcBorders>
              <w:top w:val="nil"/>
              <w:left w:val="nil"/>
              <w:bottom w:val="nil"/>
              <w:right w:val="nil"/>
            </w:tcBorders>
            <w:shd w:val="clear" w:color="000000" w:fill="000000"/>
            <w:noWrap/>
            <w:vAlign w:val="bottom"/>
            <w:hideMark/>
          </w:tcPr>
          <w:p w14:paraId="680A7684" w14:textId="3187A0E9" w:rsidR="000B6780" w:rsidRPr="000B6780" w:rsidRDefault="000B6780" w:rsidP="00206E3A">
            <w:pPr>
              <w:ind w:right="-256"/>
              <w:rPr>
                <w:rFonts w:eastAsia="Times New Roman" w:cs="Times New Roman"/>
                <w:b/>
                <w:bCs/>
                <w:color w:val="FFFFFF"/>
                <w:sz w:val="20"/>
                <w:szCs w:val="20"/>
              </w:rPr>
            </w:pPr>
            <w:r w:rsidRPr="000B6780">
              <w:rPr>
                <w:rFonts w:eastAsia="Times New Roman" w:cs="Times New Roman"/>
                <w:b/>
                <w:bCs/>
                <w:color w:val="FFFFFF"/>
                <w:sz w:val="20"/>
                <w:szCs w:val="20"/>
              </w:rPr>
              <w:t>Year Structure Built</w:t>
            </w:r>
            <w:r w:rsidR="007C16AA">
              <w:rPr>
                <w:rFonts w:eastAsia="Times New Roman" w:cs="Times New Roman"/>
                <w:b/>
                <w:bCs/>
                <w:color w:val="FFFFFF"/>
                <w:sz w:val="20"/>
                <w:szCs w:val="20"/>
              </w:rPr>
              <w:t xml:space="preserve"> (2011)</w:t>
            </w:r>
          </w:p>
        </w:tc>
      </w:tr>
      <w:tr w:rsidR="00206E3A" w:rsidRPr="00456E27" w14:paraId="3C920AA7" w14:textId="77777777" w:rsidTr="007C16AA">
        <w:trPr>
          <w:trHeight w:val="320"/>
        </w:trPr>
        <w:tc>
          <w:tcPr>
            <w:tcW w:w="2705" w:type="dxa"/>
            <w:tcBorders>
              <w:top w:val="nil"/>
              <w:left w:val="nil"/>
              <w:bottom w:val="single" w:sz="8" w:space="0" w:color="auto"/>
              <w:right w:val="nil"/>
            </w:tcBorders>
            <w:shd w:val="clear" w:color="auto" w:fill="auto"/>
            <w:noWrap/>
            <w:vAlign w:val="bottom"/>
            <w:hideMark/>
          </w:tcPr>
          <w:p w14:paraId="6A06E909" w14:textId="77777777" w:rsidR="00206E3A" w:rsidRPr="00456E27" w:rsidRDefault="00206E3A" w:rsidP="00371AC0">
            <w:pPr>
              <w:spacing w:line="240" w:lineRule="auto"/>
              <w:rPr>
                <w:rFonts w:eastAsia="Times New Roman" w:cs="Times New Roman"/>
                <w:color w:val="000000"/>
                <w:sz w:val="18"/>
                <w:szCs w:val="18"/>
              </w:rPr>
            </w:pPr>
            <w:r w:rsidRPr="00456E27">
              <w:rPr>
                <w:rFonts w:eastAsia="Times New Roman" w:cs="Times New Roman"/>
                <w:color w:val="000000"/>
                <w:sz w:val="18"/>
                <w:szCs w:val="18"/>
              </w:rPr>
              <w:t> </w:t>
            </w:r>
          </w:p>
        </w:tc>
        <w:tc>
          <w:tcPr>
            <w:tcW w:w="1360" w:type="dxa"/>
            <w:gridSpan w:val="2"/>
            <w:tcBorders>
              <w:top w:val="nil"/>
              <w:left w:val="nil"/>
              <w:bottom w:val="nil"/>
              <w:right w:val="nil"/>
            </w:tcBorders>
            <w:shd w:val="clear" w:color="auto" w:fill="auto"/>
            <w:noWrap/>
            <w:vAlign w:val="bottom"/>
            <w:hideMark/>
          </w:tcPr>
          <w:p w14:paraId="2626F9FA" w14:textId="77777777" w:rsidR="00206E3A" w:rsidRDefault="00206E3A" w:rsidP="007C16AA">
            <w:pPr>
              <w:spacing w:line="240" w:lineRule="auto"/>
              <w:jc w:val="right"/>
              <w:rPr>
                <w:rFonts w:eastAsia="Times New Roman" w:cs="Times New Roman"/>
                <w:b/>
                <w:bCs/>
                <w:color w:val="000000"/>
                <w:sz w:val="18"/>
                <w:szCs w:val="18"/>
              </w:rPr>
            </w:pPr>
          </w:p>
          <w:p w14:paraId="4050C164" w14:textId="52B2EF3D" w:rsidR="00206E3A" w:rsidRDefault="003B70CF" w:rsidP="007C16AA">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Town of </w:t>
            </w:r>
            <w:r w:rsidR="00853231">
              <w:rPr>
                <w:rFonts w:eastAsia="Times New Roman" w:cs="Times New Roman"/>
                <w:b/>
                <w:bCs/>
                <w:color w:val="000000"/>
                <w:sz w:val="18"/>
                <w:szCs w:val="18"/>
              </w:rPr>
              <w:t>Hillsborough</w:t>
            </w:r>
          </w:p>
          <w:p w14:paraId="7517DD6F" w14:textId="77777777" w:rsidR="00206E3A" w:rsidRPr="0017540C" w:rsidRDefault="00206E3A" w:rsidP="007C16AA">
            <w:pPr>
              <w:spacing w:line="240" w:lineRule="auto"/>
              <w:jc w:val="right"/>
              <w:rPr>
                <w:rFonts w:eastAsia="Times New Roman" w:cs="Times New Roman"/>
                <w:b/>
                <w:bCs/>
                <w:color w:val="000000"/>
                <w:sz w:val="10"/>
                <w:szCs w:val="18"/>
              </w:rPr>
            </w:pPr>
          </w:p>
        </w:tc>
        <w:tc>
          <w:tcPr>
            <w:tcW w:w="1565" w:type="dxa"/>
            <w:gridSpan w:val="3"/>
            <w:tcBorders>
              <w:top w:val="nil"/>
              <w:left w:val="nil"/>
              <w:bottom w:val="nil"/>
              <w:right w:val="nil"/>
            </w:tcBorders>
            <w:shd w:val="clear" w:color="auto" w:fill="auto"/>
            <w:noWrap/>
            <w:vAlign w:val="bottom"/>
            <w:hideMark/>
          </w:tcPr>
          <w:p w14:paraId="2F96EFCC" w14:textId="77777777" w:rsidR="00206E3A" w:rsidRDefault="00206E3A" w:rsidP="007C16AA">
            <w:pPr>
              <w:spacing w:line="240" w:lineRule="auto"/>
              <w:jc w:val="right"/>
              <w:rPr>
                <w:rFonts w:eastAsia="Times New Roman" w:cs="Times New Roman"/>
                <w:b/>
                <w:bCs/>
                <w:color w:val="000000"/>
                <w:sz w:val="18"/>
                <w:szCs w:val="18"/>
              </w:rPr>
            </w:pPr>
          </w:p>
          <w:p w14:paraId="4C7A4458" w14:textId="77777777" w:rsidR="00206E3A" w:rsidRDefault="00206E3A" w:rsidP="007C16AA">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San Mateo </w:t>
            </w:r>
            <w:r w:rsidRPr="00456E27">
              <w:rPr>
                <w:rFonts w:eastAsia="Times New Roman" w:cs="Times New Roman"/>
                <w:b/>
                <w:bCs/>
                <w:color w:val="000000"/>
                <w:sz w:val="18"/>
                <w:szCs w:val="18"/>
              </w:rPr>
              <w:t>County</w:t>
            </w:r>
          </w:p>
          <w:p w14:paraId="099CB8A4" w14:textId="77777777" w:rsidR="00206E3A" w:rsidRPr="0017540C" w:rsidRDefault="00206E3A" w:rsidP="007C16AA">
            <w:pPr>
              <w:spacing w:line="240" w:lineRule="auto"/>
              <w:jc w:val="right"/>
              <w:rPr>
                <w:rFonts w:eastAsia="Times New Roman" w:cs="Times New Roman"/>
                <w:b/>
                <w:bCs/>
                <w:color w:val="000000"/>
                <w:sz w:val="10"/>
                <w:szCs w:val="18"/>
              </w:rPr>
            </w:pPr>
          </w:p>
        </w:tc>
        <w:tc>
          <w:tcPr>
            <w:tcW w:w="1405" w:type="dxa"/>
            <w:gridSpan w:val="2"/>
            <w:tcBorders>
              <w:top w:val="nil"/>
              <w:left w:val="nil"/>
              <w:bottom w:val="nil"/>
              <w:right w:val="nil"/>
            </w:tcBorders>
            <w:shd w:val="clear" w:color="auto" w:fill="auto"/>
            <w:noWrap/>
            <w:vAlign w:val="bottom"/>
            <w:hideMark/>
          </w:tcPr>
          <w:p w14:paraId="5C6428CB" w14:textId="77777777" w:rsidR="00206E3A" w:rsidRDefault="00206E3A" w:rsidP="007C16AA">
            <w:pPr>
              <w:spacing w:line="240" w:lineRule="auto"/>
              <w:jc w:val="right"/>
              <w:rPr>
                <w:rFonts w:eastAsia="Times New Roman" w:cs="Times New Roman"/>
                <w:b/>
                <w:bCs/>
                <w:color w:val="000000"/>
                <w:sz w:val="18"/>
                <w:szCs w:val="18"/>
              </w:rPr>
            </w:pPr>
            <w:r w:rsidRPr="00456E27">
              <w:rPr>
                <w:rFonts w:eastAsia="Times New Roman" w:cs="Times New Roman"/>
                <w:b/>
                <w:bCs/>
                <w:color w:val="000000"/>
                <w:sz w:val="18"/>
                <w:szCs w:val="18"/>
              </w:rPr>
              <w:t>State</w:t>
            </w:r>
            <w:r>
              <w:rPr>
                <w:rFonts w:eastAsia="Times New Roman" w:cs="Times New Roman"/>
                <w:b/>
                <w:bCs/>
                <w:color w:val="000000"/>
                <w:sz w:val="18"/>
                <w:szCs w:val="18"/>
              </w:rPr>
              <w:t xml:space="preserve"> of California</w:t>
            </w:r>
          </w:p>
          <w:p w14:paraId="097DDCF3" w14:textId="77777777" w:rsidR="00206E3A" w:rsidRPr="0017540C" w:rsidRDefault="00206E3A" w:rsidP="007C16AA">
            <w:pPr>
              <w:spacing w:line="240" w:lineRule="auto"/>
              <w:jc w:val="right"/>
              <w:rPr>
                <w:rFonts w:eastAsia="Times New Roman" w:cs="Times New Roman"/>
                <w:b/>
                <w:bCs/>
                <w:color w:val="000000"/>
                <w:sz w:val="10"/>
                <w:szCs w:val="18"/>
              </w:rPr>
            </w:pPr>
          </w:p>
        </w:tc>
      </w:tr>
      <w:tr w:rsidR="007C16AA" w:rsidRPr="000B6780" w14:paraId="5CE5A626" w14:textId="77777777" w:rsidTr="007C16AA">
        <w:trPr>
          <w:trHeight w:val="300"/>
        </w:trPr>
        <w:tc>
          <w:tcPr>
            <w:tcW w:w="3043" w:type="dxa"/>
            <w:gridSpan w:val="2"/>
            <w:tcBorders>
              <w:top w:val="single" w:sz="4" w:space="0" w:color="808080"/>
              <w:left w:val="nil"/>
              <w:bottom w:val="single" w:sz="4" w:space="0" w:color="808080"/>
              <w:right w:val="nil"/>
            </w:tcBorders>
            <w:shd w:val="clear" w:color="auto" w:fill="auto"/>
            <w:noWrap/>
            <w:vAlign w:val="bottom"/>
            <w:hideMark/>
          </w:tcPr>
          <w:p w14:paraId="05A299E4" w14:textId="77777777" w:rsidR="007C16AA" w:rsidRPr="000B6780" w:rsidRDefault="007C16AA" w:rsidP="007C16AA">
            <w:pPr>
              <w:rPr>
                <w:rFonts w:eastAsia="Times New Roman" w:cs="Times New Roman"/>
                <w:color w:val="000000"/>
                <w:sz w:val="18"/>
                <w:szCs w:val="18"/>
              </w:rPr>
            </w:pPr>
            <w:r w:rsidRPr="000B6780">
              <w:rPr>
                <w:rFonts w:eastAsia="Times New Roman" w:cs="Times New Roman"/>
                <w:color w:val="000000"/>
                <w:sz w:val="18"/>
                <w:szCs w:val="18"/>
              </w:rPr>
              <w:t>Built in 2000 or more recently</w:t>
            </w:r>
          </w:p>
        </w:tc>
        <w:tc>
          <w:tcPr>
            <w:tcW w:w="1022" w:type="dxa"/>
            <w:tcBorders>
              <w:top w:val="single" w:sz="4" w:space="0" w:color="808080"/>
              <w:left w:val="nil"/>
              <w:bottom w:val="single" w:sz="4" w:space="0" w:color="808080"/>
              <w:right w:val="nil"/>
            </w:tcBorders>
            <w:shd w:val="clear" w:color="auto" w:fill="auto"/>
            <w:noWrap/>
            <w:vAlign w:val="bottom"/>
            <w:hideMark/>
          </w:tcPr>
          <w:p w14:paraId="49F66840" w14:textId="6AF86C5B" w:rsidR="007C16AA" w:rsidRPr="005C76CD" w:rsidRDefault="007C16AA" w:rsidP="007C16AA">
            <w:pPr>
              <w:jc w:val="right"/>
              <w:rPr>
                <w:rFonts w:eastAsia="Times New Roman" w:cs="Times New Roman"/>
                <w:color w:val="000000"/>
                <w:sz w:val="18"/>
                <w:szCs w:val="18"/>
                <w:highlight w:val="yellow"/>
              </w:rPr>
            </w:pPr>
            <w:r w:rsidRPr="00AA28C7">
              <w:rPr>
                <w:rFonts w:eastAsia="Times New Roman" w:cs="Times New Roman"/>
                <w:color w:val="000000"/>
                <w:sz w:val="18"/>
                <w:szCs w:val="18"/>
              </w:rPr>
              <w:t>5%</w:t>
            </w:r>
          </w:p>
        </w:tc>
        <w:tc>
          <w:tcPr>
            <w:tcW w:w="1440" w:type="dxa"/>
            <w:tcBorders>
              <w:top w:val="single" w:sz="4" w:space="0" w:color="808080"/>
              <w:left w:val="nil"/>
              <w:bottom w:val="single" w:sz="4" w:space="0" w:color="808080"/>
              <w:right w:val="nil"/>
            </w:tcBorders>
            <w:shd w:val="clear" w:color="auto" w:fill="auto"/>
            <w:noWrap/>
            <w:vAlign w:val="bottom"/>
            <w:hideMark/>
          </w:tcPr>
          <w:p w14:paraId="0D0A4C16" w14:textId="77777777" w:rsidR="007C16AA" w:rsidRPr="000B6780" w:rsidRDefault="007C16AA" w:rsidP="007C16AA">
            <w:pPr>
              <w:jc w:val="right"/>
              <w:rPr>
                <w:rFonts w:eastAsia="Times New Roman" w:cs="Times New Roman"/>
                <w:color w:val="000000"/>
                <w:sz w:val="18"/>
                <w:szCs w:val="18"/>
              </w:rPr>
            </w:pPr>
            <w:r w:rsidRPr="000B6780">
              <w:rPr>
                <w:rFonts w:eastAsia="Times New Roman" w:cs="Times New Roman"/>
                <w:color w:val="000000"/>
                <w:sz w:val="18"/>
                <w:szCs w:val="18"/>
              </w:rPr>
              <w:t>5.4%</w:t>
            </w:r>
          </w:p>
        </w:tc>
        <w:tc>
          <w:tcPr>
            <w:tcW w:w="1530" w:type="dxa"/>
            <w:gridSpan w:val="4"/>
            <w:tcBorders>
              <w:top w:val="single" w:sz="4" w:space="0" w:color="808080"/>
              <w:left w:val="nil"/>
              <w:bottom w:val="single" w:sz="4" w:space="0" w:color="808080"/>
              <w:right w:val="nil"/>
            </w:tcBorders>
            <w:shd w:val="clear" w:color="auto" w:fill="auto"/>
            <w:noWrap/>
            <w:vAlign w:val="bottom"/>
            <w:hideMark/>
          </w:tcPr>
          <w:p w14:paraId="5F15A847" w14:textId="77777777" w:rsidR="007C16AA" w:rsidRPr="000B6780" w:rsidRDefault="007C16AA" w:rsidP="007C16AA">
            <w:pPr>
              <w:jc w:val="right"/>
              <w:rPr>
                <w:rFonts w:eastAsia="Times New Roman" w:cs="Times New Roman"/>
                <w:color w:val="000000"/>
                <w:sz w:val="18"/>
                <w:szCs w:val="18"/>
              </w:rPr>
            </w:pPr>
            <w:r w:rsidRPr="000B6780">
              <w:rPr>
                <w:rFonts w:eastAsia="Times New Roman" w:cs="Times New Roman"/>
                <w:color w:val="000000"/>
                <w:sz w:val="18"/>
                <w:szCs w:val="18"/>
              </w:rPr>
              <w:t>12%</w:t>
            </w:r>
          </w:p>
        </w:tc>
      </w:tr>
      <w:tr w:rsidR="007C16AA" w:rsidRPr="000B6780" w14:paraId="0DBB7B45" w14:textId="77777777" w:rsidTr="007C16AA">
        <w:trPr>
          <w:trHeight w:val="300"/>
        </w:trPr>
        <w:tc>
          <w:tcPr>
            <w:tcW w:w="3043" w:type="dxa"/>
            <w:gridSpan w:val="2"/>
            <w:tcBorders>
              <w:top w:val="nil"/>
              <w:left w:val="nil"/>
              <w:bottom w:val="single" w:sz="4" w:space="0" w:color="808080"/>
              <w:right w:val="nil"/>
            </w:tcBorders>
            <w:shd w:val="clear" w:color="auto" w:fill="auto"/>
            <w:noWrap/>
            <w:vAlign w:val="bottom"/>
            <w:hideMark/>
          </w:tcPr>
          <w:p w14:paraId="7123F165" w14:textId="77777777" w:rsidR="007C16AA" w:rsidRPr="000B6780" w:rsidRDefault="007C16AA" w:rsidP="007C16AA">
            <w:pPr>
              <w:rPr>
                <w:rFonts w:eastAsia="Times New Roman" w:cs="Times New Roman"/>
                <w:color w:val="000000"/>
                <w:sz w:val="18"/>
                <w:szCs w:val="18"/>
              </w:rPr>
            </w:pPr>
            <w:r w:rsidRPr="000B6780">
              <w:rPr>
                <w:rFonts w:eastAsia="Times New Roman" w:cs="Times New Roman"/>
                <w:color w:val="000000"/>
                <w:sz w:val="18"/>
                <w:szCs w:val="18"/>
              </w:rPr>
              <w:t>Built in 1990s</w:t>
            </w:r>
          </w:p>
        </w:tc>
        <w:tc>
          <w:tcPr>
            <w:tcW w:w="1022" w:type="dxa"/>
            <w:tcBorders>
              <w:top w:val="nil"/>
              <w:left w:val="nil"/>
              <w:bottom w:val="single" w:sz="4" w:space="0" w:color="808080"/>
              <w:right w:val="nil"/>
            </w:tcBorders>
            <w:shd w:val="clear" w:color="auto" w:fill="auto"/>
            <w:noWrap/>
            <w:vAlign w:val="bottom"/>
            <w:hideMark/>
          </w:tcPr>
          <w:p w14:paraId="0AF0979F" w14:textId="5EAB1716" w:rsidR="007C16AA" w:rsidRPr="005C76CD" w:rsidRDefault="007C16AA" w:rsidP="007C16AA">
            <w:pPr>
              <w:jc w:val="right"/>
              <w:rPr>
                <w:rFonts w:eastAsia="Times New Roman" w:cs="Times New Roman"/>
                <w:color w:val="000000"/>
                <w:sz w:val="18"/>
                <w:szCs w:val="18"/>
                <w:highlight w:val="yellow"/>
              </w:rPr>
            </w:pPr>
            <w:r w:rsidRPr="00AA28C7">
              <w:rPr>
                <w:rFonts w:eastAsia="Times New Roman" w:cs="Times New Roman"/>
                <w:color w:val="000000"/>
                <w:sz w:val="18"/>
                <w:szCs w:val="18"/>
              </w:rPr>
              <w:t>5%</w:t>
            </w:r>
          </w:p>
        </w:tc>
        <w:tc>
          <w:tcPr>
            <w:tcW w:w="1440" w:type="dxa"/>
            <w:tcBorders>
              <w:top w:val="nil"/>
              <w:left w:val="nil"/>
              <w:bottom w:val="single" w:sz="4" w:space="0" w:color="808080"/>
              <w:right w:val="nil"/>
            </w:tcBorders>
            <w:shd w:val="clear" w:color="auto" w:fill="auto"/>
            <w:noWrap/>
            <w:vAlign w:val="bottom"/>
            <w:hideMark/>
          </w:tcPr>
          <w:p w14:paraId="4AF55FD7" w14:textId="77777777" w:rsidR="007C16AA" w:rsidRPr="000B6780" w:rsidRDefault="007C16AA" w:rsidP="007C16AA">
            <w:pPr>
              <w:jc w:val="right"/>
              <w:rPr>
                <w:rFonts w:eastAsia="Times New Roman" w:cs="Times New Roman"/>
                <w:color w:val="000000"/>
                <w:sz w:val="18"/>
                <w:szCs w:val="18"/>
              </w:rPr>
            </w:pPr>
            <w:r w:rsidRPr="000B6780">
              <w:rPr>
                <w:rFonts w:eastAsia="Times New Roman" w:cs="Times New Roman"/>
                <w:color w:val="000000"/>
                <w:sz w:val="18"/>
                <w:szCs w:val="18"/>
              </w:rPr>
              <w:t>6%</w:t>
            </w:r>
          </w:p>
        </w:tc>
        <w:tc>
          <w:tcPr>
            <w:tcW w:w="1530" w:type="dxa"/>
            <w:gridSpan w:val="4"/>
            <w:tcBorders>
              <w:top w:val="nil"/>
              <w:left w:val="nil"/>
              <w:bottom w:val="single" w:sz="4" w:space="0" w:color="808080"/>
              <w:right w:val="nil"/>
            </w:tcBorders>
            <w:shd w:val="clear" w:color="auto" w:fill="auto"/>
            <w:noWrap/>
            <w:vAlign w:val="bottom"/>
            <w:hideMark/>
          </w:tcPr>
          <w:p w14:paraId="426A93F8" w14:textId="77777777" w:rsidR="007C16AA" w:rsidRPr="000B6780" w:rsidRDefault="007C16AA" w:rsidP="007C16AA">
            <w:pPr>
              <w:jc w:val="right"/>
              <w:rPr>
                <w:rFonts w:eastAsia="Times New Roman" w:cs="Times New Roman"/>
                <w:color w:val="000000"/>
                <w:sz w:val="18"/>
                <w:szCs w:val="18"/>
              </w:rPr>
            </w:pPr>
            <w:r w:rsidRPr="000B6780">
              <w:rPr>
                <w:rFonts w:eastAsia="Times New Roman" w:cs="Times New Roman"/>
                <w:color w:val="000000"/>
                <w:sz w:val="18"/>
                <w:szCs w:val="18"/>
              </w:rPr>
              <w:t>11%</w:t>
            </w:r>
          </w:p>
        </w:tc>
      </w:tr>
      <w:tr w:rsidR="007C16AA" w:rsidRPr="000B6780" w14:paraId="2932DBC3" w14:textId="77777777" w:rsidTr="007C16AA">
        <w:trPr>
          <w:trHeight w:val="300"/>
        </w:trPr>
        <w:tc>
          <w:tcPr>
            <w:tcW w:w="3043" w:type="dxa"/>
            <w:gridSpan w:val="2"/>
            <w:tcBorders>
              <w:top w:val="nil"/>
              <w:left w:val="nil"/>
              <w:bottom w:val="single" w:sz="4" w:space="0" w:color="808080"/>
              <w:right w:val="nil"/>
            </w:tcBorders>
            <w:shd w:val="clear" w:color="auto" w:fill="auto"/>
            <w:noWrap/>
            <w:vAlign w:val="bottom"/>
            <w:hideMark/>
          </w:tcPr>
          <w:p w14:paraId="6C74C84D" w14:textId="77777777" w:rsidR="007C16AA" w:rsidRPr="000B6780" w:rsidRDefault="007C16AA" w:rsidP="00206E3A">
            <w:pPr>
              <w:rPr>
                <w:rFonts w:eastAsia="Times New Roman" w:cs="Times New Roman"/>
                <w:color w:val="000000"/>
                <w:sz w:val="18"/>
                <w:szCs w:val="18"/>
              </w:rPr>
            </w:pPr>
            <w:r w:rsidRPr="000B6780">
              <w:rPr>
                <w:rFonts w:eastAsia="Times New Roman" w:cs="Times New Roman"/>
                <w:color w:val="000000"/>
                <w:sz w:val="18"/>
                <w:szCs w:val="18"/>
              </w:rPr>
              <w:t>Built in 1980s</w:t>
            </w:r>
          </w:p>
        </w:tc>
        <w:tc>
          <w:tcPr>
            <w:tcW w:w="1022" w:type="dxa"/>
            <w:tcBorders>
              <w:top w:val="nil"/>
              <w:left w:val="nil"/>
              <w:bottom w:val="single" w:sz="4" w:space="0" w:color="808080"/>
              <w:right w:val="nil"/>
            </w:tcBorders>
            <w:shd w:val="clear" w:color="auto" w:fill="auto"/>
            <w:noWrap/>
            <w:vAlign w:val="bottom"/>
            <w:hideMark/>
          </w:tcPr>
          <w:p w14:paraId="573521B1" w14:textId="2422CE2E" w:rsidR="007C16AA" w:rsidRPr="005C76CD" w:rsidRDefault="007C16AA" w:rsidP="00206E3A">
            <w:pPr>
              <w:jc w:val="right"/>
              <w:rPr>
                <w:rFonts w:eastAsia="Times New Roman" w:cs="Times New Roman"/>
                <w:color w:val="000000"/>
                <w:sz w:val="18"/>
                <w:szCs w:val="18"/>
                <w:highlight w:val="yellow"/>
              </w:rPr>
            </w:pPr>
            <w:r w:rsidRPr="00AA28C7">
              <w:rPr>
                <w:rFonts w:eastAsia="Times New Roman" w:cs="Times New Roman"/>
                <w:color w:val="000000"/>
                <w:sz w:val="18"/>
                <w:szCs w:val="18"/>
              </w:rPr>
              <w:t>9%</w:t>
            </w:r>
          </w:p>
        </w:tc>
        <w:tc>
          <w:tcPr>
            <w:tcW w:w="1530" w:type="dxa"/>
            <w:gridSpan w:val="2"/>
            <w:tcBorders>
              <w:top w:val="nil"/>
              <w:left w:val="nil"/>
              <w:bottom w:val="single" w:sz="4" w:space="0" w:color="808080"/>
              <w:right w:val="nil"/>
            </w:tcBorders>
            <w:shd w:val="clear" w:color="auto" w:fill="auto"/>
            <w:noWrap/>
            <w:vAlign w:val="bottom"/>
            <w:hideMark/>
          </w:tcPr>
          <w:p w14:paraId="2C5A568C"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9%</w:t>
            </w:r>
          </w:p>
        </w:tc>
        <w:tc>
          <w:tcPr>
            <w:tcW w:w="1440" w:type="dxa"/>
            <w:gridSpan w:val="3"/>
            <w:tcBorders>
              <w:top w:val="nil"/>
              <w:left w:val="nil"/>
              <w:bottom w:val="single" w:sz="4" w:space="0" w:color="808080"/>
              <w:right w:val="nil"/>
            </w:tcBorders>
            <w:shd w:val="clear" w:color="auto" w:fill="auto"/>
            <w:noWrap/>
            <w:vAlign w:val="bottom"/>
            <w:hideMark/>
          </w:tcPr>
          <w:p w14:paraId="20B70B22"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15%</w:t>
            </w:r>
          </w:p>
        </w:tc>
      </w:tr>
      <w:tr w:rsidR="007C16AA" w:rsidRPr="000B6780" w14:paraId="68B48796" w14:textId="77777777" w:rsidTr="007C16AA">
        <w:trPr>
          <w:trHeight w:val="300"/>
        </w:trPr>
        <w:tc>
          <w:tcPr>
            <w:tcW w:w="3043" w:type="dxa"/>
            <w:gridSpan w:val="2"/>
            <w:tcBorders>
              <w:top w:val="nil"/>
              <w:left w:val="nil"/>
              <w:bottom w:val="single" w:sz="4" w:space="0" w:color="808080"/>
              <w:right w:val="nil"/>
            </w:tcBorders>
            <w:shd w:val="clear" w:color="auto" w:fill="auto"/>
            <w:noWrap/>
            <w:vAlign w:val="bottom"/>
            <w:hideMark/>
          </w:tcPr>
          <w:p w14:paraId="1F259B76" w14:textId="77777777" w:rsidR="007C16AA" w:rsidRPr="000B6780" w:rsidRDefault="007C16AA" w:rsidP="00206E3A">
            <w:pPr>
              <w:rPr>
                <w:rFonts w:eastAsia="Times New Roman" w:cs="Times New Roman"/>
                <w:color w:val="000000"/>
                <w:sz w:val="18"/>
                <w:szCs w:val="18"/>
              </w:rPr>
            </w:pPr>
            <w:r w:rsidRPr="000B6780">
              <w:rPr>
                <w:rFonts w:eastAsia="Times New Roman" w:cs="Times New Roman"/>
                <w:color w:val="000000"/>
                <w:sz w:val="18"/>
                <w:szCs w:val="18"/>
              </w:rPr>
              <w:t>Build in 1970s</w:t>
            </w:r>
          </w:p>
        </w:tc>
        <w:tc>
          <w:tcPr>
            <w:tcW w:w="1022" w:type="dxa"/>
            <w:tcBorders>
              <w:top w:val="nil"/>
              <w:left w:val="nil"/>
              <w:bottom w:val="single" w:sz="4" w:space="0" w:color="808080"/>
              <w:right w:val="nil"/>
            </w:tcBorders>
            <w:shd w:val="clear" w:color="auto" w:fill="auto"/>
            <w:noWrap/>
            <w:vAlign w:val="bottom"/>
            <w:hideMark/>
          </w:tcPr>
          <w:p w14:paraId="00C9CC9F" w14:textId="20D22F15" w:rsidR="007C16AA" w:rsidRPr="005C76CD" w:rsidRDefault="007C16AA" w:rsidP="00206E3A">
            <w:pPr>
              <w:jc w:val="right"/>
              <w:rPr>
                <w:rFonts w:eastAsia="Times New Roman" w:cs="Times New Roman"/>
                <w:color w:val="000000"/>
                <w:sz w:val="18"/>
                <w:szCs w:val="18"/>
                <w:highlight w:val="yellow"/>
              </w:rPr>
            </w:pPr>
            <w:r w:rsidRPr="00AA28C7">
              <w:rPr>
                <w:rFonts w:eastAsia="Times New Roman" w:cs="Times New Roman"/>
                <w:color w:val="000000"/>
                <w:sz w:val="18"/>
                <w:szCs w:val="18"/>
              </w:rPr>
              <w:t>24%</w:t>
            </w:r>
          </w:p>
        </w:tc>
        <w:tc>
          <w:tcPr>
            <w:tcW w:w="1530" w:type="dxa"/>
            <w:gridSpan w:val="2"/>
            <w:tcBorders>
              <w:top w:val="nil"/>
              <w:left w:val="nil"/>
              <w:bottom w:val="single" w:sz="4" w:space="0" w:color="808080"/>
              <w:right w:val="nil"/>
            </w:tcBorders>
            <w:shd w:val="clear" w:color="auto" w:fill="auto"/>
            <w:noWrap/>
            <w:vAlign w:val="bottom"/>
            <w:hideMark/>
          </w:tcPr>
          <w:p w14:paraId="58BB9F91"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17%</w:t>
            </w:r>
          </w:p>
        </w:tc>
        <w:tc>
          <w:tcPr>
            <w:tcW w:w="1440" w:type="dxa"/>
            <w:gridSpan w:val="3"/>
            <w:tcBorders>
              <w:top w:val="nil"/>
              <w:left w:val="nil"/>
              <w:bottom w:val="single" w:sz="4" w:space="0" w:color="808080"/>
              <w:right w:val="nil"/>
            </w:tcBorders>
            <w:shd w:val="clear" w:color="auto" w:fill="auto"/>
            <w:noWrap/>
            <w:vAlign w:val="bottom"/>
            <w:hideMark/>
          </w:tcPr>
          <w:p w14:paraId="30E5532C"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18%</w:t>
            </w:r>
          </w:p>
        </w:tc>
      </w:tr>
      <w:tr w:rsidR="007C16AA" w:rsidRPr="000B6780" w14:paraId="419B91A0" w14:textId="77777777" w:rsidTr="007C16AA">
        <w:trPr>
          <w:trHeight w:val="300"/>
        </w:trPr>
        <w:tc>
          <w:tcPr>
            <w:tcW w:w="3043" w:type="dxa"/>
            <w:gridSpan w:val="2"/>
            <w:tcBorders>
              <w:top w:val="nil"/>
              <w:left w:val="nil"/>
              <w:bottom w:val="single" w:sz="4" w:space="0" w:color="808080"/>
              <w:right w:val="nil"/>
            </w:tcBorders>
            <w:shd w:val="clear" w:color="auto" w:fill="auto"/>
            <w:noWrap/>
            <w:vAlign w:val="bottom"/>
            <w:hideMark/>
          </w:tcPr>
          <w:p w14:paraId="70C28611" w14:textId="77777777" w:rsidR="007C16AA" w:rsidRPr="000B6780" w:rsidRDefault="007C16AA" w:rsidP="00206E3A">
            <w:pPr>
              <w:rPr>
                <w:rFonts w:eastAsia="Times New Roman" w:cs="Times New Roman"/>
                <w:color w:val="000000"/>
                <w:sz w:val="18"/>
                <w:szCs w:val="18"/>
              </w:rPr>
            </w:pPr>
            <w:r w:rsidRPr="000B6780">
              <w:rPr>
                <w:rFonts w:eastAsia="Times New Roman" w:cs="Times New Roman"/>
                <w:color w:val="000000"/>
                <w:sz w:val="18"/>
                <w:szCs w:val="18"/>
              </w:rPr>
              <w:t>Built in 1960s</w:t>
            </w:r>
          </w:p>
        </w:tc>
        <w:tc>
          <w:tcPr>
            <w:tcW w:w="1022" w:type="dxa"/>
            <w:tcBorders>
              <w:top w:val="nil"/>
              <w:left w:val="nil"/>
              <w:bottom w:val="single" w:sz="4" w:space="0" w:color="808080"/>
              <w:right w:val="nil"/>
            </w:tcBorders>
            <w:shd w:val="clear" w:color="auto" w:fill="auto"/>
            <w:noWrap/>
            <w:vAlign w:val="bottom"/>
            <w:hideMark/>
          </w:tcPr>
          <w:p w14:paraId="719E2EB0" w14:textId="4D32B470" w:rsidR="007C16AA" w:rsidRPr="005C76CD" w:rsidRDefault="007C16AA" w:rsidP="00206E3A">
            <w:pPr>
              <w:jc w:val="right"/>
              <w:rPr>
                <w:rFonts w:eastAsia="Times New Roman" w:cs="Times New Roman"/>
                <w:color w:val="000000"/>
                <w:sz w:val="18"/>
                <w:szCs w:val="18"/>
                <w:highlight w:val="yellow"/>
              </w:rPr>
            </w:pPr>
            <w:r w:rsidRPr="00AA28C7">
              <w:rPr>
                <w:rFonts w:eastAsia="Times New Roman" w:cs="Times New Roman"/>
                <w:color w:val="000000"/>
                <w:sz w:val="18"/>
                <w:szCs w:val="18"/>
              </w:rPr>
              <w:t>13%</w:t>
            </w:r>
          </w:p>
        </w:tc>
        <w:tc>
          <w:tcPr>
            <w:tcW w:w="1530" w:type="dxa"/>
            <w:gridSpan w:val="2"/>
            <w:tcBorders>
              <w:top w:val="nil"/>
              <w:left w:val="nil"/>
              <w:bottom w:val="single" w:sz="4" w:space="0" w:color="808080"/>
              <w:right w:val="nil"/>
            </w:tcBorders>
            <w:shd w:val="clear" w:color="auto" w:fill="auto"/>
            <w:noWrap/>
            <w:vAlign w:val="bottom"/>
            <w:hideMark/>
          </w:tcPr>
          <w:p w14:paraId="5C720129"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17%</w:t>
            </w:r>
          </w:p>
        </w:tc>
        <w:tc>
          <w:tcPr>
            <w:tcW w:w="1440" w:type="dxa"/>
            <w:gridSpan w:val="3"/>
            <w:tcBorders>
              <w:top w:val="nil"/>
              <w:left w:val="nil"/>
              <w:bottom w:val="single" w:sz="4" w:space="0" w:color="808080"/>
              <w:right w:val="nil"/>
            </w:tcBorders>
            <w:shd w:val="clear" w:color="auto" w:fill="auto"/>
            <w:noWrap/>
            <w:vAlign w:val="bottom"/>
            <w:hideMark/>
          </w:tcPr>
          <w:p w14:paraId="1CA3590A"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14%</w:t>
            </w:r>
          </w:p>
        </w:tc>
      </w:tr>
      <w:tr w:rsidR="007C16AA" w:rsidRPr="000B6780" w14:paraId="5C1397EA" w14:textId="77777777" w:rsidTr="007C16AA">
        <w:trPr>
          <w:trHeight w:val="300"/>
        </w:trPr>
        <w:tc>
          <w:tcPr>
            <w:tcW w:w="3043" w:type="dxa"/>
            <w:gridSpan w:val="2"/>
            <w:tcBorders>
              <w:top w:val="nil"/>
              <w:left w:val="nil"/>
              <w:bottom w:val="single" w:sz="4" w:space="0" w:color="auto"/>
              <w:right w:val="nil"/>
            </w:tcBorders>
            <w:shd w:val="clear" w:color="auto" w:fill="auto"/>
            <w:noWrap/>
            <w:vAlign w:val="bottom"/>
            <w:hideMark/>
          </w:tcPr>
          <w:p w14:paraId="082E7B6C" w14:textId="77777777" w:rsidR="007C16AA" w:rsidRPr="000B6780" w:rsidRDefault="007C16AA" w:rsidP="00206E3A">
            <w:pPr>
              <w:rPr>
                <w:rFonts w:eastAsia="Times New Roman" w:cs="Times New Roman"/>
                <w:color w:val="000000"/>
                <w:sz w:val="18"/>
                <w:szCs w:val="18"/>
              </w:rPr>
            </w:pPr>
            <w:r w:rsidRPr="000B6780">
              <w:rPr>
                <w:rFonts w:eastAsia="Times New Roman" w:cs="Times New Roman"/>
                <w:color w:val="000000"/>
                <w:sz w:val="18"/>
                <w:szCs w:val="18"/>
              </w:rPr>
              <w:t>Built 1950s or Earlier</w:t>
            </w:r>
          </w:p>
        </w:tc>
        <w:tc>
          <w:tcPr>
            <w:tcW w:w="1022" w:type="dxa"/>
            <w:tcBorders>
              <w:top w:val="nil"/>
              <w:left w:val="nil"/>
              <w:bottom w:val="single" w:sz="4" w:space="0" w:color="auto"/>
              <w:right w:val="nil"/>
            </w:tcBorders>
            <w:shd w:val="clear" w:color="auto" w:fill="auto"/>
            <w:noWrap/>
            <w:vAlign w:val="bottom"/>
            <w:hideMark/>
          </w:tcPr>
          <w:p w14:paraId="7A419EF8" w14:textId="317C2809" w:rsidR="007C16AA" w:rsidRPr="005C76CD" w:rsidRDefault="007C16AA" w:rsidP="00206E3A">
            <w:pPr>
              <w:jc w:val="right"/>
              <w:rPr>
                <w:rFonts w:eastAsia="Times New Roman" w:cs="Times New Roman"/>
                <w:color w:val="000000"/>
                <w:sz w:val="18"/>
                <w:szCs w:val="18"/>
                <w:highlight w:val="yellow"/>
              </w:rPr>
            </w:pPr>
            <w:r w:rsidRPr="00AA28C7">
              <w:rPr>
                <w:rFonts w:eastAsia="Times New Roman" w:cs="Times New Roman"/>
                <w:color w:val="000000"/>
                <w:sz w:val="18"/>
                <w:szCs w:val="18"/>
              </w:rPr>
              <w:t>45%</w:t>
            </w:r>
          </w:p>
        </w:tc>
        <w:tc>
          <w:tcPr>
            <w:tcW w:w="1530" w:type="dxa"/>
            <w:gridSpan w:val="2"/>
            <w:tcBorders>
              <w:top w:val="nil"/>
              <w:left w:val="nil"/>
              <w:bottom w:val="single" w:sz="4" w:space="0" w:color="auto"/>
              <w:right w:val="nil"/>
            </w:tcBorders>
            <w:shd w:val="clear" w:color="auto" w:fill="auto"/>
            <w:noWrap/>
            <w:vAlign w:val="bottom"/>
            <w:hideMark/>
          </w:tcPr>
          <w:p w14:paraId="427C8DE6"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45%</w:t>
            </w:r>
          </w:p>
        </w:tc>
        <w:tc>
          <w:tcPr>
            <w:tcW w:w="1440" w:type="dxa"/>
            <w:gridSpan w:val="3"/>
            <w:tcBorders>
              <w:top w:val="nil"/>
              <w:left w:val="nil"/>
              <w:bottom w:val="single" w:sz="4" w:space="0" w:color="auto"/>
              <w:right w:val="nil"/>
            </w:tcBorders>
            <w:shd w:val="clear" w:color="auto" w:fill="auto"/>
            <w:noWrap/>
            <w:vAlign w:val="bottom"/>
            <w:hideMark/>
          </w:tcPr>
          <w:p w14:paraId="3F5C897F"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30%</w:t>
            </w:r>
          </w:p>
        </w:tc>
      </w:tr>
      <w:tr w:rsidR="007C16AA" w:rsidRPr="000B6780" w14:paraId="29CE9A42" w14:textId="77777777" w:rsidTr="007C16AA">
        <w:trPr>
          <w:trHeight w:val="300"/>
        </w:trPr>
        <w:tc>
          <w:tcPr>
            <w:tcW w:w="3043" w:type="dxa"/>
            <w:gridSpan w:val="2"/>
            <w:tcBorders>
              <w:top w:val="nil"/>
              <w:left w:val="nil"/>
              <w:bottom w:val="single" w:sz="4" w:space="0" w:color="auto"/>
              <w:right w:val="nil"/>
            </w:tcBorders>
            <w:shd w:val="clear" w:color="auto" w:fill="auto"/>
            <w:noWrap/>
            <w:vAlign w:val="bottom"/>
            <w:hideMark/>
          </w:tcPr>
          <w:p w14:paraId="76B7D07C" w14:textId="77777777" w:rsidR="007C16AA" w:rsidRPr="000B6780" w:rsidRDefault="007C16AA" w:rsidP="00206E3A">
            <w:pPr>
              <w:rPr>
                <w:rFonts w:eastAsia="Times New Roman" w:cs="Times New Roman"/>
                <w:color w:val="000000"/>
                <w:sz w:val="18"/>
                <w:szCs w:val="18"/>
              </w:rPr>
            </w:pPr>
            <w:r w:rsidRPr="000B6780">
              <w:rPr>
                <w:rFonts w:eastAsia="Times New Roman" w:cs="Times New Roman"/>
                <w:color w:val="000000"/>
                <w:sz w:val="18"/>
                <w:szCs w:val="18"/>
              </w:rPr>
              <w:t>Total</w:t>
            </w:r>
          </w:p>
        </w:tc>
        <w:tc>
          <w:tcPr>
            <w:tcW w:w="1022" w:type="dxa"/>
            <w:tcBorders>
              <w:top w:val="nil"/>
              <w:left w:val="nil"/>
              <w:bottom w:val="single" w:sz="4" w:space="0" w:color="auto"/>
              <w:right w:val="nil"/>
            </w:tcBorders>
            <w:shd w:val="clear" w:color="auto" w:fill="auto"/>
            <w:noWrap/>
            <w:vAlign w:val="bottom"/>
            <w:hideMark/>
          </w:tcPr>
          <w:p w14:paraId="04C61525" w14:textId="671C8F5A" w:rsidR="007C16AA" w:rsidRPr="005C76CD" w:rsidRDefault="007C16AA" w:rsidP="00206E3A">
            <w:pPr>
              <w:jc w:val="right"/>
              <w:rPr>
                <w:rFonts w:eastAsia="Times New Roman" w:cs="Times New Roman"/>
                <w:color w:val="000000"/>
                <w:sz w:val="18"/>
                <w:szCs w:val="18"/>
                <w:highlight w:val="yellow"/>
              </w:rPr>
            </w:pPr>
            <w:r w:rsidRPr="00AA28C7">
              <w:rPr>
                <w:rFonts w:eastAsia="Times New Roman" w:cs="Times New Roman"/>
                <w:color w:val="000000"/>
                <w:sz w:val="18"/>
                <w:szCs w:val="18"/>
              </w:rPr>
              <w:t>3,801</w:t>
            </w:r>
          </w:p>
        </w:tc>
        <w:tc>
          <w:tcPr>
            <w:tcW w:w="1530" w:type="dxa"/>
            <w:gridSpan w:val="2"/>
            <w:tcBorders>
              <w:top w:val="nil"/>
              <w:left w:val="nil"/>
              <w:bottom w:val="single" w:sz="4" w:space="0" w:color="auto"/>
              <w:right w:val="nil"/>
            </w:tcBorders>
            <w:shd w:val="clear" w:color="auto" w:fill="auto"/>
            <w:noWrap/>
            <w:vAlign w:val="bottom"/>
            <w:hideMark/>
          </w:tcPr>
          <w:p w14:paraId="3E25D5BA"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271,140</w:t>
            </w:r>
          </w:p>
        </w:tc>
        <w:tc>
          <w:tcPr>
            <w:tcW w:w="1440" w:type="dxa"/>
            <w:gridSpan w:val="3"/>
            <w:tcBorders>
              <w:top w:val="nil"/>
              <w:left w:val="nil"/>
              <w:bottom w:val="single" w:sz="4" w:space="0" w:color="auto"/>
              <w:right w:val="nil"/>
            </w:tcBorders>
            <w:shd w:val="clear" w:color="auto" w:fill="auto"/>
            <w:noWrap/>
            <w:vAlign w:val="bottom"/>
            <w:hideMark/>
          </w:tcPr>
          <w:p w14:paraId="4C851DA1" w14:textId="77777777" w:rsidR="007C16AA" w:rsidRPr="000B6780" w:rsidRDefault="007C16AA" w:rsidP="00206E3A">
            <w:pPr>
              <w:jc w:val="right"/>
              <w:rPr>
                <w:rFonts w:eastAsia="Times New Roman" w:cs="Times New Roman"/>
                <w:color w:val="000000"/>
                <w:sz w:val="18"/>
                <w:szCs w:val="18"/>
              </w:rPr>
            </w:pPr>
            <w:r w:rsidRPr="000B6780">
              <w:rPr>
                <w:rFonts w:eastAsia="Times New Roman" w:cs="Times New Roman"/>
                <w:color w:val="000000"/>
                <w:sz w:val="18"/>
                <w:szCs w:val="18"/>
              </w:rPr>
              <w:t>13,688,351</w:t>
            </w:r>
          </w:p>
        </w:tc>
      </w:tr>
      <w:tr w:rsidR="000B6780" w:rsidRPr="00206E3A" w14:paraId="0FC54060" w14:textId="77777777" w:rsidTr="007C16AA">
        <w:trPr>
          <w:gridAfter w:val="1"/>
          <w:wAfter w:w="1083" w:type="dxa"/>
          <w:trHeight w:val="300"/>
        </w:trPr>
        <w:tc>
          <w:tcPr>
            <w:tcW w:w="5952" w:type="dxa"/>
            <w:gridSpan w:val="7"/>
            <w:tcBorders>
              <w:top w:val="single" w:sz="4" w:space="0" w:color="auto"/>
              <w:left w:val="nil"/>
              <w:bottom w:val="nil"/>
              <w:right w:val="nil"/>
            </w:tcBorders>
            <w:shd w:val="clear" w:color="auto" w:fill="auto"/>
            <w:noWrap/>
            <w:vAlign w:val="bottom"/>
            <w:hideMark/>
          </w:tcPr>
          <w:p w14:paraId="36B1DB8F" w14:textId="77777777" w:rsidR="00206E3A" w:rsidRPr="00206E3A" w:rsidRDefault="00206E3A" w:rsidP="00206E3A">
            <w:pPr>
              <w:spacing w:line="240" w:lineRule="auto"/>
              <w:rPr>
                <w:rFonts w:eastAsia="Times New Roman" w:cs="Times New Roman"/>
                <w:iCs/>
                <w:color w:val="000000"/>
                <w:sz w:val="12"/>
                <w:szCs w:val="18"/>
              </w:rPr>
            </w:pPr>
          </w:p>
          <w:p w14:paraId="7600979C" w14:textId="533D9726" w:rsidR="000B6780" w:rsidRPr="00206E3A" w:rsidRDefault="000B6780" w:rsidP="00206E3A">
            <w:pPr>
              <w:spacing w:line="240" w:lineRule="auto"/>
              <w:rPr>
                <w:rFonts w:eastAsia="Times New Roman" w:cs="Times New Roman"/>
                <w:iCs/>
                <w:color w:val="000000"/>
                <w:sz w:val="18"/>
                <w:szCs w:val="18"/>
              </w:rPr>
            </w:pPr>
            <w:r w:rsidRPr="00206E3A">
              <w:rPr>
                <w:rFonts w:eastAsia="Times New Roman" w:cs="Times New Roman"/>
                <w:iCs/>
                <w:color w:val="000000"/>
                <w:sz w:val="18"/>
                <w:szCs w:val="18"/>
              </w:rPr>
              <w:t xml:space="preserve">Source: </w:t>
            </w:r>
            <w:r w:rsidR="0020362E">
              <w:rPr>
                <w:rFonts w:eastAsia="Times New Roman" w:cs="Times New Roman"/>
                <w:iCs/>
                <w:color w:val="000000"/>
                <w:sz w:val="18"/>
                <w:szCs w:val="18"/>
              </w:rPr>
              <w:t>2007-2011</w:t>
            </w:r>
            <w:r w:rsidRPr="00206E3A">
              <w:rPr>
                <w:rFonts w:eastAsia="Times New Roman" w:cs="Times New Roman"/>
                <w:iCs/>
                <w:color w:val="000000"/>
                <w:sz w:val="18"/>
                <w:szCs w:val="18"/>
              </w:rPr>
              <w:t xml:space="preserve"> American Community Survey</w:t>
            </w:r>
          </w:p>
        </w:tc>
      </w:tr>
    </w:tbl>
    <w:p w14:paraId="6A10FBF5" w14:textId="77777777" w:rsidR="00D25635" w:rsidRPr="00D5567A" w:rsidRDefault="00D25635" w:rsidP="00067077"/>
    <w:tbl>
      <w:tblPr>
        <w:tblW w:w="8295" w:type="dxa"/>
        <w:tblInd w:w="93" w:type="dxa"/>
        <w:tblLayout w:type="fixed"/>
        <w:tblLook w:val="04A0" w:firstRow="1" w:lastRow="0" w:firstColumn="1" w:lastColumn="0" w:noHBand="0" w:noVBand="1"/>
      </w:tblPr>
      <w:tblGrid>
        <w:gridCol w:w="3896"/>
        <w:gridCol w:w="922"/>
        <w:gridCol w:w="898"/>
        <w:gridCol w:w="1319"/>
        <w:gridCol w:w="1260"/>
      </w:tblGrid>
      <w:tr w:rsidR="000B6780" w:rsidRPr="000B6780" w14:paraId="2290693D" w14:textId="77777777" w:rsidTr="00E479CB">
        <w:trPr>
          <w:trHeight w:val="300"/>
        </w:trPr>
        <w:tc>
          <w:tcPr>
            <w:tcW w:w="8295" w:type="dxa"/>
            <w:gridSpan w:val="5"/>
            <w:tcBorders>
              <w:top w:val="nil"/>
              <w:left w:val="nil"/>
              <w:bottom w:val="nil"/>
              <w:right w:val="nil"/>
            </w:tcBorders>
            <w:shd w:val="clear" w:color="000000" w:fill="000000"/>
            <w:noWrap/>
            <w:vAlign w:val="bottom"/>
            <w:hideMark/>
          </w:tcPr>
          <w:p w14:paraId="6B2FC473" w14:textId="3B34DE1E" w:rsidR="000B6780" w:rsidRPr="000B6780" w:rsidRDefault="000B6780" w:rsidP="00900F95">
            <w:pPr>
              <w:rPr>
                <w:rFonts w:eastAsia="Times New Roman" w:cs="Times New Roman"/>
                <w:b/>
                <w:bCs/>
                <w:color w:val="FFFFFF"/>
                <w:sz w:val="20"/>
                <w:szCs w:val="20"/>
              </w:rPr>
            </w:pPr>
            <w:r w:rsidRPr="000B6780">
              <w:rPr>
                <w:rFonts w:eastAsia="Times New Roman" w:cs="Times New Roman"/>
                <w:b/>
                <w:bCs/>
                <w:color w:val="FFFFFF"/>
                <w:sz w:val="20"/>
                <w:szCs w:val="20"/>
              </w:rPr>
              <w:t>Number of Potential Housing Problems</w:t>
            </w:r>
            <w:r w:rsidR="007C16AA">
              <w:rPr>
                <w:rFonts w:eastAsia="Times New Roman" w:cs="Times New Roman"/>
                <w:b/>
                <w:bCs/>
                <w:color w:val="FFFFFF"/>
                <w:sz w:val="20"/>
                <w:szCs w:val="20"/>
              </w:rPr>
              <w:t xml:space="preserve"> (2011)</w:t>
            </w:r>
          </w:p>
        </w:tc>
      </w:tr>
      <w:tr w:rsidR="000B6780" w:rsidRPr="000B6780" w14:paraId="28EE509C" w14:textId="77777777" w:rsidTr="00E479CB">
        <w:trPr>
          <w:trHeight w:val="300"/>
        </w:trPr>
        <w:tc>
          <w:tcPr>
            <w:tcW w:w="3896" w:type="dxa"/>
            <w:tcBorders>
              <w:top w:val="nil"/>
              <w:left w:val="nil"/>
              <w:bottom w:val="nil"/>
              <w:right w:val="nil"/>
            </w:tcBorders>
            <w:shd w:val="clear" w:color="auto" w:fill="auto"/>
            <w:noWrap/>
            <w:vAlign w:val="bottom"/>
            <w:hideMark/>
          </w:tcPr>
          <w:p w14:paraId="19220D93" w14:textId="77777777" w:rsidR="000B6780" w:rsidRPr="000B6780" w:rsidRDefault="000B6780" w:rsidP="00067077">
            <w:pPr>
              <w:rPr>
                <w:rFonts w:eastAsia="Times New Roman" w:cs="Times New Roman"/>
                <w:color w:val="000000"/>
                <w:szCs w:val="22"/>
              </w:rPr>
            </w:pPr>
          </w:p>
        </w:tc>
        <w:tc>
          <w:tcPr>
            <w:tcW w:w="1820" w:type="dxa"/>
            <w:gridSpan w:val="2"/>
            <w:tcBorders>
              <w:top w:val="nil"/>
              <w:left w:val="nil"/>
              <w:bottom w:val="nil"/>
              <w:right w:val="nil"/>
            </w:tcBorders>
            <w:shd w:val="clear" w:color="auto" w:fill="auto"/>
            <w:noWrap/>
            <w:vAlign w:val="center"/>
            <w:hideMark/>
          </w:tcPr>
          <w:p w14:paraId="38C3D9C0" w14:textId="77777777" w:rsidR="00E479CB" w:rsidRDefault="00E479CB" w:rsidP="00E479CB">
            <w:pPr>
              <w:spacing w:line="240" w:lineRule="auto"/>
              <w:jc w:val="center"/>
              <w:rPr>
                <w:rFonts w:eastAsia="Times New Roman" w:cs="Times New Roman"/>
                <w:b/>
                <w:bCs/>
                <w:color w:val="000000"/>
                <w:sz w:val="18"/>
                <w:szCs w:val="18"/>
              </w:rPr>
            </w:pPr>
          </w:p>
          <w:p w14:paraId="4A6F6DA9" w14:textId="11218DFE" w:rsidR="000B6780" w:rsidRPr="000B6780" w:rsidRDefault="003B70CF" w:rsidP="00B91736">
            <w:pPr>
              <w:spacing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Town of </w:t>
            </w:r>
            <w:r w:rsidR="00853231">
              <w:rPr>
                <w:rFonts w:eastAsia="Times New Roman" w:cs="Times New Roman"/>
                <w:b/>
                <w:bCs/>
                <w:color w:val="000000"/>
                <w:sz w:val="18"/>
                <w:szCs w:val="18"/>
              </w:rPr>
              <w:t>Hillsborough</w:t>
            </w:r>
          </w:p>
        </w:tc>
        <w:tc>
          <w:tcPr>
            <w:tcW w:w="2579" w:type="dxa"/>
            <w:gridSpan w:val="2"/>
            <w:tcBorders>
              <w:top w:val="nil"/>
              <w:left w:val="nil"/>
              <w:bottom w:val="nil"/>
              <w:right w:val="nil"/>
            </w:tcBorders>
            <w:shd w:val="clear" w:color="auto" w:fill="auto"/>
            <w:noWrap/>
            <w:vAlign w:val="center"/>
            <w:hideMark/>
          </w:tcPr>
          <w:p w14:paraId="4C856933" w14:textId="77777777" w:rsidR="00E479CB" w:rsidRDefault="00E479CB" w:rsidP="00E479CB">
            <w:pPr>
              <w:spacing w:line="240" w:lineRule="auto"/>
              <w:jc w:val="center"/>
              <w:rPr>
                <w:rFonts w:eastAsia="Times New Roman" w:cs="Times New Roman"/>
                <w:b/>
                <w:bCs/>
                <w:color w:val="000000"/>
                <w:sz w:val="18"/>
                <w:szCs w:val="18"/>
              </w:rPr>
            </w:pPr>
          </w:p>
          <w:p w14:paraId="3179B339" w14:textId="5DE3C67C" w:rsidR="00B91736" w:rsidRDefault="00E479CB" w:rsidP="00B91736">
            <w:pPr>
              <w:spacing w:line="240" w:lineRule="auto"/>
              <w:ind w:right="-378"/>
              <w:jc w:val="center"/>
              <w:rPr>
                <w:rFonts w:eastAsia="Times New Roman" w:cs="Times New Roman"/>
                <w:b/>
                <w:bCs/>
                <w:color w:val="000000"/>
                <w:sz w:val="18"/>
                <w:szCs w:val="18"/>
              </w:rPr>
            </w:pPr>
            <w:r>
              <w:rPr>
                <w:rFonts w:eastAsia="Times New Roman" w:cs="Times New Roman"/>
                <w:b/>
                <w:bCs/>
                <w:color w:val="000000"/>
                <w:sz w:val="18"/>
                <w:szCs w:val="18"/>
              </w:rPr>
              <w:t>San Mateo</w:t>
            </w:r>
          </w:p>
          <w:p w14:paraId="2FCEBB25" w14:textId="24DD6E78" w:rsidR="000B6780" w:rsidRPr="000B6780" w:rsidRDefault="000B6780" w:rsidP="00B91736">
            <w:pPr>
              <w:spacing w:line="240" w:lineRule="auto"/>
              <w:ind w:right="-378"/>
              <w:jc w:val="center"/>
              <w:rPr>
                <w:rFonts w:eastAsia="Times New Roman" w:cs="Times New Roman"/>
                <w:b/>
                <w:bCs/>
                <w:color w:val="000000"/>
                <w:sz w:val="18"/>
                <w:szCs w:val="18"/>
              </w:rPr>
            </w:pPr>
            <w:r w:rsidRPr="000B6780">
              <w:rPr>
                <w:rFonts w:eastAsia="Times New Roman" w:cs="Times New Roman"/>
                <w:b/>
                <w:bCs/>
                <w:color w:val="000000"/>
                <w:sz w:val="18"/>
                <w:szCs w:val="18"/>
              </w:rPr>
              <w:t>County</w:t>
            </w:r>
          </w:p>
        </w:tc>
      </w:tr>
      <w:tr w:rsidR="000B6780" w:rsidRPr="000B6780" w14:paraId="6A02FBB5" w14:textId="77777777" w:rsidTr="00E479CB">
        <w:trPr>
          <w:trHeight w:val="320"/>
        </w:trPr>
        <w:tc>
          <w:tcPr>
            <w:tcW w:w="3896" w:type="dxa"/>
            <w:tcBorders>
              <w:top w:val="nil"/>
              <w:left w:val="nil"/>
              <w:bottom w:val="single" w:sz="8" w:space="0" w:color="auto"/>
              <w:right w:val="nil"/>
            </w:tcBorders>
            <w:shd w:val="clear" w:color="auto" w:fill="auto"/>
            <w:noWrap/>
            <w:vAlign w:val="bottom"/>
            <w:hideMark/>
          </w:tcPr>
          <w:p w14:paraId="5997462A" w14:textId="77777777" w:rsidR="000B6780" w:rsidRPr="000B6780" w:rsidRDefault="000B6780" w:rsidP="00067077">
            <w:pPr>
              <w:rPr>
                <w:rFonts w:eastAsia="Times New Roman" w:cs="Times New Roman"/>
                <w:color w:val="000000"/>
                <w:sz w:val="18"/>
                <w:szCs w:val="18"/>
              </w:rPr>
            </w:pPr>
            <w:r w:rsidRPr="000B6780">
              <w:rPr>
                <w:rFonts w:eastAsia="Times New Roman" w:cs="Times New Roman"/>
                <w:color w:val="000000"/>
                <w:sz w:val="18"/>
                <w:szCs w:val="18"/>
              </w:rPr>
              <w:t> </w:t>
            </w:r>
          </w:p>
        </w:tc>
        <w:tc>
          <w:tcPr>
            <w:tcW w:w="922" w:type="dxa"/>
            <w:tcBorders>
              <w:top w:val="nil"/>
              <w:left w:val="nil"/>
              <w:bottom w:val="single" w:sz="8" w:space="0" w:color="auto"/>
              <w:right w:val="nil"/>
            </w:tcBorders>
            <w:shd w:val="clear" w:color="auto" w:fill="auto"/>
            <w:noWrap/>
            <w:vAlign w:val="center"/>
            <w:hideMark/>
          </w:tcPr>
          <w:p w14:paraId="1B6B9CC4" w14:textId="77777777" w:rsidR="000B6780" w:rsidRPr="000B6780" w:rsidRDefault="000B6780" w:rsidP="00E479CB">
            <w:pPr>
              <w:spacing w:line="240" w:lineRule="auto"/>
              <w:jc w:val="right"/>
              <w:rPr>
                <w:rFonts w:eastAsia="Times New Roman" w:cs="Times New Roman"/>
                <w:color w:val="000000"/>
                <w:sz w:val="18"/>
                <w:szCs w:val="18"/>
              </w:rPr>
            </w:pPr>
            <w:r w:rsidRPr="000B6780">
              <w:rPr>
                <w:rFonts w:eastAsia="Times New Roman" w:cs="Times New Roman"/>
                <w:color w:val="000000"/>
                <w:sz w:val="18"/>
                <w:szCs w:val="18"/>
              </w:rPr>
              <w:t>Number</w:t>
            </w:r>
          </w:p>
        </w:tc>
        <w:tc>
          <w:tcPr>
            <w:tcW w:w="898" w:type="dxa"/>
            <w:tcBorders>
              <w:top w:val="nil"/>
              <w:left w:val="nil"/>
              <w:bottom w:val="single" w:sz="8" w:space="0" w:color="auto"/>
              <w:right w:val="nil"/>
            </w:tcBorders>
            <w:shd w:val="clear" w:color="auto" w:fill="auto"/>
            <w:noWrap/>
            <w:vAlign w:val="center"/>
            <w:hideMark/>
          </w:tcPr>
          <w:p w14:paraId="0A69C713" w14:textId="77777777" w:rsidR="000B6780" w:rsidRPr="000B6780" w:rsidRDefault="000B6780" w:rsidP="00E479CB">
            <w:pPr>
              <w:spacing w:line="240" w:lineRule="auto"/>
              <w:jc w:val="right"/>
              <w:rPr>
                <w:rFonts w:eastAsia="Times New Roman" w:cs="Times New Roman"/>
                <w:color w:val="000000"/>
                <w:sz w:val="18"/>
                <w:szCs w:val="18"/>
              </w:rPr>
            </w:pPr>
            <w:r w:rsidRPr="000B6780">
              <w:rPr>
                <w:rFonts w:eastAsia="Times New Roman" w:cs="Times New Roman"/>
                <w:color w:val="000000"/>
                <w:sz w:val="18"/>
                <w:szCs w:val="18"/>
              </w:rPr>
              <w:t>Percent</w:t>
            </w:r>
          </w:p>
        </w:tc>
        <w:tc>
          <w:tcPr>
            <w:tcW w:w="1319" w:type="dxa"/>
            <w:tcBorders>
              <w:top w:val="nil"/>
              <w:left w:val="nil"/>
              <w:bottom w:val="single" w:sz="8" w:space="0" w:color="auto"/>
              <w:right w:val="nil"/>
            </w:tcBorders>
            <w:shd w:val="clear" w:color="auto" w:fill="auto"/>
            <w:noWrap/>
            <w:vAlign w:val="center"/>
            <w:hideMark/>
          </w:tcPr>
          <w:p w14:paraId="1706DC67" w14:textId="77777777" w:rsidR="000B6780" w:rsidRPr="000B6780" w:rsidRDefault="000B6780" w:rsidP="00E479CB">
            <w:pPr>
              <w:spacing w:line="240" w:lineRule="auto"/>
              <w:jc w:val="right"/>
              <w:rPr>
                <w:rFonts w:eastAsia="Times New Roman" w:cs="Times New Roman"/>
                <w:color w:val="000000"/>
                <w:sz w:val="18"/>
                <w:szCs w:val="18"/>
              </w:rPr>
            </w:pPr>
            <w:r w:rsidRPr="000B6780">
              <w:rPr>
                <w:rFonts w:eastAsia="Times New Roman" w:cs="Times New Roman"/>
                <w:color w:val="000000"/>
                <w:sz w:val="18"/>
                <w:szCs w:val="18"/>
              </w:rPr>
              <w:t>Percent</w:t>
            </w:r>
          </w:p>
        </w:tc>
        <w:tc>
          <w:tcPr>
            <w:tcW w:w="1260" w:type="dxa"/>
            <w:tcBorders>
              <w:top w:val="nil"/>
              <w:left w:val="nil"/>
              <w:bottom w:val="single" w:sz="8" w:space="0" w:color="auto"/>
              <w:right w:val="nil"/>
            </w:tcBorders>
            <w:shd w:val="clear" w:color="auto" w:fill="auto"/>
            <w:noWrap/>
            <w:vAlign w:val="center"/>
            <w:hideMark/>
          </w:tcPr>
          <w:p w14:paraId="7D420D3E" w14:textId="77777777" w:rsidR="000B6780" w:rsidRPr="000B6780" w:rsidRDefault="000B6780" w:rsidP="00E479CB">
            <w:pPr>
              <w:spacing w:line="240" w:lineRule="auto"/>
              <w:jc w:val="right"/>
              <w:rPr>
                <w:rFonts w:eastAsia="Times New Roman" w:cs="Times New Roman"/>
                <w:color w:val="000000"/>
                <w:sz w:val="18"/>
                <w:szCs w:val="18"/>
              </w:rPr>
            </w:pPr>
            <w:r w:rsidRPr="000B6780">
              <w:rPr>
                <w:rFonts w:eastAsia="Times New Roman" w:cs="Times New Roman"/>
                <w:color w:val="000000"/>
                <w:sz w:val="18"/>
                <w:szCs w:val="18"/>
              </w:rPr>
              <w:t>Percent</w:t>
            </w:r>
          </w:p>
        </w:tc>
      </w:tr>
      <w:tr w:rsidR="000B6780" w:rsidRPr="000B6780" w14:paraId="2F1B34E2" w14:textId="77777777" w:rsidTr="00E479CB">
        <w:trPr>
          <w:trHeight w:val="300"/>
        </w:trPr>
        <w:tc>
          <w:tcPr>
            <w:tcW w:w="3896" w:type="dxa"/>
            <w:tcBorders>
              <w:top w:val="nil"/>
              <w:left w:val="nil"/>
              <w:bottom w:val="single" w:sz="4" w:space="0" w:color="808080"/>
              <w:right w:val="nil"/>
            </w:tcBorders>
            <w:shd w:val="clear" w:color="auto" w:fill="auto"/>
            <w:noWrap/>
            <w:vAlign w:val="bottom"/>
            <w:hideMark/>
          </w:tcPr>
          <w:p w14:paraId="0F7F3615" w14:textId="77777777" w:rsidR="000B6780" w:rsidRPr="000B6780" w:rsidRDefault="000B6780" w:rsidP="00067077">
            <w:pPr>
              <w:rPr>
                <w:rFonts w:eastAsia="Times New Roman" w:cs="Times New Roman"/>
                <w:color w:val="000000"/>
                <w:sz w:val="18"/>
                <w:szCs w:val="18"/>
              </w:rPr>
            </w:pPr>
            <w:r w:rsidRPr="000B6780">
              <w:rPr>
                <w:rFonts w:eastAsia="Times New Roman" w:cs="Times New Roman"/>
                <w:color w:val="000000"/>
                <w:sz w:val="18"/>
                <w:szCs w:val="18"/>
              </w:rPr>
              <w:t>Lacking complete plumbing facilities</w:t>
            </w:r>
          </w:p>
        </w:tc>
        <w:tc>
          <w:tcPr>
            <w:tcW w:w="922" w:type="dxa"/>
            <w:tcBorders>
              <w:top w:val="nil"/>
              <w:left w:val="nil"/>
              <w:bottom w:val="single" w:sz="4" w:space="0" w:color="808080"/>
              <w:right w:val="nil"/>
            </w:tcBorders>
            <w:shd w:val="clear" w:color="auto" w:fill="auto"/>
            <w:noWrap/>
            <w:vAlign w:val="bottom"/>
            <w:hideMark/>
          </w:tcPr>
          <w:p w14:paraId="1E4A899D" w14:textId="77777777" w:rsidR="000B6780" w:rsidRPr="00C37606" w:rsidRDefault="000B6780" w:rsidP="00067077">
            <w:pPr>
              <w:jc w:val="right"/>
              <w:rPr>
                <w:rFonts w:eastAsia="Times New Roman" w:cs="Times New Roman"/>
                <w:color w:val="000000"/>
                <w:sz w:val="18"/>
                <w:szCs w:val="18"/>
              </w:rPr>
            </w:pPr>
            <w:r w:rsidRPr="00C37606">
              <w:rPr>
                <w:rFonts w:eastAsia="Times New Roman" w:cs="Times New Roman"/>
                <w:color w:val="000000"/>
                <w:sz w:val="18"/>
                <w:szCs w:val="18"/>
              </w:rPr>
              <w:t>0</w:t>
            </w:r>
          </w:p>
        </w:tc>
        <w:tc>
          <w:tcPr>
            <w:tcW w:w="898" w:type="dxa"/>
            <w:tcBorders>
              <w:top w:val="nil"/>
              <w:left w:val="nil"/>
              <w:bottom w:val="single" w:sz="4" w:space="0" w:color="808080"/>
              <w:right w:val="nil"/>
            </w:tcBorders>
            <w:shd w:val="clear" w:color="auto" w:fill="auto"/>
            <w:noWrap/>
            <w:vAlign w:val="bottom"/>
            <w:hideMark/>
          </w:tcPr>
          <w:p w14:paraId="2C8E188A" w14:textId="77777777" w:rsidR="000B6780" w:rsidRPr="00C37606" w:rsidRDefault="000B6780" w:rsidP="00067077">
            <w:pPr>
              <w:jc w:val="right"/>
              <w:rPr>
                <w:rFonts w:eastAsia="Times New Roman" w:cs="Times New Roman"/>
                <w:color w:val="000000"/>
                <w:sz w:val="18"/>
                <w:szCs w:val="18"/>
              </w:rPr>
            </w:pPr>
            <w:r w:rsidRPr="00C37606">
              <w:rPr>
                <w:rFonts w:eastAsia="Times New Roman" w:cs="Times New Roman"/>
                <w:color w:val="000000"/>
                <w:sz w:val="18"/>
                <w:szCs w:val="18"/>
              </w:rPr>
              <w:t>0.0%</w:t>
            </w:r>
          </w:p>
        </w:tc>
        <w:tc>
          <w:tcPr>
            <w:tcW w:w="1319" w:type="dxa"/>
            <w:tcBorders>
              <w:top w:val="nil"/>
              <w:left w:val="nil"/>
              <w:bottom w:val="single" w:sz="4" w:space="0" w:color="808080"/>
              <w:right w:val="nil"/>
            </w:tcBorders>
            <w:shd w:val="clear" w:color="auto" w:fill="auto"/>
            <w:noWrap/>
            <w:vAlign w:val="bottom"/>
            <w:hideMark/>
          </w:tcPr>
          <w:p w14:paraId="62502B11" w14:textId="77777777" w:rsidR="000B6780" w:rsidRPr="000B6780" w:rsidRDefault="000B6780" w:rsidP="00067077">
            <w:pPr>
              <w:jc w:val="right"/>
              <w:rPr>
                <w:rFonts w:eastAsia="Times New Roman" w:cs="Times New Roman"/>
                <w:color w:val="000000"/>
                <w:sz w:val="18"/>
                <w:szCs w:val="18"/>
              </w:rPr>
            </w:pPr>
            <w:r w:rsidRPr="000B6780">
              <w:rPr>
                <w:rFonts w:eastAsia="Times New Roman" w:cs="Times New Roman"/>
                <w:color w:val="000000"/>
                <w:sz w:val="18"/>
                <w:szCs w:val="18"/>
              </w:rPr>
              <w:t>0.3%</w:t>
            </w:r>
          </w:p>
        </w:tc>
        <w:tc>
          <w:tcPr>
            <w:tcW w:w="1260" w:type="dxa"/>
            <w:tcBorders>
              <w:top w:val="nil"/>
              <w:left w:val="nil"/>
              <w:bottom w:val="single" w:sz="4" w:space="0" w:color="808080"/>
              <w:right w:val="nil"/>
            </w:tcBorders>
            <w:shd w:val="clear" w:color="auto" w:fill="auto"/>
            <w:noWrap/>
            <w:vAlign w:val="bottom"/>
            <w:hideMark/>
          </w:tcPr>
          <w:p w14:paraId="38910936" w14:textId="77777777" w:rsidR="000B6780" w:rsidRPr="000B6780" w:rsidRDefault="000B6780" w:rsidP="00067077">
            <w:pPr>
              <w:jc w:val="right"/>
              <w:rPr>
                <w:rFonts w:eastAsia="Times New Roman" w:cs="Times New Roman"/>
                <w:color w:val="000000"/>
                <w:sz w:val="18"/>
                <w:szCs w:val="18"/>
              </w:rPr>
            </w:pPr>
            <w:r w:rsidRPr="000B6780">
              <w:rPr>
                <w:rFonts w:eastAsia="Times New Roman" w:cs="Times New Roman"/>
                <w:color w:val="000000"/>
                <w:sz w:val="18"/>
                <w:szCs w:val="18"/>
              </w:rPr>
              <w:t>0.6%</w:t>
            </w:r>
          </w:p>
        </w:tc>
      </w:tr>
      <w:tr w:rsidR="000B6780" w:rsidRPr="000B6780" w14:paraId="4FCFA681" w14:textId="77777777" w:rsidTr="00E479CB">
        <w:trPr>
          <w:trHeight w:val="300"/>
        </w:trPr>
        <w:tc>
          <w:tcPr>
            <w:tcW w:w="3896" w:type="dxa"/>
            <w:tcBorders>
              <w:top w:val="nil"/>
              <w:left w:val="nil"/>
              <w:bottom w:val="single" w:sz="4" w:space="0" w:color="808080"/>
              <w:right w:val="nil"/>
            </w:tcBorders>
            <w:shd w:val="clear" w:color="auto" w:fill="auto"/>
            <w:noWrap/>
            <w:vAlign w:val="bottom"/>
            <w:hideMark/>
          </w:tcPr>
          <w:p w14:paraId="41C89AE4" w14:textId="77777777" w:rsidR="000B6780" w:rsidRPr="000B6780" w:rsidRDefault="000B6780" w:rsidP="00067077">
            <w:pPr>
              <w:rPr>
                <w:rFonts w:eastAsia="Times New Roman" w:cs="Times New Roman"/>
                <w:color w:val="000000"/>
                <w:sz w:val="18"/>
                <w:szCs w:val="18"/>
              </w:rPr>
            </w:pPr>
            <w:r w:rsidRPr="000B6780">
              <w:rPr>
                <w:rFonts w:eastAsia="Times New Roman" w:cs="Times New Roman"/>
                <w:color w:val="000000"/>
                <w:sz w:val="18"/>
                <w:szCs w:val="18"/>
              </w:rPr>
              <w:t>Lacking complete kitchen facilities</w:t>
            </w:r>
          </w:p>
        </w:tc>
        <w:tc>
          <w:tcPr>
            <w:tcW w:w="922" w:type="dxa"/>
            <w:tcBorders>
              <w:top w:val="nil"/>
              <w:left w:val="nil"/>
              <w:bottom w:val="single" w:sz="4" w:space="0" w:color="808080"/>
              <w:right w:val="nil"/>
            </w:tcBorders>
            <w:shd w:val="clear" w:color="auto" w:fill="auto"/>
            <w:noWrap/>
            <w:vAlign w:val="bottom"/>
            <w:hideMark/>
          </w:tcPr>
          <w:p w14:paraId="47EB0008" w14:textId="77777777" w:rsidR="000B6780" w:rsidRPr="00C37606" w:rsidRDefault="000B6780" w:rsidP="00067077">
            <w:pPr>
              <w:jc w:val="right"/>
              <w:rPr>
                <w:rFonts w:eastAsia="Times New Roman" w:cs="Times New Roman"/>
                <w:color w:val="000000"/>
                <w:sz w:val="18"/>
                <w:szCs w:val="18"/>
              </w:rPr>
            </w:pPr>
            <w:r w:rsidRPr="00C37606">
              <w:rPr>
                <w:rFonts w:eastAsia="Times New Roman" w:cs="Times New Roman"/>
                <w:color w:val="000000"/>
                <w:sz w:val="18"/>
                <w:szCs w:val="18"/>
              </w:rPr>
              <w:t>155</w:t>
            </w:r>
          </w:p>
        </w:tc>
        <w:tc>
          <w:tcPr>
            <w:tcW w:w="898" w:type="dxa"/>
            <w:tcBorders>
              <w:top w:val="nil"/>
              <w:left w:val="nil"/>
              <w:bottom w:val="single" w:sz="4" w:space="0" w:color="808080"/>
              <w:right w:val="nil"/>
            </w:tcBorders>
            <w:shd w:val="clear" w:color="auto" w:fill="auto"/>
            <w:noWrap/>
            <w:vAlign w:val="bottom"/>
            <w:hideMark/>
          </w:tcPr>
          <w:p w14:paraId="1D6D1FA1" w14:textId="77777777" w:rsidR="000B6780" w:rsidRPr="00C37606" w:rsidRDefault="000B6780" w:rsidP="00067077">
            <w:pPr>
              <w:jc w:val="right"/>
              <w:rPr>
                <w:rFonts w:eastAsia="Times New Roman" w:cs="Times New Roman"/>
                <w:color w:val="000000"/>
                <w:sz w:val="18"/>
                <w:szCs w:val="18"/>
              </w:rPr>
            </w:pPr>
            <w:r w:rsidRPr="00C37606">
              <w:rPr>
                <w:rFonts w:eastAsia="Times New Roman" w:cs="Times New Roman"/>
                <w:color w:val="000000"/>
                <w:sz w:val="18"/>
                <w:szCs w:val="18"/>
              </w:rPr>
              <w:t>1.9%</w:t>
            </w:r>
          </w:p>
        </w:tc>
        <w:tc>
          <w:tcPr>
            <w:tcW w:w="1319" w:type="dxa"/>
            <w:tcBorders>
              <w:top w:val="nil"/>
              <w:left w:val="nil"/>
              <w:bottom w:val="single" w:sz="4" w:space="0" w:color="808080"/>
              <w:right w:val="nil"/>
            </w:tcBorders>
            <w:shd w:val="clear" w:color="auto" w:fill="auto"/>
            <w:noWrap/>
            <w:vAlign w:val="bottom"/>
            <w:hideMark/>
          </w:tcPr>
          <w:p w14:paraId="7E632C77" w14:textId="77777777" w:rsidR="000B6780" w:rsidRPr="000B6780" w:rsidRDefault="000B6780" w:rsidP="00067077">
            <w:pPr>
              <w:jc w:val="right"/>
              <w:rPr>
                <w:rFonts w:eastAsia="Times New Roman" w:cs="Times New Roman"/>
                <w:color w:val="000000"/>
                <w:sz w:val="18"/>
                <w:szCs w:val="18"/>
              </w:rPr>
            </w:pPr>
            <w:r w:rsidRPr="000B6780">
              <w:rPr>
                <w:rFonts w:eastAsia="Times New Roman" w:cs="Times New Roman"/>
                <w:color w:val="000000"/>
                <w:sz w:val="18"/>
                <w:szCs w:val="18"/>
              </w:rPr>
              <w:t>0.9%</w:t>
            </w:r>
          </w:p>
        </w:tc>
        <w:tc>
          <w:tcPr>
            <w:tcW w:w="1260" w:type="dxa"/>
            <w:tcBorders>
              <w:top w:val="nil"/>
              <w:left w:val="nil"/>
              <w:bottom w:val="single" w:sz="4" w:space="0" w:color="808080"/>
              <w:right w:val="nil"/>
            </w:tcBorders>
            <w:shd w:val="clear" w:color="auto" w:fill="auto"/>
            <w:noWrap/>
            <w:vAlign w:val="bottom"/>
            <w:hideMark/>
          </w:tcPr>
          <w:p w14:paraId="3DADCE49" w14:textId="77777777" w:rsidR="000B6780" w:rsidRPr="000B6780" w:rsidRDefault="000B6780" w:rsidP="00067077">
            <w:pPr>
              <w:jc w:val="right"/>
              <w:rPr>
                <w:rFonts w:eastAsia="Times New Roman" w:cs="Times New Roman"/>
                <w:color w:val="000000"/>
                <w:sz w:val="18"/>
                <w:szCs w:val="18"/>
              </w:rPr>
            </w:pPr>
            <w:r w:rsidRPr="000B6780">
              <w:rPr>
                <w:rFonts w:eastAsia="Times New Roman" w:cs="Times New Roman"/>
                <w:color w:val="000000"/>
                <w:sz w:val="18"/>
                <w:szCs w:val="18"/>
              </w:rPr>
              <w:t>1.3%</w:t>
            </w:r>
          </w:p>
        </w:tc>
      </w:tr>
      <w:tr w:rsidR="000B6780" w:rsidRPr="000B6780" w14:paraId="39224E19" w14:textId="77777777" w:rsidTr="00E479CB">
        <w:trPr>
          <w:trHeight w:val="300"/>
        </w:trPr>
        <w:tc>
          <w:tcPr>
            <w:tcW w:w="3896" w:type="dxa"/>
            <w:tcBorders>
              <w:top w:val="nil"/>
              <w:left w:val="nil"/>
              <w:bottom w:val="single" w:sz="4" w:space="0" w:color="auto"/>
              <w:right w:val="nil"/>
            </w:tcBorders>
            <w:shd w:val="clear" w:color="auto" w:fill="auto"/>
            <w:noWrap/>
            <w:vAlign w:val="bottom"/>
            <w:hideMark/>
          </w:tcPr>
          <w:p w14:paraId="6C33707D" w14:textId="77777777" w:rsidR="000B6780" w:rsidRPr="000B6780" w:rsidRDefault="000B6780" w:rsidP="00067077">
            <w:pPr>
              <w:rPr>
                <w:rFonts w:eastAsia="Times New Roman" w:cs="Times New Roman"/>
                <w:color w:val="000000"/>
                <w:sz w:val="18"/>
                <w:szCs w:val="18"/>
              </w:rPr>
            </w:pPr>
            <w:r w:rsidRPr="000B6780">
              <w:rPr>
                <w:rFonts w:eastAsia="Times New Roman" w:cs="Times New Roman"/>
                <w:color w:val="000000"/>
                <w:sz w:val="18"/>
                <w:szCs w:val="18"/>
              </w:rPr>
              <w:t>No telephone service available</w:t>
            </w:r>
          </w:p>
        </w:tc>
        <w:tc>
          <w:tcPr>
            <w:tcW w:w="922" w:type="dxa"/>
            <w:tcBorders>
              <w:top w:val="nil"/>
              <w:left w:val="nil"/>
              <w:bottom w:val="single" w:sz="4" w:space="0" w:color="auto"/>
              <w:right w:val="nil"/>
            </w:tcBorders>
            <w:shd w:val="clear" w:color="auto" w:fill="auto"/>
            <w:noWrap/>
            <w:vAlign w:val="bottom"/>
            <w:hideMark/>
          </w:tcPr>
          <w:p w14:paraId="0C6F4C25" w14:textId="77777777" w:rsidR="000B6780" w:rsidRPr="00C37606" w:rsidRDefault="000B6780" w:rsidP="00067077">
            <w:pPr>
              <w:jc w:val="right"/>
              <w:rPr>
                <w:rFonts w:eastAsia="Times New Roman" w:cs="Times New Roman"/>
                <w:color w:val="000000"/>
                <w:sz w:val="18"/>
                <w:szCs w:val="18"/>
              </w:rPr>
            </w:pPr>
            <w:r w:rsidRPr="00C37606">
              <w:rPr>
                <w:rFonts w:eastAsia="Times New Roman" w:cs="Times New Roman"/>
                <w:color w:val="000000"/>
                <w:sz w:val="18"/>
                <w:szCs w:val="18"/>
              </w:rPr>
              <w:t>44</w:t>
            </w:r>
          </w:p>
        </w:tc>
        <w:tc>
          <w:tcPr>
            <w:tcW w:w="898" w:type="dxa"/>
            <w:tcBorders>
              <w:top w:val="nil"/>
              <w:left w:val="nil"/>
              <w:bottom w:val="single" w:sz="4" w:space="0" w:color="auto"/>
              <w:right w:val="nil"/>
            </w:tcBorders>
            <w:shd w:val="clear" w:color="auto" w:fill="auto"/>
            <w:noWrap/>
            <w:vAlign w:val="bottom"/>
            <w:hideMark/>
          </w:tcPr>
          <w:p w14:paraId="24C8EE1A" w14:textId="77777777" w:rsidR="000B6780" w:rsidRPr="00C37606" w:rsidRDefault="000B6780" w:rsidP="00067077">
            <w:pPr>
              <w:jc w:val="right"/>
              <w:rPr>
                <w:rFonts w:eastAsia="Times New Roman" w:cs="Times New Roman"/>
                <w:color w:val="000000"/>
                <w:sz w:val="18"/>
                <w:szCs w:val="18"/>
              </w:rPr>
            </w:pPr>
            <w:r w:rsidRPr="00C37606">
              <w:rPr>
                <w:rFonts w:eastAsia="Times New Roman" w:cs="Times New Roman"/>
                <w:color w:val="000000"/>
                <w:sz w:val="18"/>
                <w:szCs w:val="18"/>
              </w:rPr>
              <w:t>0.6%</w:t>
            </w:r>
          </w:p>
        </w:tc>
        <w:tc>
          <w:tcPr>
            <w:tcW w:w="1319" w:type="dxa"/>
            <w:tcBorders>
              <w:top w:val="nil"/>
              <w:left w:val="nil"/>
              <w:bottom w:val="single" w:sz="4" w:space="0" w:color="auto"/>
              <w:right w:val="nil"/>
            </w:tcBorders>
            <w:shd w:val="clear" w:color="auto" w:fill="auto"/>
            <w:noWrap/>
            <w:vAlign w:val="bottom"/>
            <w:hideMark/>
          </w:tcPr>
          <w:p w14:paraId="4B6319EF" w14:textId="77777777" w:rsidR="000B6780" w:rsidRPr="000B6780" w:rsidRDefault="000B6780" w:rsidP="00067077">
            <w:pPr>
              <w:jc w:val="right"/>
              <w:rPr>
                <w:rFonts w:eastAsia="Times New Roman" w:cs="Times New Roman"/>
                <w:color w:val="000000"/>
                <w:sz w:val="18"/>
                <w:szCs w:val="18"/>
              </w:rPr>
            </w:pPr>
            <w:r w:rsidRPr="000B6780">
              <w:rPr>
                <w:rFonts w:eastAsia="Times New Roman" w:cs="Times New Roman"/>
                <w:color w:val="000000"/>
                <w:sz w:val="18"/>
                <w:szCs w:val="18"/>
              </w:rPr>
              <w:t>1.2%</w:t>
            </w:r>
          </w:p>
        </w:tc>
        <w:tc>
          <w:tcPr>
            <w:tcW w:w="1260" w:type="dxa"/>
            <w:tcBorders>
              <w:top w:val="nil"/>
              <w:left w:val="nil"/>
              <w:bottom w:val="single" w:sz="4" w:space="0" w:color="auto"/>
              <w:right w:val="nil"/>
            </w:tcBorders>
            <w:shd w:val="clear" w:color="auto" w:fill="auto"/>
            <w:noWrap/>
            <w:vAlign w:val="bottom"/>
            <w:hideMark/>
          </w:tcPr>
          <w:p w14:paraId="33E6D265" w14:textId="77777777" w:rsidR="000B6780" w:rsidRPr="000B6780" w:rsidRDefault="000B6780" w:rsidP="00067077">
            <w:pPr>
              <w:jc w:val="right"/>
              <w:rPr>
                <w:rFonts w:eastAsia="Times New Roman" w:cs="Times New Roman"/>
                <w:color w:val="000000"/>
                <w:sz w:val="18"/>
                <w:szCs w:val="18"/>
              </w:rPr>
            </w:pPr>
            <w:r w:rsidRPr="000B6780">
              <w:rPr>
                <w:rFonts w:eastAsia="Times New Roman" w:cs="Times New Roman"/>
                <w:color w:val="000000"/>
                <w:sz w:val="18"/>
                <w:szCs w:val="18"/>
              </w:rPr>
              <w:t>1.9%</w:t>
            </w:r>
          </w:p>
        </w:tc>
      </w:tr>
      <w:tr w:rsidR="000B6780" w:rsidRPr="00206E3A" w14:paraId="49101C9D" w14:textId="77777777" w:rsidTr="00E479CB">
        <w:trPr>
          <w:trHeight w:val="300"/>
        </w:trPr>
        <w:tc>
          <w:tcPr>
            <w:tcW w:w="8295" w:type="dxa"/>
            <w:gridSpan w:val="5"/>
            <w:tcBorders>
              <w:top w:val="single" w:sz="4" w:space="0" w:color="auto"/>
              <w:left w:val="nil"/>
              <w:bottom w:val="nil"/>
              <w:right w:val="nil"/>
            </w:tcBorders>
            <w:shd w:val="clear" w:color="auto" w:fill="auto"/>
            <w:noWrap/>
            <w:vAlign w:val="bottom"/>
            <w:hideMark/>
          </w:tcPr>
          <w:p w14:paraId="369240F4" w14:textId="77777777" w:rsidR="00E479CB" w:rsidRPr="00206E3A" w:rsidRDefault="00E479CB" w:rsidP="00067077">
            <w:pPr>
              <w:rPr>
                <w:rFonts w:eastAsia="Times New Roman" w:cs="Times New Roman"/>
                <w:iCs/>
                <w:color w:val="000000"/>
                <w:sz w:val="12"/>
                <w:szCs w:val="16"/>
              </w:rPr>
            </w:pPr>
          </w:p>
          <w:p w14:paraId="741AF403" w14:textId="3065C214" w:rsidR="000B6780" w:rsidRPr="00206E3A" w:rsidRDefault="000B6780" w:rsidP="00067077">
            <w:pPr>
              <w:rPr>
                <w:rFonts w:eastAsia="Times New Roman" w:cs="Times New Roman"/>
                <w:iCs/>
                <w:color w:val="000000"/>
                <w:sz w:val="18"/>
                <w:szCs w:val="16"/>
              </w:rPr>
            </w:pPr>
            <w:r w:rsidRPr="00206E3A">
              <w:rPr>
                <w:rFonts w:eastAsia="Times New Roman" w:cs="Times New Roman"/>
                <w:iCs/>
                <w:color w:val="000000"/>
                <w:sz w:val="18"/>
                <w:szCs w:val="16"/>
              </w:rPr>
              <w:t xml:space="preserve">Source: </w:t>
            </w:r>
            <w:r w:rsidR="0020362E">
              <w:rPr>
                <w:rFonts w:eastAsia="Times New Roman" w:cs="Times New Roman"/>
                <w:iCs/>
                <w:color w:val="000000"/>
                <w:sz w:val="18"/>
                <w:szCs w:val="16"/>
              </w:rPr>
              <w:t>2007-2011</w:t>
            </w:r>
            <w:r w:rsidRPr="00206E3A">
              <w:rPr>
                <w:rFonts w:eastAsia="Times New Roman" w:cs="Times New Roman"/>
                <w:iCs/>
                <w:color w:val="000000"/>
                <w:sz w:val="18"/>
                <w:szCs w:val="16"/>
              </w:rPr>
              <w:t xml:space="preserve"> American Community Survey</w:t>
            </w:r>
          </w:p>
        </w:tc>
      </w:tr>
    </w:tbl>
    <w:p w14:paraId="007DD5EB" w14:textId="77777777" w:rsidR="00D25635" w:rsidRDefault="00D25635" w:rsidP="00067077"/>
    <w:p w14:paraId="7684445A" w14:textId="7B833C20" w:rsidR="00D25635" w:rsidRPr="006C4E74" w:rsidRDefault="00D25635" w:rsidP="00067077">
      <w:pPr>
        <w:pStyle w:val="heading10"/>
        <w:rPr>
          <w:color w:val="0B5095"/>
        </w:rPr>
      </w:pPr>
      <w:r w:rsidRPr="006C4E74">
        <w:rPr>
          <w:color w:val="0B5095"/>
        </w:rPr>
        <w:t>Regional Housing Needs Allocation</w:t>
      </w:r>
      <w:r w:rsidR="0051228F">
        <w:rPr>
          <w:color w:val="0B5095"/>
        </w:rPr>
        <w:t xml:space="preserve"> (RHNA)</w:t>
      </w:r>
    </w:p>
    <w:p w14:paraId="4DC57298" w14:textId="77777777" w:rsidR="00206E3A" w:rsidRDefault="00206E3A" w:rsidP="00206E3A">
      <w:r w:rsidRPr="00706452">
        <w:t>The</w:t>
      </w:r>
      <w:r>
        <w:t xml:space="preserve"> Regional Housing Needs Allocation (RHNA) process </w:t>
      </w:r>
      <w:r w:rsidRPr="00706452">
        <w:t>address</w:t>
      </w:r>
      <w:r>
        <w:t>es</w:t>
      </w:r>
      <w:r w:rsidRPr="00706452">
        <w:t xml:space="preserve"> </w:t>
      </w:r>
      <w:r>
        <w:t>housing needs across income levels</w:t>
      </w:r>
      <w:r w:rsidRPr="00706452">
        <w:t xml:space="preserve"> </w:t>
      </w:r>
      <w:r>
        <w:t>for each jurisdiction in California</w:t>
      </w:r>
      <w:r w:rsidRPr="00706452">
        <w:t xml:space="preserve">. </w:t>
      </w:r>
      <w:r>
        <w:t>All of</w:t>
      </w:r>
      <w:r w:rsidRPr="00706452">
        <w:t xml:space="preserve"> the Bay Area</w:t>
      </w:r>
      <w:r>
        <w:t>’s</w:t>
      </w:r>
      <w:r w:rsidRPr="00706452">
        <w:t xml:space="preserve"> 101 cities</w:t>
      </w:r>
      <w:r>
        <w:t xml:space="preserve"> and</w:t>
      </w:r>
      <w:r w:rsidRPr="00706452">
        <w:t xml:space="preserve"> </w:t>
      </w:r>
      <w:r>
        <w:t>nine</w:t>
      </w:r>
      <w:r w:rsidRPr="00706452">
        <w:t xml:space="preserve"> counties</w:t>
      </w:r>
      <w:r>
        <w:t xml:space="preserve"> are</w:t>
      </w:r>
      <w:r w:rsidRPr="00706452">
        <w:t xml:space="preserve"> given a share of the </w:t>
      </w:r>
      <w:r>
        <w:t>Bay Area’s total</w:t>
      </w:r>
      <w:r w:rsidRPr="00706452">
        <w:t xml:space="preserve"> regional housing need. The Bay Area's regional housing need is allocated by the California Department of Housing and Community Development (HCD), and finalized</w:t>
      </w:r>
      <w:r>
        <w:t xml:space="preserve"> </w:t>
      </w:r>
      <w:r w:rsidRPr="00706452">
        <w:t xml:space="preserve">though negotiations with </w:t>
      </w:r>
      <w:r>
        <w:t>the Association of Bay Area Governments (ABAG)</w:t>
      </w:r>
      <w:r w:rsidRPr="00706452">
        <w:t>.</w:t>
      </w:r>
      <w:r>
        <w:t xml:space="preserve"> San Mateo County jurisdictions, through a unique process different from other Bay Area counties, collaboratively developed a formula to divide up San Mateo County’s overall housing allocation among the 21 jurisdictions in the county. </w:t>
      </w:r>
    </w:p>
    <w:p w14:paraId="2AC9FD1F" w14:textId="1BED154F" w:rsidR="00206E3A" w:rsidRDefault="0082463F" w:rsidP="00206E3A">
      <w:r>
        <w:t xml:space="preserve"> </w:t>
      </w:r>
    </w:p>
    <w:p w14:paraId="1259D9E6" w14:textId="7AA80C4E" w:rsidR="003C454C" w:rsidRPr="00C37606" w:rsidRDefault="0082463F" w:rsidP="00C37606">
      <w:r w:rsidRPr="00C37606">
        <w:t>Hillsborough’s RHNA requires the city to ensure there is land available</w:t>
      </w:r>
      <w:r w:rsidR="003C454C" w:rsidRPr="00C37606">
        <w:t xml:space="preserve"> for a total of 91 new units between 2014 and 2022. Approximately 23 percent of those units will be for households making more than moderate income, 23 percent will be for households making moderate income, 19 percent for low-income, and 18 percent for very low income and extremely low income households each.</w:t>
      </w:r>
    </w:p>
    <w:p w14:paraId="2BB2CD58" w14:textId="1C09183C" w:rsidR="00E81844" w:rsidRDefault="00206E3A" w:rsidP="00C37606">
      <w:r w:rsidRPr="0082463F">
        <w:t>T</w:t>
      </w:r>
      <w:r>
        <w:t>he total number of housing units and the distribution by income category requires the city to make sure there are adequate housing sites and programs to address a variety of housing choices, types and densities.</w:t>
      </w:r>
      <w:r w:rsidR="00D25635">
        <w:t xml:space="preserve"> </w:t>
      </w:r>
    </w:p>
    <w:p w14:paraId="4F70B412" w14:textId="77777777" w:rsidR="00BD0120" w:rsidRDefault="00BD0120" w:rsidP="00BD0120">
      <w:pPr>
        <w:pStyle w:val="Header"/>
        <w:tabs>
          <w:tab w:val="left" w:pos="3600"/>
        </w:tabs>
        <w:rPr>
          <w:rFonts w:ascii="Arial" w:hAnsi="Arial" w:cs="Arial"/>
          <w:sz w:val="12"/>
          <w:szCs w:val="22"/>
        </w:rPr>
      </w:pPr>
    </w:p>
    <w:p w14:paraId="4694ADF1" w14:textId="77777777" w:rsidR="00BD0120" w:rsidRPr="00236E9F" w:rsidRDefault="00BD0120" w:rsidP="00BD0120">
      <w:pPr>
        <w:pStyle w:val="Header"/>
        <w:tabs>
          <w:tab w:val="left" w:pos="3600"/>
        </w:tabs>
        <w:rPr>
          <w:rFonts w:ascii="Arial" w:hAnsi="Arial" w:cs="Arial"/>
          <w:sz w:val="12"/>
          <w:szCs w:val="22"/>
        </w:rPr>
      </w:pPr>
    </w:p>
    <w:tbl>
      <w:tblPr>
        <w:tblW w:w="10170" w:type="dxa"/>
        <w:tblInd w:w="-612" w:type="dxa"/>
        <w:tblLayout w:type="fixed"/>
        <w:tblLook w:val="0000" w:firstRow="0" w:lastRow="0" w:firstColumn="0" w:lastColumn="0" w:noHBand="0" w:noVBand="0"/>
      </w:tblPr>
      <w:tblGrid>
        <w:gridCol w:w="2340"/>
        <w:gridCol w:w="1260"/>
        <w:gridCol w:w="1440"/>
        <w:gridCol w:w="1440"/>
        <w:gridCol w:w="1530"/>
        <w:gridCol w:w="1170"/>
        <w:gridCol w:w="990"/>
      </w:tblGrid>
      <w:tr w:rsidR="004126F8" w:rsidRPr="00BD0120" w14:paraId="313D86A3" w14:textId="77777777" w:rsidTr="004978CA">
        <w:trPr>
          <w:trHeight w:val="300"/>
        </w:trPr>
        <w:tc>
          <w:tcPr>
            <w:tcW w:w="10170" w:type="dxa"/>
            <w:gridSpan w:val="7"/>
            <w:tcBorders>
              <w:top w:val="nil"/>
              <w:left w:val="nil"/>
              <w:bottom w:val="nil"/>
              <w:right w:val="nil"/>
            </w:tcBorders>
            <w:shd w:val="solid" w:color="000000" w:fill="auto"/>
            <w:vAlign w:val="center"/>
          </w:tcPr>
          <w:p w14:paraId="24822E78" w14:textId="107CDA93" w:rsidR="00BD0120" w:rsidRPr="00BD0120" w:rsidRDefault="00BD0120" w:rsidP="00900F95">
            <w:pPr>
              <w:pStyle w:val="Heading1"/>
              <w:spacing w:before="60"/>
            </w:pPr>
            <w:bookmarkStart w:id="2" w:name="_Toc240368316"/>
            <w:r w:rsidRPr="00BD0120">
              <w:t xml:space="preserve"> Regional Housing Needs Allocation </w:t>
            </w:r>
            <w:r w:rsidR="00B91736">
              <w:t>(</w:t>
            </w:r>
            <w:r w:rsidRPr="00BD0120">
              <w:t xml:space="preserve">2014 </w:t>
            </w:r>
            <w:r w:rsidR="00B91736">
              <w:t>–</w:t>
            </w:r>
            <w:r w:rsidRPr="00BD0120">
              <w:t xml:space="preserve"> 2022</w:t>
            </w:r>
            <w:bookmarkEnd w:id="2"/>
            <w:r w:rsidR="00B91736">
              <w:t>)</w:t>
            </w:r>
          </w:p>
        </w:tc>
      </w:tr>
      <w:tr w:rsidR="00BF48B0" w14:paraId="1D591001" w14:textId="77777777" w:rsidTr="004978CA">
        <w:trPr>
          <w:trHeight w:val="423"/>
        </w:trPr>
        <w:tc>
          <w:tcPr>
            <w:tcW w:w="2340" w:type="dxa"/>
            <w:tcBorders>
              <w:top w:val="nil"/>
              <w:left w:val="nil"/>
              <w:bottom w:val="nil"/>
              <w:right w:val="nil"/>
            </w:tcBorders>
            <w:vAlign w:val="bottom"/>
          </w:tcPr>
          <w:p w14:paraId="2062FB46" w14:textId="77777777" w:rsidR="00BF48B0" w:rsidRDefault="00BF48B0" w:rsidP="00BD0120">
            <w:pPr>
              <w:widowControl w:val="0"/>
              <w:autoSpaceDE w:val="0"/>
              <w:autoSpaceDN w:val="0"/>
              <w:adjustRightInd w:val="0"/>
              <w:jc w:val="right"/>
              <w:rPr>
                <w:rFonts w:cs="Century Gothic"/>
                <w:color w:val="000000"/>
                <w:sz w:val="18"/>
                <w:szCs w:val="18"/>
              </w:rPr>
            </w:pPr>
          </w:p>
        </w:tc>
        <w:tc>
          <w:tcPr>
            <w:tcW w:w="1260" w:type="dxa"/>
            <w:vMerge w:val="restart"/>
            <w:tcBorders>
              <w:top w:val="nil"/>
              <w:left w:val="nil"/>
              <w:right w:val="nil"/>
            </w:tcBorders>
            <w:vAlign w:val="bottom"/>
          </w:tcPr>
          <w:p w14:paraId="3F0984C9" w14:textId="77777777" w:rsid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 xml:space="preserve">Extremely </w:t>
            </w:r>
          </w:p>
          <w:p w14:paraId="28C5CC4F" w14:textId="77777777" w:rsidR="004126F8"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 xml:space="preserve">Low </w:t>
            </w:r>
          </w:p>
          <w:p w14:paraId="17570C28" w14:textId="473BC186"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Income</w:t>
            </w:r>
          </w:p>
          <w:p w14:paraId="104E8107" w14:textId="61EF8FAE"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color w:val="000000"/>
                <w:sz w:val="16"/>
                <w:szCs w:val="16"/>
              </w:rPr>
              <w:t>Up to $31,650</w:t>
            </w:r>
          </w:p>
        </w:tc>
        <w:tc>
          <w:tcPr>
            <w:tcW w:w="1440" w:type="dxa"/>
            <w:vMerge w:val="restart"/>
            <w:tcBorders>
              <w:top w:val="nil"/>
              <w:left w:val="nil"/>
              <w:right w:val="nil"/>
            </w:tcBorders>
            <w:vAlign w:val="bottom"/>
          </w:tcPr>
          <w:p w14:paraId="5A7C0ED0" w14:textId="77777777" w:rsidR="004126F8"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 xml:space="preserve">Very </w:t>
            </w:r>
          </w:p>
          <w:p w14:paraId="1B0FFC7E" w14:textId="77777777" w:rsidR="004126F8"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 xml:space="preserve">Low </w:t>
            </w:r>
          </w:p>
          <w:p w14:paraId="63545B8A" w14:textId="4F56261E"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Income</w:t>
            </w:r>
          </w:p>
          <w:p w14:paraId="2EB89FCB" w14:textId="493DA93D"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Pr>
                <w:rFonts w:cs="Century Gothic"/>
                <w:color w:val="000000"/>
                <w:sz w:val="16"/>
                <w:szCs w:val="16"/>
              </w:rPr>
              <w:t>$31,651-$</w:t>
            </w:r>
            <w:r w:rsidRPr="00BF48B0">
              <w:rPr>
                <w:rFonts w:cs="Century Gothic"/>
                <w:color w:val="000000"/>
                <w:sz w:val="16"/>
                <w:szCs w:val="16"/>
              </w:rPr>
              <w:t>52,750</w:t>
            </w:r>
          </w:p>
        </w:tc>
        <w:tc>
          <w:tcPr>
            <w:tcW w:w="1440" w:type="dxa"/>
            <w:vMerge w:val="restart"/>
            <w:tcBorders>
              <w:top w:val="nil"/>
              <w:left w:val="nil"/>
              <w:right w:val="nil"/>
            </w:tcBorders>
            <w:vAlign w:val="bottom"/>
          </w:tcPr>
          <w:p w14:paraId="5D926EEA" w14:textId="77777777" w:rsid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 xml:space="preserve">Low </w:t>
            </w:r>
          </w:p>
          <w:p w14:paraId="0AD08CAC" w14:textId="55B5EB1C"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Income</w:t>
            </w:r>
          </w:p>
          <w:p w14:paraId="7BD6F5B3" w14:textId="109C38F8"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Pr>
                <w:rFonts w:cs="Century Gothic"/>
                <w:color w:val="000000"/>
                <w:sz w:val="16"/>
                <w:szCs w:val="16"/>
              </w:rPr>
              <w:t>$52,751</w:t>
            </w:r>
            <w:r w:rsidRPr="00BF48B0">
              <w:rPr>
                <w:rFonts w:cs="Century Gothic"/>
                <w:color w:val="000000"/>
                <w:sz w:val="16"/>
                <w:szCs w:val="16"/>
              </w:rPr>
              <w:t>-$84,400</w:t>
            </w:r>
          </w:p>
        </w:tc>
        <w:tc>
          <w:tcPr>
            <w:tcW w:w="1530" w:type="dxa"/>
            <w:vMerge w:val="restart"/>
            <w:tcBorders>
              <w:top w:val="nil"/>
              <w:left w:val="nil"/>
              <w:right w:val="nil"/>
            </w:tcBorders>
            <w:vAlign w:val="bottom"/>
          </w:tcPr>
          <w:p w14:paraId="3BEB0B55" w14:textId="77777777"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b/>
                <w:bCs/>
                <w:color w:val="000000"/>
                <w:sz w:val="16"/>
                <w:szCs w:val="16"/>
              </w:rPr>
              <w:t>Moderate Income</w:t>
            </w:r>
          </w:p>
          <w:p w14:paraId="009CD4C2" w14:textId="139B78C0" w:rsidR="00BF48B0" w:rsidRPr="00BF48B0" w:rsidRDefault="00BF48B0" w:rsidP="000B147D">
            <w:pPr>
              <w:widowControl w:val="0"/>
              <w:autoSpaceDE w:val="0"/>
              <w:autoSpaceDN w:val="0"/>
              <w:adjustRightInd w:val="0"/>
              <w:spacing w:line="240" w:lineRule="auto"/>
              <w:jc w:val="right"/>
              <w:rPr>
                <w:rFonts w:cs="Century Gothic"/>
                <w:b/>
                <w:bCs/>
                <w:color w:val="000000"/>
                <w:sz w:val="16"/>
                <w:szCs w:val="16"/>
              </w:rPr>
            </w:pPr>
            <w:r w:rsidRPr="00BF48B0">
              <w:rPr>
                <w:rFonts w:cs="Century Gothic"/>
                <w:color w:val="000000"/>
                <w:sz w:val="16"/>
                <w:szCs w:val="16"/>
              </w:rPr>
              <w:t>$84,401-$123,600</w:t>
            </w:r>
          </w:p>
        </w:tc>
        <w:tc>
          <w:tcPr>
            <w:tcW w:w="1170" w:type="dxa"/>
            <w:vMerge w:val="restart"/>
            <w:tcBorders>
              <w:top w:val="nil"/>
              <w:left w:val="nil"/>
              <w:right w:val="nil"/>
            </w:tcBorders>
            <w:vAlign w:val="bottom"/>
          </w:tcPr>
          <w:p w14:paraId="28BBE4E2" w14:textId="77777777" w:rsidR="00BF48B0" w:rsidRPr="00BF48B0" w:rsidRDefault="00BF48B0" w:rsidP="00BF48B0">
            <w:pPr>
              <w:widowControl w:val="0"/>
              <w:autoSpaceDE w:val="0"/>
              <w:autoSpaceDN w:val="0"/>
              <w:adjustRightInd w:val="0"/>
              <w:spacing w:line="240" w:lineRule="auto"/>
              <w:ind w:left="342"/>
              <w:jc w:val="right"/>
              <w:rPr>
                <w:rFonts w:cs="Century Gothic"/>
                <w:b/>
                <w:bCs/>
                <w:color w:val="000000"/>
                <w:sz w:val="8"/>
                <w:szCs w:val="16"/>
              </w:rPr>
            </w:pPr>
          </w:p>
          <w:p w14:paraId="56047321" w14:textId="77777777" w:rsidR="00BF48B0" w:rsidRPr="00BF48B0" w:rsidRDefault="00BF48B0" w:rsidP="00BF48B0">
            <w:pPr>
              <w:widowControl w:val="0"/>
              <w:autoSpaceDE w:val="0"/>
              <w:autoSpaceDN w:val="0"/>
              <w:adjustRightInd w:val="0"/>
              <w:spacing w:line="240" w:lineRule="auto"/>
              <w:ind w:left="342"/>
              <w:jc w:val="right"/>
              <w:rPr>
                <w:rFonts w:cs="Century Gothic"/>
                <w:b/>
                <w:bCs/>
                <w:color w:val="000000"/>
                <w:sz w:val="16"/>
                <w:szCs w:val="16"/>
              </w:rPr>
            </w:pPr>
            <w:r w:rsidRPr="00BF48B0">
              <w:rPr>
                <w:rFonts w:cs="Century Gothic"/>
                <w:b/>
                <w:bCs/>
                <w:color w:val="000000"/>
                <w:sz w:val="16"/>
                <w:szCs w:val="16"/>
              </w:rPr>
              <w:t xml:space="preserve">Above </w:t>
            </w:r>
          </w:p>
          <w:p w14:paraId="3C2E4EBB" w14:textId="77777777" w:rsidR="00BF48B0" w:rsidRDefault="00BF48B0" w:rsidP="00BF48B0">
            <w:pPr>
              <w:widowControl w:val="0"/>
              <w:autoSpaceDE w:val="0"/>
              <w:autoSpaceDN w:val="0"/>
              <w:adjustRightInd w:val="0"/>
              <w:spacing w:line="240" w:lineRule="auto"/>
              <w:ind w:left="-3528"/>
              <w:jc w:val="right"/>
              <w:rPr>
                <w:rFonts w:cs="Century Gothic"/>
                <w:b/>
                <w:bCs/>
                <w:color w:val="000000"/>
                <w:sz w:val="16"/>
                <w:szCs w:val="16"/>
              </w:rPr>
            </w:pPr>
            <w:r w:rsidRPr="00BF48B0">
              <w:rPr>
                <w:rFonts w:cs="Century Gothic"/>
                <w:b/>
                <w:bCs/>
                <w:color w:val="000000"/>
                <w:sz w:val="16"/>
                <w:szCs w:val="16"/>
              </w:rPr>
              <w:t xml:space="preserve">Moderate </w:t>
            </w:r>
          </w:p>
          <w:p w14:paraId="1B9ACC5A" w14:textId="578F1F98" w:rsidR="00BF48B0" w:rsidRPr="00BF48B0" w:rsidRDefault="00BF48B0" w:rsidP="00BF48B0">
            <w:pPr>
              <w:widowControl w:val="0"/>
              <w:autoSpaceDE w:val="0"/>
              <w:autoSpaceDN w:val="0"/>
              <w:adjustRightInd w:val="0"/>
              <w:spacing w:line="240" w:lineRule="auto"/>
              <w:ind w:left="-3528"/>
              <w:jc w:val="right"/>
              <w:rPr>
                <w:rFonts w:cs="Century Gothic"/>
                <w:b/>
                <w:bCs/>
                <w:color w:val="000000"/>
                <w:sz w:val="16"/>
                <w:szCs w:val="16"/>
              </w:rPr>
            </w:pPr>
            <w:r w:rsidRPr="00BF48B0">
              <w:rPr>
                <w:rFonts w:cs="Century Gothic"/>
                <w:b/>
                <w:bCs/>
                <w:color w:val="000000"/>
                <w:sz w:val="16"/>
                <w:szCs w:val="16"/>
              </w:rPr>
              <w:t>Income</w:t>
            </w:r>
          </w:p>
          <w:p w14:paraId="1C9E632D" w14:textId="77777777" w:rsidR="00BF48B0" w:rsidRPr="00BF48B0" w:rsidRDefault="00BF48B0" w:rsidP="00BF48B0">
            <w:pPr>
              <w:widowControl w:val="0"/>
              <w:autoSpaceDE w:val="0"/>
              <w:autoSpaceDN w:val="0"/>
              <w:adjustRightInd w:val="0"/>
              <w:spacing w:line="240" w:lineRule="auto"/>
              <w:jc w:val="right"/>
              <w:rPr>
                <w:rFonts w:cs="Century Gothic"/>
                <w:b/>
                <w:bCs/>
                <w:color w:val="000000"/>
                <w:sz w:val="16"/>
                <w:szCs w:val="16"/>
              </w:rPr>
            </w:pPr>
            <w:r w:rsidRPr="00BF48B0">
              <w:rPr>
                <w:rFonts w:cs="Century Gothic"/>
                <w:color w:val="000000"/>
                <w:sz w:val="16"/>
                <w:szCs w:val="16"/>
              </w:rPr>
              <w:t>$123,601+</w:t>
            </w:r>
          </w:p>
        </w:tc>
        <w:tc>
          <w:tcPr>
            <w:tcW w:w="990" w:type="dxa"/>
            <w:vMerge w:val="restart"/>
            <w:tcBorders>
              <w:top w:val="nil"/>
              <w:left w:val="nil"/>
              <w:right w:val="nil"/>
            </w:tcBorders>
            <w:vAlign w:val="bottom"/>
          </w:tcPr>
          <w:p w14:paraId="034F8975" w14:textId="605D1B9D" w:rsidR="00BF48B0" w:rsidRPr="004126F8" w:rsidRDefault="00BF48B0" w:rsidP="004126F8">
            <w:pPr>
              <w:widowControl w:val="0"/>
              <w:autoSpaceDE w:val="0"/>
              <w:autoSpaceDN w:val="0"/>
              <w:adjustRightInd w:val="0"/>
              <w:spacing w:line="240" w:lineRule="auto"/>
              <w:ind w:left="259" w:right="-115"/>
              <w:jc w:val="right"/>
              <w:rPr>
                <w:rFonts w:cs="Century Gothic"/>
                <w:b/>
                <w:color w:val="000000"/>
                <w:sz w:val="16"/>
                <w:szCs w:val="16"/>
              </w:rPr>
            </w:pPr>
            <w:r w:rsidRPr="00BF48B0">
              <w:rPr>
                <w:rFonts w:cs="Century Gothic"/>
                <w:b/>
                <w:color w:val="000000"/>
                <w:sz w:val="16"/>
                <w:szCs w:val="16"/>
              </w:rPr>
              <w:t>Total</w:t>
            </w:r>
          </w:p>
        </w:tc>
      </w:tr>
      <w:tr w:rsidR="00BF48B0" w14:paraId="419F626A" w14:textId="77777777" w:rsidTr="004978CA">
        <w:trPr>
          <w:trHeight w:val="319"/>
        </w:trPr>
        <w:tc>
          <w:tcPr>
            <w:tcW w:w="2340" w:type="dxa"/>
            <w:tcBorders>
              <w:top w:val="nil"/>
              <w:left w:val="nil"/>
              <w:bottom w:val="single" w:sz="12" w:space="0" w:color="auto"/>
              <w:right w:val="nil"/>
            </w:tcBorders>
            <w:vAlign w:val="bottom"/>
          </w:tcPr>
          <w:p w14:paraId="7CC7C4ED" w14:textId="77777777" w:rsidR="00BF48B0" w:rsidRDefault="00BF48B0" w:rsidP="000B147D">
            <w:pPr>
              <w:widowControl w:val="0"/>
              <w:autoSpaceDE w:val="0"/>
              <w:autoSpaceDN w:val="0"/>
              <w:adjustRightInd w:val="0"/>
              <w:spacing w:line="240" w:lineRule="auto"/>
              <w:jc w:val="right"/>
              <w:rPr>
                <w:rFonts w:cs="Century Gothic"/>
                <w:color w:val="000000"/>
                <w:sz w:val="18"/>
                <w:szCs w:val="18"/>
              </w:rPr>
            </w:pPr>
          </w:p>
        </w:tc>
        <w:tc>
          <w:tcPr>
            <w:tcW w:w="1260" w:type="dxa"/>
            <w:vMerge/>
            <w:tcBorders>
              <w:left w:val="nil"/>
              <w:bottom w:val="single" w:sz="12" w:space="0" w:color="auto"/>
              <w:right w:val="nil"/>
            </w:tcBorders>
            <w:vAlign w:val="bottom"/>
          </w:tcPr>
          <w:p w14:paraId="16DAA708" w14:textId="53DE6F0C" w:rsidR="00BF48B0" w:rsidRPr="00BF48B0" w:rsidRDefault="00BF48B0" w:rsidP="000B147D">
            <w:pPr>
              <w:widowControl w:val="0"/>
              <w:autoSpaceDE w:val="0"/>
              <w:autoSpaceDN w:val="0"/>
              <w:adjustRightInd w:val="0"/>
              <w:spacing w:line="240" w:lineRule="auto"/>
              <w:jc w:val="right"/>
              <w:rPr>
                <w:rFonts w:cs="Century Gothic"/>
                <w:color w:val="000000"/>
                <w:sz w:val="16"/>
                <w:szCs w:val="16"/>
              </w:rPr>
            </w:pPr>
          </w:p>
        </w:tc>
        <w:tc>
          <w:tcPr>
            <w:tcW w:w="1440" w:type="dxa"/>
            <w:vMerge/>
            <w:tcBorders>
              <w:left w:val="nil"/>
              <w:bottom w:val="single" w:sz="12" w:space="0" w:color="auto"/>
              <w:right w:val="nil"/>
            </w:tcBorders>
            <w:vAlign w:val="bottom"/>
          </w:tcPr>
          <w:p w14:paraId="5D46A191" w14:textId="57AB57CE" w:rsidR="00BF48B0" w:rsidRPr="00BF48B0" w:rsidRDefault="00BF48B0" w:rsidP="000B147D">
            <w:pPr>
              <w:widowControl w:val="0"/>
              <w:autoSpaceDE w:val="0"/>
              <w:autoSpaceDN w:val="0"/>
              <w:adjustRightInd w:val="0"/>
              <w:spacing w:line="240" w:lineRule="auto"/>
              <w:jc w:val="right"/>
              <w:rPr>
                <w:rFonts w:cs="Century Gothic"/>
                <w:color w:val="000000"/>
                <w:sz w:val="16"/>
                <w:szCs w:val="16"/>
              </w:rPr>
            </w:pPr>
          </w:p>
        </w:tc>
        <w:tc>
          <w:tcPr>
            <w:tcW w:w="1440" w:type="dxa"/>
            <w:vMerge/>
            <w:tcBorders>
              <w:left w:val="nil"/>
              <w:bottom w:val="single" w:sz="12" w:space="0" w:color="auto"/>
              <w:right w:val="nil"/>
            </w:tcBorders>
            <w:vAlign w:val="bottom"/>
          </w:tcPr>
          <w:p w14:paraId="79B11256" w14:textId="136E5571" w:rsidR="00BF48B0" w:rsidRPr="00BF48B0" w:rsidRDefault="00BF48B0" w:rsidP="000B147D">
            <w:pPr>
              <w:widowControl w:val="0"/>
              <w:autoSpaceDE w:val="0"/>
              <w:autoSpaceDN w:val="0"/>
              <w:adjustRightInd w:val="0"/>
              <w:spacing w:line="240" w:lineRule="auto"/>
              <w:jc w:val="right"/>
              <w:rPr>
                <w:rFonts w:cs="Century Gothic"/>
                <w:color w:val="000000"/>
                <w:sz w:val="16"/>
                <w:szCs w:val="16"/>
              </w:rPr>
            </w:pPr>
          </w:p>
        </w:tc>
        <w:tc>
          <w:tcPr>
            <w:tcW w:w="1530" w:type="dxa"/>
            <w:vMerge/>
            <w:tcBorders>
              <w:left w:val="nil"/>
              <w:bottom w:val="single" w:sz="12" w:space="0" w:color="auto"/>
              <w:right w:val="nil"/>
            </w:tcBorders>
            <w:vAlign w:val="bottom"/>
          </w:tcPr>
          <w:p w14:paraId="19196535" w14:textId="5FA79AD0" w:rsidR="00BF48B0" w:rsidRPr="00BF48B0" w:rsidRDefault="00BF48B0" w:rsidP="000B147D">
            <w:pPr>
              <w:widowControl w:val="0"/>
              <w:autoSpaceDE w:val="0"/>
              <w:autoSpaceDN w:val="0"/>
              <w:adjustRightInd w:val="0"/>
              <w:spacing w:line="240" w:lineRule="auto"/>
              <w:jc w:val="right"/>
              <w:rPr>
                <w:rFonts w:cs="Century Gothic"/>
                <w:color w:val="000000"/>
                <w:sz w:val="16"/>
                <w:szCs w:val="16"/>
              </w:rPr>
            </w:pPr>
          </w:p>
        </w:tc>
        <w:tc>
          <w:tcPr>
            <w:tcW w:w="1170" w:type="dxa"/>
            <w:vMerge/>
            <w:tcBorders>
              <w:left w:val="nil"/>
              <w:bottom w:val="single" w:sz="12" w:space="0" w:color="auto"/>
              <w:right w:val="nil"/>
            </w:tcBorders>
            <w:vAlign w:val="bottom"/>
          </w:tcPr>
          <w:p w14:paraId="7E4C4E62" w14:textId="77777777" w:rsidR="00BF48B0" w:rsidRPr="00BF48B0" w:rsidRDefault="00BF48B0" w:rsidP="00BF48B0">
            <w:pPr>
              <w:widowControl w:val="0"/>
              <w:autoSpaceDE w:val="0"/>
              <w:autoSpaceDN w:val="0"/>
              <w:adjustRightInd w:val="0"/>
              <w:spacing w:line="240" w:lineRule="auto"/>
              <w:jc w:val="right"/>
              <w:rPr>
                <w:rFonts w:cs="Century Gothic"/>
                <w:color w:val="000000"/>
                <w:sz w:val="16"/>
                <w:szCs w:val="16"/>
              </w:rPr>
            </w:pPr>
          </w:p>
        </w:tc>
        <w:tc>
          <w:tcPr>
            <w:tcW w:w="990" w:type="dxa"/>
            <w:vMerge/>
            <w:tcBorders>
              <w:left w:val="nil"/>
              <w:bottom w:val="single" w:sz="12" w:space="0" w:color="auto"/>
              <w:right w:val="nil"/>
            </w:tcBorders>
            <w:vAlign w:val="bottom"/>
          </w:tcPr>
          <w:p w14:paraId="50680547" w14:textId="0927BF6A" w:rsidR="00BF48B0" w:rsidRPr="00BF48B0" w:rsidRDefault="00BF48B0" w:rsidP="00BF48B0">
            <w:pPr>
              <w:widowControl w:val="0"/>
              <w:autoSpaceDE w:val="0"/>
              <w:autoSpaceDN w:val="0"/>
              <w:adjustRightInd w:val="0"/>
              <w:spacing w:line="240" w:lineRule="auto"/>
              <w:ind w:left="252" w:right="-108"/>
              <w:jc w:val="right"/>
              <w:rPr>
                <w:rFonts w:cs="Century Gothic"/>
                <w:b/>
                <w:color w:val="000000"/>
                <w:sz w:val="16"/>
                <w:szCs w:val="16"/>
              </w:rPr>
            </w:pPr>
          </w:p>
        </w:tc>
      </w:tr>
      <w:tr w:rsidR="00BF48B0" w14:paraId="0E3FB6B8" w14:textId="77777777" w:rsidTr="004978CA">
        <w:trPr>
          <w:trHeight w:val="141"/>
        </w:trPr>
        <w:tc>
          <w:tcPr>
            <w:tcW w:w="2340" w:type="dxa"/>
            <w:tcBorders>
              <w:top w:val="nil"/>
              <w:left w:val="nil"/>
              <w:bottom w:val="single" w:sz="6" w:space="0" w:color="808080"/>
              <w:right w:val="nil"/>
            </w:tcBorders>
            <w:vAlign w:val="bottom"/>
          </w:tcPr>
          <w:p w14:paraId="1A8F4C62" w14:textId="036D62BF" w:rsidR="00BD0120" w:rsidRDefault="00E02427"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Atherton</w:t>
            </w:r>
          </w:p>
        </w:tc>
        <w:tc>
          <w:tcPr>
            <w:tcW w:w="1260" w:type="dxa"/>
            <w:tcBorders>
              <w:top w:val="nil"/>
              <w:left w:val="nil"/>
              <w:bottom w:val="single" w:sz="6" w:space="0" w:color="808080"/>
              <w:right w:val="nil"/>
            </w:tcBorders>
            <w:vAlign w:val="bottom"/>
          </w:tcPr>
          <w:p w14:paraId="06721735"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17</w:t>
            </w:r>
          </w:p>
        </w:tc>
        <w:tc>
          <w:tcPr>
            <w:tcW w:w="1440" w:type="dxa"/>
            <w:tcBorders>
              <w:top w:val="nil"/>
              <w:left w:val="nil"/>
              <w:bottom w:val="single" w:sz="6" w:space="0" w:color="808080"/>
              <w:right w:val="nil"/>
            </w:tcBorders>
            <w:vAlign w:val="bottom"/>
          </w:tcPr>
          <w:p w14:paraId="61F10A4B"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18</w:t>
            </w:r>
          </w:p>
        </w:tc>
        <w:tc>
          <w:tcPr>
            <w:tcW w:w="1440" w:type="dxa"/>
            <w:tcBorders>
              <w:top w:val="nil"/>
              <w:left w:val="nil"/>
              <w:bottom w:val="single" w:sz="6" w:space="0" w:color="808080"/>
              <w:right w:val="nil"/>
            </w:tcBorders>
            <w:vAlign w:val="bottom"/>
          </w:tcPr>
          <w:p w14:paraId="7724C85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26</w:t>
            </w:r>
          </w:p>
        </w:tc>
        <w:tc>
          <w:tcPr>
            <w:tcW w:w="1530" w:type="dxa"/>
            <w:tcBorders>
              <w:top w:val="nil"/>
              <w:left w:val="nil"/>
              <w:bottom w:val="single" w:sz="6" w:space="0" w:color="808080"/>
              <w:right w:val="nil"/>
            </w:tcBorders>
            <w:vAlign w:val="bottom"/>
          </w:tcPr>
          <w:p w14:paraId="5927B848"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29</w:t>
            </w:r>
          </w:p>
        </w:tc>
        <w:tc>
          <w:tcPr>
            <w:tcW w:w="1170" w:type="dxa"/>
            <w:tcBorders>
              <w:top w:val="nil"/>
              <w:left w:val="nil"/>
              <w:bottom w:val="single" w:sz="6" w:space="0" w:color="808080"/>
              <w:right w:val="nil"/>
            </w:tcBorders>
            <w:vAlign w:val="bottom"/>
          </w:tcPr>
          <w:p w14:paraId="63D57EF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3</w:t>
            </w:r>
          </w:p>
        </w:tc>
        <w:tc>
          <w:tcPr>
            <w:tcW w:w="990" w:type="dxa"/>
            <w:tcBorders>
              <w:top w:val="nil"/>
              <w:left w:val="nil"/>
              <w:bottom w:val="single" w:sz="6" w:space="0" w:color="808080"/>
              <w:right w:val="nil"/>
            </w:tcBorders>
            <w:vAlign w:val="bottom"/>
          </w:tcPr>
          <w:p w14:paraId="1075B224"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93</w:t>
            </w:r>
          </w:p>
        </w:tc>
      </w:tr>
      <w:tr w:rsidR="00BF48B0" w:rsidRPr="00A81C9A" w14:paraId="0998AA5C" w14:textId="77777777" w:rsidTr="004978CA">
        <w:trPr>
          <w:trHeight w:val="93"/>
        </w:trPr>
        <w:tc>
          <w:tcPr>
            <w:tcW w:w="2340" w:type="dxa"/>
            <w:tcBorders>
              <w:top w:val="single" w:sz="6" w:space="0" w:color="808080"/>
              <w:left w:val="nil"/>
              <w:bottom w:val="single" w:sz="6" w:space="0" w:color="808080"/>
              <w:right w:val="nil"/>
            </w:tcBorders>
            <w:vAlign w:val="bottom"/>
          </w:tcPr>
          <w:p w14:paraId="3D5167B1" w14:textId="77777777" w:rsidR="00BD0120" w:rsidRPr="00A81C9A" w:rsidRDefault="00BD0120" w:rsidP="00BF48B0">
            <w:pPr>
              <w:widowControl w:val="0"/>
              <w:autoSpaceDE w:val="0"/>
              <w:autoSpaceDN w:val="0"/>
              <w:adjustRightInd w:val="0"/>
              <w:ind w:left="-108"/>
              <w:rPr>
                <w:rFonts w:cs="Century Gothic"/>
                <w:color w:val="000000"/>
                <w:sz w:val="18"/>
                <w:szCs w:val="18"/>
              </w:rPr>
            </w:pPr>
            <w:r w:rsidRPr="00A81C9A">
              <w:rPr>
                <w:rFonts w:cs="Century Gothic"/>
                <w:color w:val="000000"/>
                <w:sz w:val="18"/>
                <w:szCs w:val="18"/>
              </w:rPr>
              <w:t>Belmont</w:t>
            </w:r>
          </w:p>
        </w:tc>
        <w:tc>
          <w:tcPr>
            <w:tcW w:w="1260" w:type="dxa"/>
            <w:tcBorders>
              <w:top w:val="single" w:sz="6" w:space="0" w:color="808080"/>
              <w:left w:val="nil"/>
              <w:bottom w:val="single" w:sz="6" w:space="0" w:color="808080"/>
              <w:right w:val="nil"/>
            </w:tcBorders>
            <w:vAlign w:val="bottom"/>
          </w:tcPr>
          <w:p w14:paraId="7703C9A3" w14:textId="77777777" w:rsidR="00BD0120" w:rsidRPr="00A81C9A" w:rsidRDefault="00BD0120" w:rsidP="00BF48B0">
            <w:pPr>
              <w:widowControl w:val="0"/>
              <w:autoSpaceDE w:val="0"/>
              <w:autoSpaceDN w:val="0"/>
              <w:adjustRightInd w:val="0"/>
              <w:jc w:val="right"/>
              <w:rPr>
                <w:rFonts w:cs="Century Gothic"/>
                <w:color w:val="000000"/>
                <w:sz w:val="18"/>
                <w:szCs w:val="18"/>
              </w:rPr>
            </w:pPr>
            <w:r w:rsidRPr="00A81C9A">
              <w:rPr>
                <w:rFonts w:cs="Century Gothic"/>
                <w:color w:val="000000"/>
                <w:sz w:val="18"/>
                <w:szCs w:val="18"/>
              </w:rPr>
              <w:t>58</w:t>
            </w:r>
          </w:p>
        </w:tc>
        <w:tc>
          <w:tcPr>
            <w:tcW w:w="1440" w:type="dxa"/>
            <w:tcBorders>
              <w:top w:val="single" w:sz="6" w:space="0" w:color="808080"/>
              <w:left w:val="nil"/>
              <w:bottom w:val="single" w:sz="6" w:space="0" w:color="808080"/>
              <w:right w:val="nil"/>
            </w:tcBorders>
            <w:vAlign w:val="bottom"/>
          </w:tcPr>
          <w:p w14:paraId="675B7856" w14:textId="77777777" w:rsidR="00BD0120" w:rsidRPr="00A81C9A" w:rsidRDefault="00BD0120" w:rsidP="00BF48B0">
            <w:pPr>
              <w:widowControl w:val="0"/>
              <w:autoSpaceDE w:val="0"/>
              <w:autoSpaceDN w:val="0"/>
              <w:adjustRightInd w:val="0"/>
              <w:jc w:val="right"/>
              <w:rPr>
                <w:rFonts w:cs="Century Gothic"/>
                <w:color w:val="000000"/>
                <w:sz w:val="18"/>
                <w:szCs w:val="18"/>
              </w:rPr>
            </w:pPr>
            <w:r w:rsidRPr="00A81C9A">
              <w:rPr>
                <w:rFonts w:cs="Century Gothic"/>
                <w:color w:val="000000"/>
                <w:sz w:val="18"/>
                <w:szCs w:val="18"/>
              </w:rPr>
              <w:t>58</w:t>
            </w:r>
          </w:p>
        </w:tc>
        <w:tc>
          <w:tcPr>
            <w:tcW w:w="1440" w:type="dxa"/>
            <w:tcBorders>
              <w:top w:val="single" w:sz="6" w:space="0" w:color="808080"/>
              <w:left w:val="nil"/>
              <w:bottom w:val="single" w:sz="6" w:space="0" w:color="808080"/>
              <w:right w:val="nil"/>
            </w:tcBorders>
            <w:vAlign w:val="bottom"/>
          </w:tcPr>
          <w:p w14:paraId="3B245A7A" w14:textId="77777777" w:rsidR="00BD0120" w:rsidRPr="00A81C9A" w:rsidRDefault="00BD0120" w:rsidP="00BF48B0">
            <w:pPr>
              <w:widowControl w:val="0"/>
              <w:autoSpaceDE w:val="0"/>
              <w:autoSpaceDN w:val="0"/>
              <w:adjustRightInd w:val="0"/>
              <w:jc w:val="right"/>
              <w:rPr>
                <w:rFonts w:cs="Century Gothic"/>
                <w:color w:val="000000"/>
                <w:sz w:val="18"/>
                <w:szCs w:val="18"/>
              </w:rPr>
            </w:pPr>
            <w:r w:rsidRPr="00A81C9A">
              <w:rPr>
                <w:rFonts w:cs="Century Gothic"/>
                <w:color w:val="000000"/>
                <w:sz w:val="18"/>
                <w:szCs w:val="18"/>
              </w:rPr>
              <w:t>63</w:t>
            </w:r>
          </w:p>
        </w:tc>
        <w:tc>
          <w:tcPr>
            <w:tcW w:w="1530" w:type="dxa"/>
            <w:tcBorders>
              <w:top w:val="single" w:sz="6" w:space="0" w:color="808080"/>
              <w:left w:val="nil"/>
              <w:bottom w:val="single" w:sz="6" w:space="0" w:color="808080"/>
              <w:right w:val="nil"/>
            </w:tcBorders>
            <w:vAlign w:val="bottom"/>
          </w:tcPr>
          <w:p w14:paraId="7CAFCEFC" w14:textId="77777777" w:rsidR="00BD0120" w:rsidRPr="00A81C9A" w:rsidRDefault="00BD0120" w:rsidP="00BF48B0">
            <w:pPr>
              <w:widowControl w:val="0"/>
              <w:autoSpaceDE w:val="0"/>
              <w:autoSpaceDN w:val="0"/>
              <w:adjustRightInd w:val="0"/>
              <w:jc w:val="right"/>
              <w:rPr>
                <w:rFonts w:cs="Century Gothic"/>
                <w:color w:val="000000"/>
                <w:sz w:val="18"/>
                <w:szCs w:val="18"/>
              </w:rPr>
            </w:pPr>
            <w:r w:rsidRPr="00A81C9A">
              <w:rPr>
                <w:rFonts w:cs="Century Gothic"/>
                <w:color w:val="000000"/>
                <w:sz w:val="18"/>
                <w:szCs w:val="18"/>
              </w:rPr>
              <w:t>67</w:t>
            </w:r>
          </w:p>
        </w:tc>
        <w:tc>
          <w:tcPr>
            <w:tcW w:w="1170" w:type="dxa"/>
            <w:tcBorders>
              <w:top w:val="single" w:sz="6" w:space="0" w:color="808080"/>
              <w:left w:val="nil"/>
              <w:bottom w:val="single" w:sz="6" w:space="0" w:color="808080"/>
              <w:right w:val="nil"/>
            </w:tcBorders>
            <w:vAlign w:val="bottom"/>
          </w:tcPr>
          <w:p w14:paraId="7FA4A37C" w14:textId="77777777" w:rsidR="00BD0120" w:rsidRPr="00A81C9A" w:rsidRDefault="00BD0120" w:rsidP="00BF48B0">
            <w:pPr>
              <w:widowControl w:val="0"/>
              <w:autoSpaceDE w:val="0"/>
              <w:autoSpaceDN w:val="0"/>
              <w:adjustRightInd w:val="0"/>
              <w:jc w:val="right"/>
              <w:rPr>
                <w:rFonts w:cs="Century Gothic"/>
                <w:color w:val="000000"/>
                <w:sz w:val="18"/>
                <w:szCs w:val="18"/>
              </w:rPr>
            </w:pPr>
            <w:r w:rsidRPr="00A81C9A">
              <w:rPr>
                <w:rFonts w:cs="Century Gothic"/>
                <w:color w:val="000000"/>
                <w:sz w:val="18"/>
                <w:szCs w:val="18"/>
              </w:rPr>
              <w:t>222</w:t>
            </w:r>
          </w:p>
        </w:tc>
        <w:tc>
          <w:tcPr>
            <w:tcW w:w="990" w:type="dxa"/>
            <w:tcBorders>
              <w:top w:val="single" w:sz="6" w:space="0" w:color="808080"/>
              <w:left w:val="nil"/>
              <w:bottom w:val="single" w:sz="6" w:space="0" w:color="808080"/>
              <w:right w:val="nil"/>
            </w:tcBorders>
            <w:vAlign w:val="bottom"/>
          </w:tcPr>
          <w:p w14:paraId="6A20DBAF" w14:textId="77777777" w:rsidR="00BD0120" w:rsidRPr="00A81C9A" w:rsidRDefault="00BD0120" w:rsidP="00BF48B0">
            <w:pPr>
              <w:widowControl w:val="0"/>
              <w:autoSpaceDE w:val="0"/>
              <w:autoSpaceDN w:val="0"/>
              <w:adjustRightInd w:val="0"/>
              <w:ind w:right="-108"/>
              <w:jc w:val="right"/>
              <w:rPr>
                <w:rFonts w:cs="Century Gothic"/>
                <w:color w:val="000000"/>
                <w:sz w:val="18"/>
                <w:szCs w:val="18"/>
              </w:rPr>
            </w:pPr>
            <w:r w:rsidRPr="00A81C9A">
              <w:rPr>
                <w:rFonts w:cs="Century Gothic"/>
                <w:color w:val="000000"/>
                <w:sz w:val="18"/>
                <w:szCs w:val="18"/>
              </w:rPr>
              <w:t>468</w:t>
            </w:r>
          </w:p>
        </w:tc>
      </w:tr>
      <w:tr w:rsidR="00BF48B0" w14:paraId="33F17E9A" w14:textId="77777777" w:rsidTr="004978CA">
        <w:trPr>
          <w:trHeight w:val="138"/>
        </w:trPr>
        <w:tc>
          <w:tcPr>
            <w:tcW w:w="2340" w:type="dxa"/>
            <w:tcBorders>
              <w:top w:val="single" w:sz="6" w:space="0" w:color="808080"/>
              <w:left w:val="nil"/>
              <w:bottom w:val="single" w:sz="6" w:space="0" w:color="808080"/>
              <w:right w:val="nil"/>
            </w:tcBorders>
            <w:vAlign w:val="bottom"/>
          </w:tcPr>
          <w:p w14:paraId="40CC4079"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Brisbane</w:t>
            </w:r>
          </w:p>
        </w:tc>
        <w:tc>
          <w:tcPr>
            <w:tcW w:w="1260" w:type="dxa"/>
            <w:tcBorders>
              <w:top w:val="single" w:sz="6" w:space="0" w:color="808080"/>
              <w:left w:val="nil"/>
              <w:bottom w:val="single" w:sz="6" w:space="0" w:color="808080"/>
              <w:right w:val="nil"/>
            </w:tcBorders>
            <w:vAlign w:val="bottom"/>
          </w:tcPr>
          <w:p w14:paraId="76D22C82"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12</w:t>
            </w:r>
          </w:p>
        </w:tc>
        <w:tc>
          <w:tcPr>
            <w:tcW w:w="1440" w:type="dxa"/>
            <w:tcBorders>
              <w:top w:val="single" w:sz="6" w:space="0" w:color="808080"/>
              <w:left w:val="nil"/>
              <w:bottom w:val="single" w:sz="6" w:space="0" w:color="808080"/>
              <w:right w:val="nil"/>
            </w:tcBorders>
            <w:vAlign w:val="bottom"/>
          </w:tcPr>
          <w:p w14:paraId="78026D2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13</w:t>
            </w:r>
          </w:p>
        </w:tc>
        <w:tc>
          <w:tcPr>
            <w:tcW w:w="1440" w:type="dxa"/>
            <w:tcBorders>
              <w:top w:val="single" w:sz="6" w:space="0" w:color="808080"/>
              <w:left w:val="nil"/>
              <w:bottom w:val="single" w:sz="6" w:space="0" w:color="808080"/>
              <w:right w:val="nil"/>
            </w:tcBorders>
            <w:vAlign w:val="bottom"/>
          </w:tcPr>
          <w:p w14:paraId="1022BA81"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13</w:t>
            </w:r>
          </w:p>
        </w:tc>
        <w:tc>
          <w:tcPr>
            <w:tcW w:w="1530" w:type="dxa"/>
            <w:tcBorders>
              <w:top w:val="single" w:sz="6" w:space="0" w:color="808080"/>
              <w:left w:val="nil"/>
              <w:bottom w:val="single" w:sz="6" w:space="0" w:color="808080"/>
              <w:right w:val="nil"/>
            </w:tcBorders>
            <w:vAlign w:val="bottom"/>
          </w:tcPr>
          <w:p w14:paraId="1F599D0A"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15</w:t>
            </w:r>
          </w:p>
        </w:tc>
        <w:tc>
          <w:tcPr>
            <w:tcW w:w="1170" w:type="dxa"/>
            <w:tcBorders>
              <w:top w:val="single" w:sz="6" w:space="0" w:color="808080"/>
              <w:left w:val="nil"/>
              <w:bottom w:val="single" w:sz="6" w:space="0" w:color="808080"/>
              <w:right w:val="nil"/>
            </w:tcBorders>
            <w:vAlign w:val="bottom"/>
          </w:tcPr>
          <w:p w14:paraId="4BEA489F"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30</w:t>
            </w:r>
          </w:p>
        </w:tc>
        <w:tc>
          <w:tcPr>
            <w:tcW w:w="990" w:type="dxa"/>
            <w:tcBorders>
              <w:top w:val="single" w:sz="6" w:space="0" w:color="808080"/>
              <w:left w:val="nil"/>
              <w:bottom w:val="single" w:sz="6" w:space="0" w:color="808080"/>
              <w:right w:val="nil"/>
            </w:tcBorders>
            <w:vAlign w:val="bottom"/>
          </w:tcPr>
          <w:p w14:paraId="75F0DA3E"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83</w:t>
            </w:r>
          </w:p>
        </w:tc>
      </w:tr>
      <w:tr w:rsidR="00BF48B0" w14:paraId="1DE3966D" w14:textId="77777777" w:rsidTr="004978CA">
        <w:trPr>
          <w:trHeight w:val="93"/>
        </w:trPr>
        <w:tc>
          <w:tcPr>
            <w:tcW w:w="2340" w:type="dxa"/>
            <w:tcBorders>
              <w:top w:val="single" w:sz="6" w:space="0" w:color="808080"/>
              <w:left w:val="nil"/>
              <w:bottom w:val="single" w:sz="6" w:space="0" w:color="808080"/>
              <w:right w:val="nil"/>
            </w:tcBorders>
            <w:vAlign w:val="bottom"/>
          </w:tcPr>
          <w:p w14:paraId="52929A02" w14:textId="77777777" w:rsidR="00BD0120" w:rsidRPr="009F7E9D" w:rsidRDefault="00BD0120" w:rsidP="00BF48B0">
            <w:pPr>
              <w:widowControl w:val="0"/>
              <w:autoSpaceDE w:val="0"/>
              <w:autoSpaceDN w:val="0"/>
              <w:adjustRightInd w:val="0"/>
              <w:ind w:left="-108"/>
              <w:rPr>
                <w:rFonts w:cs="Century Gothic"/>
                <w:color w:val="000000"/>
                <w:sz w:val="18"/>
                <w:szCs w:val="18"/>
              </w:rPr>
            </w:pPr>
            <w:r w:rsidRPr="009F7E9D">
              <w:rPr>
                <w:rFonts w:cs="Century Gothic"/>
                <w:color w:val="000000"/>
                <w:sz w:val="18"/>
                <w:szCs w:val="18"/>
              </w:rPr>
              <w:t>Burlingame</w:t>
            </w:r>
          </w:p>
        </w:tc>
        <w:tc>
          <w:tcPr>
            <w:tcW w:w="1260" w:type="dxa"/>
            <w:tcBorders>
              <w:top w:val="single" w:sz="6" w:space="0" w:color="808080"/>
              <w:left w:val="nil"/>
              <w:bottom w:val="single" w:sz="6" w:space="0" w:color="808080"/>
              <w:right w:val="nil"/>
            </w:tcBorders>
            <w:vAlign w:val="bottom"/>
          </w:tcPr>
          <w:p w14:paraId="5D2B242E" w14:textId="77777777" w:rsidR="00BD0120" w:rsidRPr="009F7E9D" w:rsidRDefault="00BD0120" w:rsidP="00BF48B0">
            <w:pPr>
              <w:widowControl w:val="0"/>
              <w:autoSpaceDE w:val="0"/>
              <w:autoSpaceDN w:val="0"/>
              <w:adjustRightInd w:val="0"/>
              <w:jc w:val="right"/>
              <w:rPr>
                <w:rFonts w:cs="Century Gothic"/>
                <w:color w:val="000000"/>
                <w:sz w:val="18"/>
                <w:szCs w:val="18"/>
              </w:rPr>
            </w:pPr>
            <w:r w:rsidRPr="009F7E9D">
              <w:rPr>
                <w:rFonts w:cs="Century Gothic"/>
                <w:color w:val="000000"/>
                <w:sz w:val="18"/>
                <w:szCs w:val="18"/>
              </w:rPr>
              <w:t>138</w:t>
            </w:r>
          </w:p>
        </w:tc>
        <w:tc>
          <w:tcPr>
            <w:tcW w:w="1440" w:type="dxa"/>
            <w:tcBorders>
              <w:top w:val="single" w:sz="6" w:space="0" w:color="808080"/>
              <w:left w:val="nil"/>
              <w:bottom w:val="single" w:sz="6" w:space="0" w:color="808080"/>
              <w:right w:val="nil"/>
            </w:tcBorders>
            <w:vAlign w:val="bottom"/>
          </w:tcPr>
          <w:p w14:paraId="5B17D04D" w14:textId="77777777" w:rsidR="00BD0120" w:rsidRPr="009F7E9D" w:rsidRDefault="00BD0120" w:rsidP="00BF48B0">
            <w:pPr>
              <w:widowControl w:val="0"/>
              <w:autoSpaceDE w:val="0"/>
              <w:autoSpaceDN w:val="0"/>
              <w:adjustRightInd w:val="0"/>
              <w:jc w:val="right"/>
              <w:rPr>
                <w:rFonts w:cs="Century Gothic"/>
                <w:color w:val="000000"/>
                <w:sz w:val="18"/>
                <w:szCs w:val="18"/>
              </w:rPr>
            </w:pPr>
            <w:r w:rsidRPr="009F7E9D">
              <w:rPr>
                <w:rFonts w:cs="Century Gothic"/>
                <w:color w:val="000000"/>
                <w:sz w:val="18"/>
                <w:szCs w:val="18"/>
              </w:rPr>
              <w:t>138</w:t>
            </w:r>
          </w:p>
        </w:tc>
        <w:tc>
          <w:tcPr>
            <w:tcW w:w="1440" w:type="dxa"/>
            <w:tcBorders>
              <w:top w:val="single" w:sz="6" w:space="0" w:color="808080"/>
              <w:left w:val="nil"/>
              <w:bottom w:val="single" w:sz="6" w:space="0" w:color="808080"/>
              <w:right w:val="nil"/>
            </w:tcBorders>
            <w:vAlign w:val="bottom"/>
          </w:tcPr>
          <w:p w14:paraId="3B9F00C6" w14:textId="77777777" w:rsidR="00BD0120" w:rsidRPr="009F7E9D" w:rsidRDefault="00BD0120" w:rsidP="00BF48B0">
            <w:pPr>
              <w:widowControl w:val="0"/>
              <w:autoSpaceDE w:val="0"/>
              <w:autoSpaceDN w:val="0"/>
              <w:adjustRightInd w:val="0"/>
              <w:jc w:val="right"/>
              <w:rPr>
                <w:rFonts w:cs="Century Gothic"/>
                <w:color w:val="000000"/>
                <w:sz w:val="18"/>
                <w:szCs w:val="18"/>
              </w:rPr>
            </w:pPr>
            <w:r w:rsidRPr="009F7E9D">
              <w:rPr>
                <w:rFonts w:cs="Century Gothic"/>
                <w:color w:val="000000"/>
                <w:sz w:val="18"/>
                <w:szCs w:val="18"/>
              </w:rPr>
              <w:t>144</w:t>
            </w:r>
          </w:p>
        </w:tc>
        <w:tc>
          <w:tcPr>
            <w:tcW w:w="1530" w:type="dxa"/>
            <w:tcBorders>
              <w:top w:val="single" w:sz="6" w:space="0" w:color="808080"/>
              <w:left w:val="nil"/>
              <w:bottom w:val="single" w:sz="6" w:space="0" w:color="808080"/>
              <w:right w:val="nil"/>
            </w:tcBorders>
            <w:vAlign w:val="bottom"/>
          </w:tcPr>
          <w:p w14:paraId="5DED8DDC" w14:textId="77777777" w:rsidR="00BD0120" w:rsidRPr="009F7E9D" w:rsidRDefault="00BD0120" w:rsidP="00BF48B0">
            <w:pPr>
              <w:widowControl w:val="0"/>
              <w:autoSpaceDE w:val="0"/>
              <w:autoSpaceDN w:val="0"/>
              <w:adjustRightInd w:val="0"/>
              <w:jc w:val="right"/>
              <w:rPr>
                <w:rFonts w:cs="Century Gothic"/>
                <w:color w:val="000000"/>
                <w:sz w:val="18"/>
                <w:szCs w:val="18"/>
              </w:rPr>
            </w:pPr>
            <w:r w:rsidRPr="009F7E9D">
              <w:rPr>
                <w:rFonts w:cs="Century Gothic"/>
                <w:color w:val="000000"/>
                <w:sz w:val="18"/>
                <w:szCs w:val="18"/>
              </w:rPr>
              <w:t>155</w:t>
            </w:r>
          </w:p>
        </w:tc>
        <w:tc>
          <w:tcPr>
            <w:tcW w:w="1170" w:type="dxa"/>
            <w:tcBorders>
              <w:top w:val="single" w:sz="6" w:space="0" w:color="808080"/>
              <w:left w:val="nil"/>
              <w:bottom w:val="single" w:sz="6" w:space="0" w:color="808080"/>
              <w:right w:val="nil"/>
            </w:tcBorders>
            <w:vAlign w:val="bottom"/>
          </w:tcPr>
          <w:p w14:paraId="7D681A45" w14:textId="77777777" w:rsidR="00BD0120" w:rsidRPr="009F7E9D" w:rsidRDefault="00BD0120" w:rsidP="00BF48B0">
            <w:pPr>
              <w:widowControl w:val="0"/>
              <w:autoSpaceDE w:val="0"/>
              <w:autoSpaceDN w:val="0"/>
              <w:adjustRightInd w:val="0"/>
              <w:jc w:val="right"/>
              <w:rPr>
                <w:rFonts w:cs="Century Gothic"/>
                <w:color w:val="000000"/>
                <w:sz w:val="18"/>
                <w:szCs w:val="18"/>
              </w:rPr>
            </w:pPr>
            <w:r w:rsidRPr="009F7E9D">
              <w:rPr>
                <w:rFonts w:cs="Century Gothic"/>
                <w:color w:val="000000"/>
                <w:sz w:val="18"/>
                <w:szCs w:val="18"/>
              </w:rPr>
              <w:t>288</w:t>
            </w:r>
          </w:p>
        </w:tc>
        <w:tc>
          <w:tcPr>
            <w:tcW w:w="990" w:type="dxa"/>
            <w:tcBorders>
              <w:top w:val="single" w:sz="6" w:space="0" w:color="808080"/>
              <w:left w:val="nil"/>
              <w:bottom w:val="single" w:sz="6" w:space="0" w:color="808080"/>
              <w:right w:val="nil"/>
            </w:tcBorders>
            <w:vAlign w:val="bottom"/>
          </w:tcPr>
          <w:p w14:paraId="1DC4B1BE" w14:textId="77777777" w:rsidR="00BD0120" w:rsidRPr="009F7E9D" w:rsidRDefault="00BD0120" w:rsidP="00BF48B0">
            <w:pPr>
              <w:widowControl w:val="0"/>
              <w:autoSpaceDE w:val="0"/>
              <w:autoSpaceDN w:val="0"/>
              <w:adjustRightInd w:val="0"/>
              <w:ind w:right="-108"/>
              <w:jc w:val="right"/>
              <w:rPr>
                <w:rFonts w:cs="Century Gothic"/>
                <w:color w:val="000000"/>
                <w:sz w:val="18"/>
                <w:szCs w:val="18"/>
              </w:rPr>
            </w:pPr>
            <w:r w:rsidRPr="009F7E9D">
              <w:rPr>
                <w:rFonts w:cs="Century Gothic"/>
                <w:color w:val="000000"/>
                <w:sz w:val="18"/>
                <w:szCs w:val="18"/>
              </w:rPr>
              <w:t>863</w:t>
            </w:r>
          </w:p>
        </w:tc>
      </w:tr>
      <w:tr w:rsidR="00BF48B0" w:rsidRPr="00B91736" w14:paraId="2230ABE3" w14:textId="77777777" w:rsidTr="004978CA">
        <w:trPr>
          <w:trHeight w:val="138"/>
        </w:trPr>
        <w:tc>
          <w:tcPr>
            <w:tcW w:w="2340" w:type="dxa"/>
            <w:tcBorders>
              <w:top w:val="single" w:sz="6" w:space="0" w:color="808080"/>
              <w:left w:val="nil"/>
              <w:bottom w:val="single" w:sz="6" w:space="0" w:color="808080"/>
              <w:right w:val="nil"/>
            </w:tcBorders>
            <w:vAlign w:val="bottom"/>
          </w:tcPr>
          <w:p w14:paraId="3F0E8341" w14:textId="5CB98EF1" w:rsidR="00BD0120" w:rsidRPr="00B91736" w:rsidRDefault="00B91736" w:rsidP="00BF48B0">
            <w:pPr>
              <w:widowControl w:val="0"/>
              <w:autoSpaceDE w:val="0"/>
              <w:autoSpaceDN w:val="0"/>
              <w:adjustRightInd w:val="0"/>
              <w:ind w:left="-108"/>
              <w:rPr>
                <w:rFonts w:cs="Century Gothic"/>
                <w:color w:val="000000"/>
                <w:sz w:val="18"/>
                <w:szCs w:val="18"/>
              </w:rPr>
            </w:pPr>
            <w:r w:rsidRPr="00B91736">
              <w:rPr>
                <w:rFonts w:cs="Century Gothic"/>
                <w:color w:val="000000"/>
                <w:sz w:val="18"/>
                <w:szCs w:val="18"/>
              </w:rPr>
              <w:t>Colma</w:t>
            </w:r>
          </w:p>
        </w:tc>
        <w:tc>
          <w:tcPr>
            <w:tcW w:w="1260" w:type="dxa"/>
            <w:tcBorders>
              <w:top w:val="single" w:sz="6" w:space="0" w:color="808080"/>
              <w:left w:val="nil"/>
              <w:bottom w:val="single" w:sz="6" w:space="0" w:color="808080"/>
              <w:right w:val="nil"/>
            </w:tcBorders>
            <w:vAlign w:val="bottom"/>
          </w:tcPr>
          <w:p w14:paraId="2ACE1C2C" w14:textId="77777777" w:rsidR="00BD0120" w:rsidRPr="00B91736" w:rsidRDefault="00BD0120" w:rsidP="00BF48B0">
            <w:pPr>
              <w:widowControl w:val="0"/>
              <w:autoSpaceDE w:val="0"/>
              <w:autoSpaceDN w:val="0"/>
              <w:adjustRightInd w:val="0"/>
              <w:jc w:val="right"/>
              <w:rPr>
                <w:rFonts w:cs="Century Gothic"/>
                <w:color w:val="000000"/>
                <w:sz w:val="18"/>
                <w:szCs w:val="18"/>
              </w:rPr>
            </w:pPr>
            <w:r w:rsidRPr="00B91736">
              <w:rPr>
                <w:rFonts w:cs="Century Gothic"/>
                <w:color w:val="000000"/>
                <w:sz w:val="18"/>
                <w:szCs w:val="18"/>
              </w:rPr>
              <w:t>10</w:t>
            </w:r>
          </w:p>
        </w:tc>
        <w:tc>
          <w:tcPr>
            <w:tcW w:w="1440" w:type="dxa"/>
            <w:tcBorders>
              <w:top w:val="single" w:sz="6" w:space="0" w:color="808080"/>
              <w:left w:val="nil"/>
              <w:bottom w:val="single" w:sz="6" w:space="0" w:color="808080"/>
              <w:right w:val="nil"/>
            </w:tcBorders>
            <w:vAlign w:val="bottom"/>
          </w:tcPr>
          <w:p w14:paraId="401B895E" w14:textId="77777777" w:rsidR="00BD0120" w:rsidRPr="00B91736" w:rsidRDefault="00BD0120" w:rsidP="00BF48B0">
            <w:pPr>
              <w:widowControl w:val="0"/>
              <w:autoSpaceDE w:val="0"/>
              <w:autoSpaceDN w:val="0"/>
              <w:adjustRightInd w:val="0"/>
              <w:jc w:val="right"/>
              <w:rPr>
                <w:rFonts w:cs="Century Gothic"/>
                <w:color w:val="000000"/>
                <w:sz w:val="18"/>
                <w:szCs w:val="18"/>
              </w:rPr>
            </w:pPr>
            <w:r w:rsidRPr="00B91736">
              <w:rPr>
                <w:rFonts w:cs="Century Gothic"/>
                <w:color w:val="000000"/>
                <w:sz w:val="18"/>
                <w:szCs w:val="18"/>
              </w:rPr>
              <w:t>10</w:t>
            </w:r>
          </w:p>
        </w:tc>
        <w:tc>
          <w:tcPr>
            <w:tcW w:w="1440" w:type="dxa"/>
            <w:tcBorders>
              <w:top w:val="single" w:sz="6" w:space="0" w:color="808080"/>
              <w:left w:val="nil"/>
              <w:bottom w:val="single" w:sz="6" w:space="0" w:color="808080"/>
              <w:right w:val="nil"/>
            </w:tcBorders>
            <w:vAlign w:val="bottom"/>
          </w:tcPr>
          <w:p w14:paraId="7B71BCA0" w14:textId="77777777" w:rsidR="00BD0120" w:rsidRPr="00B91736" w:rsidRDefault="00BD0120" w:rsidP="00BF48B0">
            <w:pPr>
              <w:widowControl w:val="0"/>
              <w:autoSpaceDE w:val="0"/>
              <w:autoSpaceDN w:val="0"/>
              <w:adjustRightInd w:val="0"/>
              <w:jc w:val="right"/>
              <w:rPr>
                <w:rFonts w:cs="Century Gothic"/>
                <w:color w:val="000000"/>
                <w:sz w:val="18"/>
                <w:szCs w:val="18"/>
              </w:rPr>
            </w:pPr>
            <w:r w:rsidRPr="00B91736">
              <w:rPr>
                <w:rFonts w:cs="Century Gothic"/>
                <w:color w:val="000000"/>
                <w:sz w:val="18"/>
                <w:szCs w:val="18"/>
              </w:rPr>
              <w:t>8</w:t>
            </w:r>
          </w:p>
        </w:tc>
        <w:tc>
          <w:tcPr>
            <w:tcW w:w="1530" w:type="dxa"/>
            <w:tcBorders>
              <w:top w:val="single" w:sz="6" w:space="0" w:color="808080"/>
              <w:left w:val="nil"/>
              <w:bottom w:val="single" w:sz="6" w:space="0" w:color="808080"/>
              <w:right w:val="nil"/>
            </w:tcBorders>
            <w:vAlign w:val="bottom"/>
          </w:tcPr>
          <w:p w14:paraId="555E5264" w14:textId="77777777" w:rsidR="00BD0120" w:rsidRPr="00B91736" w:rsidRDefault="00BD0120" w:rsidP="00BF48B0">
            <w:pPr>
              <w:widowControl w:val="0"/>
              <w:autoSpaceDE w:val="0"/>
              <w:autoSpaceDN w:val="0"/>
              <w:adjustRightInd w:val="0"/>
              <w:jc w:val="right"/>
              <w:rPr>
                <w:rFonts w:cs="Century Gothic"/>
                <w:color w:val="000000"/>
                <w:sz w:val="18"/>
                <w:szCs w:val="18"/>
              </w:rPr>
            </w:pPr>
            <w:r w:rsidRPr="00B91736">
              <w:rPr>
                <w:rFonts w:cs="Century Gothic"/>
                <w:color w:val="000000"/>
                <w:sz w:val="18"/>
                <w:szCs w:val="18"/>
              </w:rPr>
              <w:t>9</w:t>
            </w:r>
          </w:p>
        </w:tc>
        <w:tc>
          <w:tcPr>
            <w:tcW w:w="1170" w:type="dxa"/>
            <w:tcBorders>
              <w:top w:val="single" w:sz="6" w:space="0" w:color="808080"/>
              <w:left w:val="nil"/>
              <w:bottom w:val="single" w:sz="6" w:space="0" w:color="808080"/>
              <w:right w:val="nil"/>
            </w:tcBorders>
            <w:vAlign w:val="bottom"/>
          </w:tcPr>
          <w:p w14:paraId="1E8BA15E" w14:textId="77777777" w:rsidR="00BD0120" w:rsidRPr="00B91736" w:rsidRDefault="00BD0120" w:rsidP="00BF48B0">
            <w:pPr>
              <w:widowControl w:val="0"/>
              <w:autoSpaceDE w:val="0"/>
              <w:autoSpaceDN w:val="0"/>
              <w:adjustRightInd w:val="0"/>
              <w:jc w:val="right"/>
              <w:rPr>
                <w:rFonts w:cs="Century Gothic"/>
                <w:color w:val="000000"/>
                <w:sz w:val="18"/>
                <w:szCs w:val="18"/>
              </w:rPr>
            </w:pPr>
            <w:r w:rsidRPr="00B91736">
              <w:rPr>
                <w:rFonts w:cs="Century Gothic"/>
                <w:color w:val="000000"/>
                <w:sz w:val="18"/>
                <w:szCs w:val="18"/>
              </w:rPr>
              <w:t>22</w:t>
            </w:r>
          </w:p>
        </w:tc>
        <w:tc>
          <w:tcPr>
            <w:tcW w:w="990" w:type="dxa"/>
            <w:tcBorders>
              <w:top w:val="single" w:sz="6" w:space="0" w:color="808080"/>
              <w:left w:val="nil"/>
              <w:bottom w:val="single" w:sz="6" w:space="0" w:color="808080"/>
              <w:right w:val="nil"/>
            </w:tcBorders>
            <w:vAlign w:val="bottom"/>
          </w:tcPr>
          <w:p w14:paraId="6DBA6139" w14:textId="77777777" w:rsidR="00BD0120" w:rsidRPr="00B91736" w:rsidRDefault="00BD0120" w:rsidP="00BF48B0">
            <w:pPr>
              <w:widowControl w:val="0"/>
              <w:autoSpaceDE w:val="0"/>
              <w:autoSpaceDN w:val="0"/>
              <w:adjustRightInd w:val="0"/>
              <w:ind w:right="-108"/>
              <w:jc w:val="right"/>
              <w:rPr>
                <w:rFonts w:cs="Century Gothic"/>
                <w:color w:val="000000"/>
                <w:sz w:val="18"/>
                <w:szCs w:val="18"/>
              </w:rPr>
            </w:pPr>
            <w:r w:rsidRPr="00B91736">
              <w:rPr>
                <w:rFonts w:cs="Century Gothic"/>
                <w:color w:val="000000"/>
                <w:sz w:val="18"/>
                <w:szCs w:val="18"/>
              </w:rPr>
              <w:t>59</w:t>
            </w:r>
          </w:p>
        </w:tc>
      </w:tr>
      <w:tr w:rsidR="00BF48B0" w14:paraId="0856AAE7" w14:textId="77777777" w:rsidTr="004978CA">
        <w:trPr>
          <w:trHeight w:val="183"/>
        </w:trPr>
        <w:tc>
          <w:tcPr>
            <w:tcW w:w="2340" w:type="dxa"/>
            <w:tcBorders>
              <w:top w:val="single" w:sz="6" w:space="0" w:color="808080"/>
              <w:left w:val="nil"/>
              <w:bottom w:val="single" w:sz="6" w:space="0" w:color="808080"/>
              <w:right w:val="nil"/>
            </w:tcBorders>
            <w:vAlign w:val="bottom"/>
          </w:tcPr>
          <w:p w14:paraId="403EF7C2"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Daly City</w:t>
            </w:r>
          </w:p>
        </w:tc>
        <w:tc>
          <w:tcPr>
            <w:tcW w:w="1260" w:type="dxa"/>
            <w:tcBorders>
              <w:top w:val="single" w:sz="6" w:space="0" w:color="808080"/>
              <w:left w:val="nil"/>
              <w:bottom w:val="single" w:sz="6" w:space="0" w:color="808080"/>
              <w:right w:val="nil"/>
            </w:tcBorders>
            <w:vAlign w:val="bottom"/>
          </w:tcPr>
          <w:p w14:paraId="4AB3B49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200</w:t>
            </w:r>
          </w:p>
        </w:tc>
        <w:tc>
          <w:tcPr>
            <w:tcW w:w="1440" w:type="dxa"/>
            <w:tcBorders>
              <w:top w:val="single" w:sz="6" w:space="0" w:color="808080"/>
              <w:left w:val="nil"/>
              <w:bottom w:val="single" w:sz="6" w:space="0" w:color="808080"/>
              <w:right w:val="nil"/>
            </w:tcBorders>
            <w:vAlign w:val="bottom"/>
          </w:tcPr>
          <w:p w14:paraId="6B23693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200</w:t>
            </w:r>
          </w:p>
        </w:tc>
        <w:tc>
          <w:tcPr>
            <w:tcW w:w="1440" w:type="dxa"/>
            <w:tcBorders>
              <w:top w:val="single" w:sz="6" w:space="0" w:color="808080"/>
              <w:left w:val="nil"/>
              <w:bottom w:val="single" w:sz="6" w:space="0" w:color="808080"/>
              <w:right w:val="nil"/>
            </w:tcBorders>
            <w:vAlign w:val="bottom"/>
          </w:tcPr>
          <w:p w14:paraId="4887EF1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188</w:t>
            </w:r>
          </w:p>
        </w:tc>
        <w:tc>
          <w:tcPr>
            <w:tcW w:w="1530" w:type="dxa"/>
            <w:tcBorders>
              <w:top w:val="single" w:sz="6" w:space="0" w:color="808080"/>
              <w:left w:val="nil"/>
              <w:bottom w:val="single" w:sz="6" w:space="0" w:color="808080"/>
              <w:right w:val="nil"/>
            </w:tcBorders>
            <w:vAlign w:val="bottom"/>
          </w:tcPr>
          <w:p w14:paraId="21ED3C3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221</w:t>
            </w:r>
          </w:p>
        </w:tc>
        <w:tc>
          <w:tcPr>
            <w:tcW w:w="1170" w:type="dxa"/>
            <w:tcBorders>
              <w:top w:val="single" w:sz="6" w:space="0" w:color="808080"/>
              <w:left w:val="nil"/>
              <w:bottom w:val="single" w:sz="6" w:space="0" w:color="808080"/>
              <w:right w:val="nil"/>
            </w:tcBorders>
            <w:vAlign w:val="bottom"/>
          </w:tcPr>
          <w:p w14:paraId="252C26E2"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541</w:t>
            </w:r>
          </w:p>
        </w:tc>
        <w:tc>
          <w:tcPr>
            <w:tcW w:w="990" w:type="dxa"/>
            <w:tcBorders>
              <w:top w:val="single" w:sz="6" w:space="0" w:color="808080"/>
              <w:left w:val="nil"/>
              <w:bottom w:val="single" w:sz="6" w:space="0" w:color="808080"/>
              <w:right w:val="nil"/>
            </w:tcBorders>
            <w:vAlign w:val="bottom"/>
          </w:tcPr>
          <w:p w14:paraId="29DC6D37"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1,350</w:t>
            </w:r>
          </w:p>
        </w:tc>
      </w:tr>
      <w:tr w:rsidR="00BF48B0" w14:paraId="332B2E2C" w14:textId="77777777" w:rsidTr="004978CA">
        <w:trPr>
          <w:trHeight w:val="138"/>
        </w:trPr>
        <w:tc>
          <w:tcPr>
            <w:tcW w:w="2340" w:type="dxa"/>
            <w:tcBorders>
              <w:top w:val="single" w:sz="6" w:space="0" w:color="808080"/>
              <w:left w:val="nil"/>
              <w:bottom w:val="single" w:sz="6" w:space="0" w:color="808080"/>
              <w:right w:val="nil"/>
            </w:tcBorders>
            <w:vAlign w:val="bottom"/>
          </w:tcPr>
          <w:p w14:paraId="7FE7242D" w14:textId="77777777" w:rsidR="00BD0120" w:rsidRPr="00D03A64" w:rsidRDefault="00BD0120" w:rsidP="00BF48B0">
            <w:pPr>
              <w:widowControl w:val="0"/>
              <w:autoSpaceDE w:val="0"/>
              <w:autoSpaceDN w:val="0"/>
              <w:adjustRightInd w:val="0"/>
              <w:ind w:left="-108"/>
              <w:rPr>
                <w:rFonts w:cs="Century Gothic"/>
                <w:color w:val="000000"/>
                <w:sz w:val="18"/>
                <w:szCs w:val="18"/>
              </w:rPr>
            </w:pPr>
            <w:r w:rsidRPr="00D03A64">
              <w:rPr>
                <w:rFonts w:cs="Century Gothic"/>
                <w:color w:val="000000"/>
                <w:sz w:val="18"/>
                <w:szCs w:val="18"/>
              </w:rPr>
              <w:t>East Palo Alto</w:t>
            </w:r>
          </w:p>
        </w:tc>
        <w:tc>
          <w:tcPr>
            <w:tcW w:w="1260" w:type="dxa"/>
            <w:tcBorders>
              <w:top w:val="single" w:sz="6" w:space="0" w:color="808080"/>
              <w:left w:val="nil"/>
              <w:bottom w:val="single" w:sz="6" w:space="0" w:color="808080"/>
              <w:right w:val="nil"/>
            </w:tcBorders>
            <w:vAlign w:val="bottom"/>
          </w:tcPr>
          <w:p w14:paraId="6163BE64" w14:textId="77777777" w:rsidR="00BD0120" w:rsidRPr="00D03A64" w:rsidRDefault="00BD0120" w:rsidP="00BF48B0">
            <w:pPr>
              <w:widowControl w:val="0"/>
              <w:autoSpaceDE w:val="0"/>
              <w:autoSpaceDN w:val="0"/>
              <w:adjustRightInd w:val="0"/>
              <w:jc w:val="right"/>
              <w:rPr>
                <w:rFonts w:cs="Century Gothic"/>
                <w:color w:val="000000"/>
                <w:sz w:val="18"/>
                <w:szCs w:val="18"/>
              </w:rPr>
            </w:pPr>
            <w:r w:rsidRPr="00D03A64">
              <w:rPr>
                <w:rFonts w:cs="Century Gothic"/>
                <w:color w:val="000000"/>
                <w:sz w:val="18"/>
                <w:szCs w:val="18"/>
              </w:rPr>
              <w:t>32</w:t>
            </w:r>
          </w:p>
        </w:tc>
        <w:tc>
          <w:tcPr>
            <w:tcW w:w="1440" w:type="dxa"/>
            <w:tcBorders>
              <w:top w:val="single" w:sz="6" w:space="0" w:color="808080"/>
              <w:left w:val="nil"/>
              <w:bottom w:val="single" w:sz="6" w:space="0" w:color="808080"/>
              <w:right w:val="nil"/>
            </w:tcBorders>
            <w:vAlign w:val="bottom"/>
          </w:tcPr>
          <w:p w14:paraId="4A8BFFD5" w14:textId="77777777" w:rsidR="00BD0120" w:rsidRPr="00D03A64" w:rsidRDefault="00BD0120" w:rsidP="00BF48B0">
            <w:pPr>
              <w:widowControl w:val="0"/>
              <w:autoSpaceDE w:val="0"/>
              <w:autoSpaceDN w:val="0"/>
              <w:adjustRightInd w:val="0"/>
              <w:jc w:val="right"/>
              <w:rPr>
                <w:rFonts w:cs="Century Gothic"/>
                <w:color w:val="000000"/>
                <w:sz w:val="18"/>
                <w:szCs w:val="18"/>
              </w:rPr>
            </w:pPr>
            <w:r w:rsidRPr="00D03A64">
              <w:rPr>
                <w:rFonts w:cs="Century Gothic"/>
                <w:color w:val="000000"/>
                <w:sz w:val="18"/>
                <w:szCs w:val="18"/>
              </w:rPr>
              <w:t>32</w:t>
            </w:r>
          </w:p>
        </w:tc>
        <w:tc>
          <w:tcPr>
            <w:tcW w:w="1440" w:type="dxa"/>
            <w:tcBorders>
              <w:top w:val="single" w:sz="6" w:space="0" w:color="808080"/>
              <w:left w:val="nil"/>
              <w:bottom w:val="single" w:sz="6" w:space="0" w:color="808080"/>
              <w:right w:val="nil"/>
            </w:tcBorders>
            <w:vAlign w:val="bottom"/>
          </w:tcPr>
          <w:p w14:paraId="77E271BB" w14:textId="77777777" w:rsidR="00BD0120" w:rsidRPr="00D03A64" w:rsidRDefault="00BD0120" w:rsidP="00BF48B0">
            <w:pPr>
              <w:widowControl w:val="0"/>
              <w:autoSpaceDE w:val="0"/>
              <w:autoSpaceDN w:val="0"/>
              <w:adjustRightInd w:val="0"/>
              <w:jc w:val="right"/>
              <w:rPr>
                <w:rFonts w:cs="Century Gothic"/>
                <w:color w:val="000000"/>
                <w:sz w:val="18"/>
                <w:szCs w:val="18"/>
              </w:rPr>
            </w:pPr>
            <w:r w:rsidRPr="00D03A64">
              <w:rPr>
                <w:rFonts w:cs="Century Gothic"/>
                <w:color w:val="000000"/>
                <w:sz w:val="18"/>
                <w:szCs w:val="18"/>
              </w:rPr>
              <w:t>54</w:t>
            </w:r>
          </w:p>
        </w:tc>
        <w:tc>
          <w:tcPr>
            <w:tcW w:w="1530" w:type="dxa"/>
            <w:tcBorders>
              <w:top w:val="single" w:sz="6" w:space="0" w:color="808080"/>
              <w:left w:val="nil"/>
              <w:bottom w:val="single" w:sz="6" w:space="0" w:color="808080"/>
              <w:right w:val="nil"/>
            </w:tcBorders>
            <w:vAlign w:val="bottom"/>
          </w:tcPr>
          <w:p w14:paraId="45320D97" w14:textId="77777777" w:rsidR="00BD0120" w:rsidRPr="00D03A64" w:rsidRDefault="00BD0120" w:rsidP="00BF48B0">
            <w:pPr>
              <w:widowControl w:val="0"/>
              <w:autoSpaceDE w:val="0"/>
              <w:autoSpaceDN w:val="0"/>
              <w:adjustRightInd w:val="0"/>
              <w:jc w:val="right"/>
              <w:rPr>
                <w:rFonts w:cs="Century Gothic"/>
                <w:color w:val="000000"/>
                <w:sz w:val="18"/>
                <w:szCs w:val="18"/>
              </w:rPr>
            </w:pPr>
            <w:r w:rsidRPr="00D03A64">
              <w:rPr>
                <w:rFonts w:cs="Century Gothic"/>
                <w:color w:val="000000"/>
                <w:sz w:val="18"/>
                <w:szCs w:val="18"/>
              </w:rPr>
              <w:t>83</w:t>
            </w:r>
          </w:p>
        </w:tc>
        <w:tc>
          <w:tcPr>
            <w:tcW w:w="1170" w:type="dxa"/>
            <w:tcBorders>
              <w:top w:val="single" w:sz="6" w:space="0" w:color="808080"/>
              <w:left w:val="nil"/>
              <w:bottom w:val="single" w:sz="6" w:space="0" w:color="808080"/>
              <w:right w:val="nil"/>
            </w:tcBorders>
            <w:vAlign w:val="bottom"/>
          </w:tcPr>
          <w:p w14:paraId="2C404109" w14:textId="77777777" w:rsidR="00BD0120" w:rsidRPr="00D03A64" w:rsidRDefault="00BD0120" w:rsidP="00BF48B0">
            <w:pPr>
              <w:widowControl w:val="0"/>
              <w:autoSpaceDE w:val="0"/>
              <w:autoSpaceDN w:val="0"/>
              <w:adjustRightInd w:val="0"/>
              <w:jc w:val="right"/>
              <w:rPr>
                <w:rFonts w:cs="Century Gothic"/>
                <w:color w:val="000000"/>
                <w:sz w:val="18"/>
                <w:szCs w:val="18"/>
              </w:rPr>
            </w:pPr>
            <w:r w:rsidRPr="00D03A64">
              <w:rPr>
                <w:rFonts w:cs="Century Gothic"/>
                <w:color w:val="000000"/>
                <w:sz w:val="18"/>
                <w:szCs w:val="18"/>
              </w:rPr>
              <w:t>266</w:t>
            </w:r>
          </w:p>
        </w:tc>
        <w:tc>
          <w:tcPr>
            <w:tcW w:w="990" w:type="dxa"/>
            <w:tcBorders>
              <w:top w:val="single" w:sz="6" w:space="0" w:color="808080"/>
              <w:left w:val="nil"/>
              <w:bottom w:val="single" w:sz="6" w:space="0" w:color="808080"/>
              <w:right w:val="nil"/>
            </w:tcBorders>
            <w:vAlign w:val="bottom"/>
          </w:tcPr>
          <w:p w14:paraId="380BAE51" w14:textId="77777777" w:rsidR="00BD0120" w:rsidRPr="00D03A64" w:rsidRDefault="00BD0120" w:rsidP="00BF48B0">
            <w:pPr>
              <w:widowControl w:val="0"/>
              <w:autoSpaceDE w:val="0"/>
              <w:autoSpaceDN w:val="0"/>
              <w:adjustRightInd w:val="0"/>
              <w:ind w:right="-108"/>
              <w:jc w:val="right"/>
              <w:rPr>
                <w:rFonts w:cs="Century Gothic"/>
                <w:color w:val="000000"/>
                <w:sz w:val="18"/>
                <w:szCs w:val="18"/>
              </w:rPr>
            </w:pPr>
            <w:r w:rsidRPr="00D03A64">
              <w:rPr>
                <w:rFonts w:cs="Century Gothic"/>
                <w:color w:val="000000"/>
                <w:sz w:val="18"/>
                <w:szCs w:val="18"/>
              </w:rPr>
              <w:t>467</w:t>
            </w:r>
          </w:p>
        </w:tc>
      </w:tr>
      <w:tr w:rsidR="00BF48B0" w14:paraId="01FB2BB9" w14:textId="77777777" w:rsidTr="004978CA">
        <w:trPr>
          <w:trHeight w:val="93"/>
        </w:trPr>
        <w:tc>
          <w:tcPr>
            <w:tcW w:w="2340" w:type="dxa"/>
            <w:tcBorders>
              <w:top w:val="single" w:sz="6" w:space="0" w:color="808080"/>
              <w:left w:val="nil"/>
              <w:bottom w:val="single" w:sz="6" w:space="0" w:color="808080"/>
              <w:right w:val="nil"/>
            </w:tcBorders>
            <w:vAlign w:val="bottom"/>
          </w:tcPr>
          <w:p w14:paraId="1A97122C"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Foster City</w:t>
            </w:r>
          </w:p>
        </w:tc>
        <w:tc>
          <w:tcPr>
            <w:tcW w:w="1260" w:type="dxa"/>
            <w:tcBorders>
              <w:top w:val="single" w:sz="6" w:space="0" w:color="808080"/>
              <w:left w:val="nil"/>
              <w:bottom w:val="single" w:sz="6" w:space="0" w:color="808080"/>
              <w:right w:val="nil"/>
            </w:tcBorders>
            <w:vAlign w:val="bottom"/>
          </w:tcPr>
          <w:p w14:paraId="30A0E0B3"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74</w:t>
            </w:r>
          </w:p>
        </w:tc>
        <w:tc>
          <w:tcPr>
            <w:tcW w:w="1440" w:type="dxa"/>
            <w:tcBorders>
              <w:top w:val="single" w:sz="6" w:space="0" w:color="808080"/>
              <w:left w:val="nil"/>
              <w:bottom w:val="single" w:sz="6" w:space="0" w:color="808080"/>
              <w:right w:val="nil"/>
            </w:tcBorders>
            <w:vAlign w:val="bottom"/>
          </w:tcPr>
          <w:p w14:paraId="26D90E2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74</w:t>
            </w:r>
          </w:p>
        </w:tc>
        <w:tc>
          <w:tcPr>
            <w:tcW w:w="1440" w:type="dxa"/>
            <w:tcBorders>
              <w:top w:val="single" w:sz="6" w:space="0" w:color="808080"/>
              <w:left w:val="nil"/>
              <w:bottom w:val="single" w:sz="6" w:space="0" w:color="808080"/>
              <w:right w:val="nil"/>
            </w:tcBorders>
            <w:vAlign w:val="bottom"/>
          </w:tcPr>
          <w:p w14:paraId="7000501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87</w:t>
            </w:r>
          </w:p>
        </w:tc>
        <w:tc>
          <w:tcPr>
            <w:tcW w:w="1530" w:type="dxa"/>
            <w:tcBorders>
              <w:top w:val="single" w:sz="6" w:space="0" w:color="808080"/>
              <w:left w:val="nil"/>
              <w:bottom w:val="single" w:sz="6" w:space="0" w:color="808080"/>
              <w:right w:val="nil"/>
            </w:tcBorders>
            <w:vAlign w:val="bottom"/>
          </w:tcPr>
          <w:p w14:paraId="570E9552"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76</w:t>
            </w:r>
          </w:p>
        </w:tc>
        <w:tc>
          <w:tcPr>
            <w:tcW w:w="1170" w:type="dxa"/>
            <w:tcBorders>
              <w:top w:val="single" w:sz="6" w:space="0" w:color="808080"/>
              <w:left w:val="nil"/>
              <w:bottom w:val="single" w:sz="6" w:space="0" w:color="808080"/>
              <w:right w:val="nil"/>
            </w:tcBorders>
            <w:vAlign w:val="bottom"/>
          </w:tcPr>
          <w:p w14:paraId="65833F88"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119</w:t>
            </w:r>
          </w:p>
        </w:tc>
        <w:tc>
          <w:tcPr>
            <w:tcW w:w="990" w:type="dxa"/>
            <w:tcBorders>
              <w:top w:val="single" w:sz="6" w:space="0" w:color="808080"/>
              <w:left w:val="nil"/>
              <w:bottom w:val="single" w:sz="6" w:space="0" w:color="808080"/>
              <w:right w:val="nil"/>
            </w:tcBorders>
            <w:vAlign w:val="bottom"/>
          </w:tcPr>
          <w:p w14:paraId="77292EF4"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430</w:t>
            </w:r>
          </w:p>
        </w:tc>
      </w:tr>
      <w:tr w:rsidR="00BF48B0" w14:paraId="2791D8DC" w14:textId="77777777" w:rsidTr="004978CA">
        <w:trPr>
          <w:trHeight w:val="138"/>
        </w:trPr>
        <w:tc>
          <w:tcPr>
            <w:tcW w:w="2340" w:type="dxa"/>
            <w:tcBorders>
              <w:top w:val="single" w:sz="6" w:space="0" w:color="808080"/>
              <w:left w:val="nil"/>
              <w:bottom w:val="single" w:sz="6" w:space="0" w:color="808080"/>
              <w:right w:val="nil"/>
            </w:tcBorders>
            <w:vAlign w:val="bottom"/>
          </w:tcPr>
          <w:p w14:paraId="1BC90D09"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Half Moon Bay</w:t>
            </w:r>
          </w:p>
        </w:tc>
        <w:tc>
          <w:tcPr>
            <w:tcW w:w="1260" w:type="dxa"/>
            <w:tcBorders>
              <w:top w:val="single" w:sz="6" w:space="0" w:color="808080"/>
              <w:left w:val="nil"/>
              <w:bottom w:val="single" w:sz="6" w:space="0" w:color="808080"/>
              <w:right w:val="nil"/>
            </w:tcBorders>
            <w:vAlign w:val="bottom"/>
          </w:tcPr>
          <w:p w14:paraId="0B05C7ED"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26</w:t>
            </w:r>
          </w:p>
        </w:tc>
        <w:tc>
          <w:tcPr>
            <w:tcW w:w="1440" w:type="dxa"/>
            <w:tcBorders>
              <w:top w:val="single" w:sz="6" w:space="0" w:color="808080"/>
              <w:left w:val="nil"/>
              <w:bottom w:val="single" w:sz="6" w:space="0" w:color="808080"/>
              <w:right w:val="nil"/>
            </w:tcBorders>
            <w:vAlign w:val="bottom"/>
          </w:tcPr>
          <w:p w14:paraId="77D3754F"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26</w:t>
            </w:r>
          </w:p>
        </w:tc>
        <w:tc>
          <w:tcPr>
            <w:tcW w:w="1440" w:type="dxa"/>
            <w:tcBorders>
              <w:top w:val="single" w:sz="6" w:space="0" w:color="808080"/>
              <w:left w:val="nil"/>
              <w:bottom w:val="single" w:sz="6" w:space="0" w:color="808080"/>
              <w:right w:val="nil"/>
            </w:tcBorders>
            <w:vAlign w:val="bottom"/>
          </w:tcPr>
          <w:p w14:paraId="064849F8"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31</w:t>
            </w:r>
          </w:p>
        </w:tc>
        <w:tc>
          <w:tcPr>
            <w:tcW w:w="1530" w:type="dxa"/>
            <w:tcBorders>
              <w:top w:val="single" w:sz="6" w:space="0" w:color="808080"/>
              <w:left w:val="nil"/>
              <w:bottom w:val="single" w:sz="6" w:space="0" w:color="808080"/>
              <w:right w:val="nil"/>
            </w:tcBorders>
            <w:vAlign w:val="bottom"/>
          </w:tcPr>
          <w:p w14:paraId="1E4A62B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36</w:t>
            </w:r>
          </w:p>
        </w:tc>
        <w:tc>
          <w:tcPr>
            <w:tcW w:w="1170" w:type="dxa"/>
            <w:tcBorders>
              <w:top w:val="single" w:sz="6" w:space="0" w:color="808080"/>
              <w:left w:val="nil"/>
              <w:bottom w:val="single" w:sz="6" w:space="0" w:color="808080"/>
              <w:right w:val="nil"/>
            </w:tcBorders>
            <w:vAlign w:val="bottom"/>
          </w:tcPr>
          <w:p w14:paraId="26BA0C7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121</w:t>
            </w:r>
          </w:p>
        </w:tc>
        <w:tc>
          <w:tcPr>
            <w:tcW w:w="990" w:type="dxa"/>
            <w:tcBorders>
              <w:top w:val="single" w:sz="6" w:space="0" w:color="808080"/>
              <w:left w:val="nil"/>
              <w:bottom w:val="single" w:sz="6" w:space="0" w:color="808080"/>
              <w:right w:val="nil"/>
            </w:tcBorders>
            <w:vAlign w:val="bottom"/>
          </w:tcPr>
          <w:p w14:paraId="4A7C8F4A"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240</w:t>
            </w:r>
          </w:p>
        </w:tc>
      </w:tr>
      <w:tr w:rsidR="00BF48B0" w:rsidRPr="00B91736" w14:paraId="2EA1EB17" w14:textId="77777777" w:rsidTr="004978CA">
        <w:trPr>
          <w:trHeight w:val="93"/>
        </w:trPr>
        <w:tc>
          <w:tcPr>
            <w:tcW w:w="2340" w:type="dxa"/>
            <w:tcBorders>
              <w:top w:val="single" w:sz="6" w:space="0" w:color="808080"/>
              <w:left w:val="nil"/>
              <w:bottom w:val="single" w:sz="6" w:space="0" w:color="808080"/>
              <w:right w:val="nil"/>
            </w:tcBorders>
            <w:vAlign w:val="bottom"/>
          </w:tcPr>
          <w:p w14:paraId="213934A2" w14:textId="77777777" w:rsidR="00BD0120" w:rsidRPr="00B91736" w:rsidRDefault="00BD0120" w:rsidP="00BF48B0">
            <w:pPr>
              <w:widowControl w:val="0"/>
              <w:autoSpaceDE w:val="0"/>
              <w:autoSpaceDN w:val="0"/>
              <w:adjustRightInd w:val="0"/>
              <w:ind w:left="-108"/>
              <w:rPr>
                <w:rFonts w:cs="Century Gothic"/>
                <w:b/>
                <w:color w:val="000000"/>
                <w:sz w:val="18"/>
                <w:szCs w:val="18"/>
              </w:rPr>
            </w:pPr>
            <w:r w:rsidRPr="00B91736">
              <w:rPr>
                <w:rFonts w:cs="Century Gothic"/>
                <w:b/>
                <w:color w:val="000000"/>
                <w:sz w:val="18"/>
                <w:szCs w:val="18"/>
              </w:rPr>
              <w:t>Hillsborough</w:t>
            </w:r>
          </w:p>
        </w:tc>
        <w:tc>
          <w:tcPr>
            <w:tcW w:w="1260" w:type="dxa"/>
            <w:tcBorders>
              <w:top w:val="single" w:sz="6" w:space="0" w:color="808080"/>
              <w:left w:val="nil"/>
              <w:bottom w:val="single" w:sz="6" w:space="0" w:color="808080"/>
              <w:right w:val="nil"/>
            </w:tcBorders>
            <w:vAlign w:val="bottom"/>
          </w:tcPr>
          <w:p w14:paraId="2AA4F3FC" w14:textId="77777777" w:rsidR="00BD0120" w:rsidRPr="00B91736" w:rsidRDefault="00BD0120" w:rsidP="00BF48B0">
            <w:pPr>
              <w:widowControl w:val="0"/>
              <w:autoSpaceDE w:val="0"/>
              <w:autoSpaceDN w:val="0"/>
              <w:adjustRightInd w:val="0"/>
              <w:jc w:val="right"/>
              <w:rPr>
                <w:rFonts w:cs="Century Gothic"/>
                <w:b/>
                <w:color w:val="000000"/>
                <w:sz w:val="18"/>
                <w:szCs w:val="18"/>
              </w:rPr>
            </w:pPr>
            <w:r w:rsidRPr="00B91736">
              <w:rPr>
                <w:rFonts w:cs="Century Gothic"/>
                <w:b/>
                <w:color w:val="000000"/>
                <w:sz w:val="18"/>
                <w:szCs w:val="18"/>
              </w:rPr>
              <w:t>16</w:t>
            </w:r>
          </w:p>
        </w:tc>
        <w:tc>
          <w:tcPr>
            <w:tcW w:w="1440" w:type="dxa"/>
            <w:tcBorders>
              <w:top w:val="single" w:sz="6" w:space="0" w:color="808080"/>
              <w:left w:val="nil"/>
              <w:bottom w:val="single" w:sz="6" w:space="0" w:color="808080"/>
              <w:right w:val="nil"/>
            </w:tcBorders>
            <w:vAlign w:val="bottom"/>
          </w:tcPr>
          <w:p w14:paraId="1530C8D1" w14:textId="77777777" w:rsidR="00BD0120" w:rsidRPr="00B91736" w:rsidRDefault="00BD0120" w:rsidP="00BF48B0">
            <w:pPr>
              <w:widowControl w:val="0"/>
              <w:autoSpaceDE w:val="0"/>
              <w:autoSpaceDN w:val="0"/>
              <w:adjustRightInd w:val="0"/>
              <w:jc w:val="right"/>
              <w:rPr>
                <w:rFonts w:cs="Century Gothic"/>
                <w:b/>
                <w:color w:val="000000"/>
                <w:sz w:val="18"/>
                <w:szCs w:val="18"/>
              </w:rPr>
            </w:pPr>
            <w:r w:rsidRPr="00B91736">
              <w:rPr>
                <w:rFonts w:cs="Century Gothic"/>
                <w:b/>
                <w:color w:val="000000"/>
                <w:sz w:val="18"/>
                <w:szCs w:val="18"/>
              </w:rPr>
              <w:t>16</w:t>
            </w:r>
          </w:p>
        </w:tc>
        <w:tc>
          <w:tcPr>
            <w:tcW w:w="1440" w:type="dxa"/>
            <w:tcBorders>
              <w:top w:val="single" w:sz="6" w:space="0" w:color="808080"/>
              <w:left w:val="nil"/>
              <w:bottom w:val="single" w:sz="6" w:space="0" w:color="808080"/>
              <w:right w:val="nil"/>
            </w:tcBorders>
            <w:vAlign w:val="bottom"/>
          </w:tcPr>
          <w:p w14:paraId="0B94AB3B" w14:textId="77777777" w:rsidR="00BD0120" w:rsidRPr="00B91736" w:rsidRDefault="00BD0120" w:rsidP="00BF48B0">
            <w:pPr>
              <w:widowControl w:val="0"/>
              <w:autoSpaceDE w:val="0"/>
              <w:autoSpaceDN w:val="0"/>
              <w:adjustRightInd w:val="0"/>
              <w:jc w:val="right"/>
              <w:rPr>
                <w:rFonts w:cs="Century Gothic"/>
                <w:b/>
                <w:color w:val="000000"/>
                <w:sz w:val="18"/>
                <w:szCs w:val="18"/>
              </w:rPr>
            </w:pPr>
            <w:r w:rsidRPr="00B91736">
              <w:rPr>
                <w:rFonts w:cs="Century Gothic"/>
                <w:b/>
                <w:color w:val="000000"/>
                <w:sz w:val="18"/>
                <w:szCs w:val="18"/>
              </w:rPr>
              <w:t>17</w:t>
            </w:r>
          </w:p>
        </w:tc>
        <w:tc>
          <w:tcPr>
            <w:tcW w:w="1530" w:type="dxa"/>
            <w:tcBorders>
              <w:top w:val="single" w:sz="6" w:space="0" w:color="808080"/>
              <w:left w:val="nil"/>
              <w:bottom w:val="single" w:sz="6" w:space="0" w:color="808080"/>
              <w:right w:val="nil"/>
            </w:tcBorders>
            <w:vAlign w:val="bottom"/>
          </w:tcPr>
          <w:p w14:paraId="6179BDD7" w14:textId="77777777" w:rsidR="00BD0120" w:rsidRPr="00B91736" w:rsidRDefault="00BD0120" w:rsidP="00BF48B0">
            <w:pPr>
              <w:widowControl w:val="0"/>
              <w:autoSpaceDE w:val="0"/>
              <w:autoSpaceDN w:val="0"/>
              <w:adjustRightInd w:val="0"/>
              <w:jc w:val="right"/>
              <w:rPr>
                <w:rFonts w:cs="Century Gothic"/>
                <w:b/>
                <w:color w:val="000000"/>
                <w:sz w:val="18"/>
                <w:szCs w:val="18"/>
              </w:rPr>
            </w:pPr>
            <w:r w:rsidRPr="00B91736">
              <w:rPr>
                <w:rFonts w:cs="Century Gothic"/>
                <w:b/>
                <w:color w:val="000000"/>
                <w:sz w:val="18"/>
                <w:szCs w:val="18"/>
              </w:rPr>
              <w:t>21</w:t>
            </w:r>
          </w:p>
        </w:tc>
        <w:tc>
          <w:tcPr>
            <w:tcW w:w="1170" w:type="dxa"/>
            <w:tcBorders>
              <w:top w:val="single" w:sz="6" w:space="0" w:color="808080"/>
              <w:left w:val="nil"/>
              <w:bottom w:val="single" w:sz="6" w:space="0" w:color="808080"/>
              <w:right w:val="nil"/>
            </w:tcBorders>
            <w:vAlign w:val="bottom"/>
          </w:tcPr>
          <w:p w14:paraId="1674BEEB" w14:textId="77777777" w:rsidR="00BD0120" w:rsidRPr="00B91736" w:rsidRDefault="00BD0120" w:rsidP="00BF48B0">
            <w:pPr>
              <w:widowControl w:val="0"/>
              <w:autoSpaceDE w:val="0"/>
              <w:autoSpaceDN w:val="0"/>
              <w:adjustRightInd w:val="0"/>
              <w:jc w:val="right"/>
              <w:rPr>
                <w:rFonts w:cs="Century Gothic"/>
                <w:b/>
                <w:color w:val="000000"/>
                <w:sz w:val="18"/>
                <w:szCs w:val="18"/>
              </w:rPr>
            </w:pPr>
            <w:r w:rsidRPr="00B91736">
              <w:rPr>
                <w:rFonts w:cs="Century Gothic"/>
                <w:b/>
                <w:color w:val="000000"/>
                <w:sz w:val="18"/>
                <w:szCs w:val="18"/>
              </w:rPr>
              <w:t>21</w:t>
            </w:r>
          </w:p>
        </w:tc>
        <w:tc>
          <w:tcPr>
            <w:tcW w:w="990" w:type="dxa"/>
            <w:tcBorders>
              <w:top w:val="single" w:sz="6" w:space="0" w:color="808080"/>
              <w:left w:val="nil"/>
              <w:bottom w:val="single" w:sz="6" w:space="0" w:color="808080"/>
              <w:right w:val="nil"/>
            </w:tcBorders>
            <w:vAlign w:val="bottom"/>
          </w:tcPr>
          <w:p w14:paraId="17CD00BC" w14:textId="77777777" w:rsidR="00BD0120" w:rsidRPr="00B91736" w:rsidRDefault="00BD0120" w:rsidP="00BF48B0">
            <w:pPr>
              <w:widowControl w:val="0"/>
              <w:autoSpaceDE w:val="0"/>
              <w:autoSpaceDN w:val="0"/>
              <w:adjustRightInd w:val="0"/>
              <w:ind w:right="-108"/>
              <w:jc w:val="right"/>
              <w:rPr>
                <w:rFonts w:cs="Century Gothic"/>
                <w:b/>
                <w:color w:val="000000"/>
                <w:sz w:val="18"/>
                <w:szCs w:val="18"/>
              </w:rPr>
            </w:pPr>
            <w:r w:rsidRPr="00B91736">
              <w:rPr>
                <w:rFonts w:cs="Century Gothic"/>
                <w:b/>
                <w:color w:val="000000"/>
                <w:sz w:val="18"/>
                <w:szCs w:val="18"/>
              </w:rPr>
              <w:t>91</w:t>
            </w:r>
          </w:p>
        </w:tc>
      </w:tr>
      <w:tr w:rsidR="00BF48B0" w14:paraId="7B491B6B" w14:textId="77777777" w:rsidTr="004978CA">
        <w:trPr>
          <w:trHeight w:val="138"/>
        </w:trPr>
        <w:tc>
          <w:tcPr>
            <w:tcW w:w="2340" w:type="dxa"/>
            <w:tcBorders>
              <w:top w:val="single" w:sz="6" w:space="0" w:color="808080"/>
              <w:left w:val="nil"/>
              <w:bottom w:val="single" w:sz="6" w:space="0" w:color="808080"/>
              <w:right w:val="nil"/>
            </w:tcBorders>
            <w:vAlign w:val="bottom"/>
          </w:tcPr>
          <w:p w14:paraId="14C48D14" w14:textId="77777777" w:rsidR="00BD0120" w:rsidRPr="000B147D" w:rsidRDefault="00BD0120" w:rsidP="00BF48B0">
            <w:pPr>
              <w:widowControl w:val="0"/>
              <w:autoSpaceDE w:val="0"/>
              <w:autoSpaceDN w:val="0"/>
              <w:adjustRightInd w:val="0"/>
              <w:ind w:left="-108"/>
              <w:rPr>
                <w:rFonts w:cs="Century Gothic"/>
                <w:color w:val="000000"/>
                <w:sz w:val="18"/>
                <w:szCs w:val="18"/>
              </w:rPr>
            </w:pPr>
            <w:r w:rsidRPr="000B147D">
              <w:rPr>
                <w:rFonts w:cs="Century Gothic"/>
                <w:color w:val="000000"/>
                <w:sz w:val="18"/>
                <w:szCs w:val="18"/>
              </w:rPr>
              <w:t>Menlo Park</w:t>
            </w:r>
          </w:p>
        </w:tc>
        <w:tc>
          <w:tcPr>
            <w:tcW w:w="1260" w:type="dxa"/>
            <w:tcBorders>
              <w:top w:val="single" w:sz="6" w:space="0" w:color="808080"/>
              <w:left w:val="nil"/>
              <w:bottom w:val="single" w:sz="6" w:space="0" w:color="808080"/>
              <w:right w:val="nil"/>
            </w:tcBorders>
            <w:vAlign w:val="bottom"/>
          </w:tcPr>
          <w:p w14:paraId="5364E2D3" w14:textId="77777777" w:rsidR="00BD0120" w:rsidRPr="000B147D" w:rsidRDefault="00BD0120" w:rsidP="00BF48B0">
            <w:pPr>
              <w:widowControl w:val="0"/>
              <w:autoSpaceDE w:val="0"/>
              <w:autoSpaceDN w:val="0"/>
              <w:adjustRightInd w:val="0"/>
              <w:jc w:val="right"/>
              <w:rPr>
                <w:rFonts w:cs="Century Gothic"/>
                <w:color w:val="000000"/>
                <w:sz w:val="18"/>
                <w:szCs w:val="18"/>
              </w:rPr>
            </w:pPr>
            <w:r w:rsidRPr="000B147D">
              <w:rPr>
                <w:rFonts w:cs="Century Gothic"/>
                <w:color w:val="000000"/>
                <w:sz w:val="18"/>
                <w:szCs w:val="18"/>
              </w:rPr>
              <w:t>116</w:t>
            </w:r>
          </w:p>
        </w:tc>
        <w:tc>
          <w:tcPr>
            <w:tcW w:w="1440" w:type="dxa"/>
            <w:tcBorders>
              <w:top w:val="single" w:sz="6" w:space="0" w:color="808080"/>
              <w:left w:val="nil"/>
              <w:bottom w:val="single" w:sz="6" w:space="0" w:color="808080"/>
              <w:right w:val="nil"/>
            </w:tcBorders>
            <w:vAlign w:val="bottom"/>
          </w:tcPr>
          <w:p w14:paraId="605E9915" w14:textId="77777777" w:rsidR="00BD0120" w:rsidRPr="000B147D" w:rsidRDefault="00BD0120" w:rsidP="00BF48B0">
            <w:pPr>
              <w:widowControl w:val="0"/>
              <w:autoSpaceDE w:val="0"/>
              <w:autoSpaceDN w:val="0"/>
              <w:adjustRightInd w:val="0"/>
              <w:jc w:val="right"/>
              <w:rPr>
                <w:rFonts w:cs="Century Gothic"/>
                <w:color w:val="000000"/>
                <w:sz w:val="18"/>
                <w:szCs w:val="18"/>
              </w:rPr>
            </w:pPr>
            <w:r w:rsidRPr="000B147D">
              <w:rPr>
                <w:rFonts w:cs="Century Gothic"/>
                <w:color w:val="000000"/>
                <w:sz w:val="18"/>
                <w:szCs w:val="18"/>
              </w:rPr>
              <w:t>117</w:t>
            </w:r>
          </w:p>
        </w:tc>
        <w:tc>
          <w:tcPr>
            <w:tcW w:w="1440" w:type="dxa"/>
            <w:tcBorders>
              <w:top w:val="single" w:sz="6" w:space="0" w:color="808080"/>
              <w:left w:val="nil"/>
              <w:bottom w:val="single" w:sz="6" w:space="0" w:color="808080"/>
              <w:right w:val="nil"/>
            </w:tcBorders>
            <w:vAlign w:val="bottom"/>
          </w:tcPr>
          <w:p w14:paraId="2823B211" w14:textId="77777777" w:rsidR="00BD0120" w:rsidRPr="000B147D" w:rsidRDefault="00BD0120" w:rsidP="00BF48B0">
            <w:pPr>
              <w:widowControl w:val="0"/>
              <w:autoSpaceDE w:val="0"/>
              <w:autoSpaceDN w:val="0"/>
              <w:adjustRightInd w:val="0"/>
              <w:jc w:val="right"/>
              <w:rPr>
                <w:rFonts w:cs="Century Gothic"/>
                <w:color w:val="000000"/>
                <w:sz w:val="18"/>
                <w:szCs w:val="18"/>
              </w:rPr>
            </w:pPr>
            <w:r w:rsidRPr="000B147D">
              <w:rPr>
                <w:rFonts w:cs="Century Gothic"/>
                <w:color w:val="000000"/>
                <w:sz w:val="18"/>
                <w:szCs w:val="18"/>
              </w:rPr>
              <w:t>129</w:t>
            </w:r>
          </w:p>
        </w:tc>
        <w:tc>
          <w:tcPr>
            <w:tcW w:w="1530" w:type="dxa"/>
            <w:tcBorders>
              <w:top w:val="single" w:sz="6" w:space="0" w:color="808080"/>
              <w:left w:val="nil"/>
              <w:bottom w:val="single" w:sz="6" w:space="0" w:color="808080"/>
              <w:right w:val="nil"/>
            </w:tcBorders>
            <w:vAlign w:val="bottom"/>
          </w:tcPr>
          <w:p w14:paraId="7C72FE2E" w14:textId="77777777" w:rsidR="00BD0120" w:rsidRPr="000B147D" w:rsidRDefault="00BD0120" w:rsidP="00BF48B0">
            <w:pPr>
              <w:widowControl w:val="0"/>
              <w:autoSpaceDE w:val="0"/>
              <w:autoSpaceDN w:val="0"/>
              <w:adjustRightInd w:val="0"/>
              <w:jc w:val="right"/>
              <w:rPr>
                <w:rFonts w:cs="Century Gothic"/>
                <w:color w:val="000000"/>
                <w:sz w:val="18"/>
                <w:szCs w:val="18"/>
              </w:rPr>
            </w:pPr>
            <w:r w:rsidRPr="000B147D">
              <w:rPr>
                <w:rFonts w:cs="Century Gothic"/>
                <w:color w:val="000000"/>
                <w:sz w:val="18"/>
                <w:szCs w:val="18"/>
              </w:rPr>
              <w:t>143</w:t>
            </w:r>
          </w:p>
        </w:tc>
        <w:tc>
          <w:tcPr>
            <w:tcW w:w="1170" w:type="dxa"/>
            <w:tcBorders>
              <w:top w:val="single" w:sz="6" w:space="0" w:color="808080"/>
              <w:left w:val="nil"/>
              <w:bottom w:val="single" w:sz="6" w:space="0" w:color="808080"/>
              <w:right w:val="nil"/>
            </w:tcBorders>
            <w:vAlign w:val="bottom"/>
          </w:tcPr>
          <w:p w14:paraId="628E19E7" w14:textId="77777777" w:rsidR="00BD0120" w:rsidRPr="000B147D" w:rsidRDefault="00BD0120" w:rsidP="00BF48B0">
            <w:pPr>
              <w:widowControl w:val="0"/>
              <w:autoSpaceDE w:val="0"/>
              <w:autoSpaceDN w:val="0"/>
              <w:adjustRightInd w:val="0"/>
              <w:jc w:val="right"/>
              <w:rPr>
                <w:rFonts w:cs="Century Gothic"/>
                <w:color w:val="000000"/>
                <w:sz w:val="18"/>
                <w:szCs w:val="18"/>
              </w:rPr>
            </w:pPr>
            <w:r w:rsidRPr="000B147D">
              <w:rPr>
                <w:rFonts w:cs="Century Gothic"/>
                <w:color w:val="000000"/>
                <w:sz w:val="18"/>
                <w:szCs w:val="18"/>
              </w:rPr>
              <w:t>150</w:t>
            </w:r>
          </w:p>
        </w:tc>
        <w:tc>
          <w:tcPr>
            <w:tcW w:w="990" w:type="dxa"/>
            <w:tcBorders>
              <w:top w:val="single" w:sz="6" w:space="0" w:color="808080"/>
              <w:left w:val="nil"/>
              <w:bottom w:val="single" w:sz="6" w:space="0" w:color="808080"/>
              <w:right w:val="nil"/>
            </w:tcBorders>
            <w:vAlign w:val="bottom"/>
          </w:tcPr>
          <w:p w14:paraId="0084A20A" w14:textId="77777777" w:rsidR="00BD0120" w:rsidRPr="000B147D" w:rsidRDefault="00BD0120" w:rsidP="00BF48B0">
            <w:pPr>
              <w:widowControl w:val="0"/>
              <w:autoSpaceDE w:val="0"/>
              <w:autoSpaceDN w:val="0"/>
              <w:adjustRightInd w:val="0"/>
              <w:ind w:right="-108"/>
              <w:jc w:val="right"/>
              <w:rPr>
                <w:rFonts w:cs="Century Gothic"/>
                <w:color w:val="000000"/>
                <w:sz w:val="18"/>
                <w:szCs w:val="18"/>
              </w:rPr>
            </w:pPr>
            <w:r w:rsidRPr="000B147D">
              <w:rPr>
                <w:rFonts w:cs="Century Gothic"/>
                <w:color w:val="000000"/>
                <w:sz w:val="18"/>
                <w:szCs w:val="18"/>
              </w:rPr>
              <w:t>655</w:t>
            </w:r>
          </w:p>
        </w:tc>
      </w:tr>
      <w:tr w:rsidR="00BF48B0" w14:paraId="3FA76E5C" w14:textId="77777777" w:rsidTr="004978CA">
        <w:trPr>
          <w:trHeight w:val="93"/>
        </w:trPr>
        <w:tc>
          <w:tcPr>
            <w:tcW w:w="2340" w:type="dxa"/>
            <w:tcBorders>
              <w:top w:val="single" w:sz="6" w:space="0" w:color="808080"/>
              <w:left w:val="nil"/>
              <w:bottom w:val="single" w:sz="6" w:space="0" w:color="808080"/>
              <w:right w:val="nil"/>
            </w:tcBorders>
            <w:vAlign w:val="bottom"/>
          </w:tcPr>
          <w:p w14:paraId="3EADC425" w14:textId="4236757D" w:rsidR="00BD0120" w:rsidRDefault="00853231"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Hillsborough</w:t>
            </w:r>
          </w:p>
        </w:tc>
        <w:tc>
          <w:tcPr>
            <w:tcW w:w="1260" w:type="dxa"/>
            <w:tcBorders>
              <w:top w:val="single" w:sz="6" w:space="0" w:color="808080"/>
              <w:left w:val="nil"/>
              <w:bottom w:val="single" w:sz="6" w:space="0" w:color="808080"/>
              <w:right w:val="nil"/>
            </w:tcBorders>
            <w:vAlign w:val="bottom"/>
          </w:tcPr>
          <w:p w14:paraId="2B4A9097"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96</w:t>
            </w:r>
          </w:p>
        </w:tc>
        <w:tc>
          <w:tcPr>
            <w:tcW w:w="1440" w:type="dxa"/>
            <w:tcBorders>
              <w:top w:val="single" w:sz="6" w:space="0" w:color="808080"/>
              <w:left w:val="nil"/>
              <w:bottom w:val="single" w:sz="6" w:space="0" w:color="808080"/>
              <w:right w:val="nil"/>
            </w:tcBorders>
            <w:vAlign w:val="bottom"/>
          </w:tcPr>
          <w:p w14:paraId="6699BFD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97</w:t>
            </w:r>
          </w:p>
        </w:tc>
        <w:tc>
          <w:tcPr>
            <w:tcW w:w="1440" w:type="dxa"/>
            <w:tcBorders>
              <w:top w:val="single" w:sz="6" w:space="0" w:color="808080"/>
              <w:left w:val="nil"/>
              <w:bottom w:val="single" w:sz="6" w:space="0" w:color="808080"/>
              <w:right w:val="nil"/>
            </w:tcBorders>
            <w:vAlign w:val="bottom"/>
          </w:tcPr>
          <w:p w14:paraId="33611317"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101</w:t>
            </w:r>
          </w:p>
        </w:tc>
        <w:tc>
          <w:tcPr>
            <w:tcW w:w="1530" w:type="dxa"/>
            <w:tcBorders>
              <w:top w:val="single" w:sz="6" w:space="0" w:color="808080"/>
              <w:left w:val="nil"/>
              <w:bottom w:val="single" w:sz="6" w:space="0" w:color="808080"/>
              <w:right w:val="nil"/>
            </w:tcBorders>
            <w:vAlign w:val="bottom"/>
          </w:tcPr>
          <w:p w14:paraId="2E26227D"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112</w:t>
            </w:r>
          </w:p>
        </w:tc>
        <w:tc>
          <w:tcPr>
            <w:tcW w:w="1170" w:type="dxa"/>
            <w:tcBorders>
              <w:top w:val="single" w:sz="6" w:space="0" w:color="808080"/>
              <w:left w:val="nil"/>
              <w:bottom w:val="single" w:sz="6" w:space="0" w:color="808080"/>
              <w:right w:val="nil"/>
            </w:tcBorders>
            <w:vAlign w:val="bottom"/>
          </w:tcPr>
          <w:p w14:paraId="0805D3A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257</w:t>
            </w:r>
          </w:p>
        </w:tc>
        <w:tc>
          <w:tcPr>
            <w:tcW w:w="990" w:type="dxa"/>
            <w:tcBorders>
              <w:top w:val="single" w:sz="6" w:space="0" w:color="808080"/>
              <w:left w:val="nil"/>
              <w:bottom w:val="single" w:sz="6" w:space="0" w:color="808080"/>
              <w:right w:val="nil"/>
            </w:tcBorders>
            <w:vAlign w:val="bottom"/>
          </w:tcPr>
          <w:p w14:paraId="62966B83"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663</w:t>
            </w:r>
          </w:p>
        </w:tc>
      </w:tr>
      <w:tr w:rsidR="00BF48B0" w14:paraId="40A88A08" w14:textId="77777777" w:rsidTr="004978CA">
        <w:trPr>
          <w:trHeight w:val="48"/>
        </w:trPr>
        <w:tc>
          <w:tcPr>
            <w:tcW w:w="2340" w:type="dxa"/>
            <w:tcBorders>
              <w:top w:val="single" w:sz="6" w:space="0" w:color="808080"/>
              <w:left w:val="nil"/>
              <w:bottom w:val="single" w:sz="6" w:space="0" w:color="808080"/>
              <w:right w:val="nil"/>
            </w:tcBorders>
            <w:vAlign w:val="bottom"/>
          </w:tcPr>
          <w:p w14:paraId="15419D3C"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Pacifica</w:t>
            </w:r>
          </w:p>
        </w:tc>
        <w:tc>
          <w:tcPr>
            <w:tcW w:w="1260" w:type="dxa"/>
            <w:tcBorders>
              <w:top w:val="single" w:sz="6" w:space="0" w:color="808080"/>
              <w:left w:val="nil"/>
              <w:bottom w:val="single" w:sz="6" w:space="0" w:color="808080"/>
              <w:right w:val="nil"/>
            </w:tcBorders>
            <w:vAlign w:val="bottom"/>
          </w:tcPr>
          <w:p w14:paraId="1139CA2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60</w:t>
            </w:r>
          </w:p>
        </w:tc>
        <w:tc>
          <w:tcPr>
            <w:tcW w:w="1440" w:type="dxa"/>
            <w:tcBorders>
              <w:top w:val="single" w:sz="6" w:space="0" w:color="808080"/>
              <w:left w:val="nil"/>
              <w:bottom w:val="single" w:sz="6" w:space="0" w:color="808080"/>
              <w:right w:val="nil"/>
            </w:tcBorders>
            <w:vAlign w:val="bottom"/>
          </w:tcPr>
          <w:p w14:paraId="710D45AF"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61</w:t>
            </w:r>
          </w:p>
        </w:tc>
        <w:tc>
          <w:tcPr>
            <w:tcW w:w="1440" w:type="dxa"/>
            <w:tcBorders>
              <w:top w:val="single" w:sz="6" w:space="0" w:color="808080"/>
              <w:left w:val="nil"/>
              <w:bottom w:val="single" w:sz="6" w:space="0" w:color="808080"/>
              <w:right w:val="nil"/>
            </w:tcBorders>
            <w:vAlign w:val="bottom"/>
          </w:tcPr>
          <w:p w14:paraId="25372CA8"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68</w:t>
            </w:r>
          </w:p>
        </w:tc>
        <w:tc>
          <w:tcPr>
            <w:tcW w:w="1530" w:type="dxa"/>
            <w:tcBorders>
              <w:top w:val="single" w:sz="6" w:space="0" w:color="808080"/>
              <w:left w:val="nil"/>
              <w:bottom w:val="single" w:sz="6" w:space="0" w:color="808080"/>
              <w:right w:val="nil"/>
            </w:tcBorders>
            <w:vAlign w:val="bottom"/>
          </w:tcPr>
          <w:p w14:paraId="50B8FA07"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70</w:t>
            </w:r>
          </w:p>
        </w:tc>
        <w:tc>
          <w:tcPr>
            <w:tcW w:w="1170" w:type="dxa"/>
            <w:tcBorders>
              <w:top w:val="single" w:sz="6" w:space="0" w:color="808080"/>
              <w:left w:val="nil"/>
              <w:bottom w:val="single" w:sz="6" w:space="0" w:color="808080"/>
              <w:right w:val="nil"/>
            </w:tcBorders>
            <w:vAlign w:val="bottom"/>
          </w:tcPr>
          <w:p w14:paraId="635CC5F1"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154</w:t>
            </w:r>
          </w:p>
        </w:tc>
        <w:tc>
          <w:tcPr>
            <w:tcW w:w="990" w:type="dxa"/>
            <w:tcBorders>
              <w:top w:val="single" w:sz="6" w:space="0" w:color="808080"/>
              <w:left w:val="nil"/>
              <w:bottom w:val="single" w:sz="6" w:space="0" w:color="808080"/>
              <w:right w:val="nil"/>
            </w:tcBorders>
            <w:vAlign w:val="bottom"/>
          </w:tcPr>
          <w:p w14:paraId="7922A1DD"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413</w:t>
            </w:r>
          </w:p>
        </w:tc>
      </w:tr>
      <w:tr w:rsidR="00BF48B0" w14:paraId="764D38FD" w14:textId="77777777" w:rsidTr="004978CA">
        <w:trPr>
          <w:trHeight w:val="93"/>
        </w:trPr>
        <w:tc>
          <w:tcPr>
            <w:tcW w:w="2340" w:type="dxa"/>
            <w:tcBorders>
              <w:top w:val="single" w:sz="6" w:space="0" w:color="808080"/>
              <w:left w:val="nil"/>
              <w:bottom w:val="single" w:sz="6" w:space="0" w:color="808080"/>
              <w:right w:val="nil"/>
            </w:tcBorders>
            <w:vAlign w:val="bottom"/>
          </w:tcPr>
          <w:p w14:paraId="1CC41A5E"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Portola Valley</w:t>
            </w:r>
          </w:p>
        </w:tc>
        <w:tc>
          <w:tcPr>
            <w:tcW w:w="1260" w:type="dxa"/>
            <w:tcBorders>
              <w:top w:val="single" w:sz="6" w:space="0" w:color="808080"/>
              <w:left w:val="nil"/>
              <w:bottom w:val="single" w:sz="6" w:space="0" w:color="808080"/>
              <w:right w:val="nil"/>
            </w:tcBorders>
            <w:vAlign w:val="bottom"/>
          </w:tcPr>
          <w:p w14:paraId="2A344A3D"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10</w:t>
            </w:r>
          </w:p>
        </w:tc>
        <w:tc>
          <w:tcPr>
            <w:tcW w:w="1440" w:type="dxa"/>
            <w:tcBorders>
              <w:top w:val="single" w:sz="6" w:space="0" w:color="808080"/>
              <w:left w:val="nil"/>
              <w:bottom w:val="single" w:sz="6" w:space="0" w:color="808080"/>
              <w:right w:val="nil"/>
            </w:tcBorders>
            <w:vAlign w:val="bottom"/>
          </w:tcPr>
          <w:p w14:paraId="3310C19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11</w:t>
            </w:r>
          </w:p>
        </w:tc>
        <w:tc>
          <w:tcPr>
            <w:tcW w:w="1440" w:type="dxa"/>
            <w:tcBorders>
              <w:top w:val="single" w:sz="6" w:space="0" w:color="808080"/>
              <w:left w:val="nil"/>
              <w:bottom w:val="single" w:sz="6" w:space="0" w:color="808080"/>
              <w:right w:val="nil"/>
            </w:tcBorders>
            <w:vAlign w:val="bottom"/>
          </w:tcPr>
          <w:p w14:paraId="24DF262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15</w:t>
            </w:r>
          </w:p>
        </w:tc>
        <w:tc>
          <w:tcPr>
            <w:tcW w:w="1530" w:type="dxa"/>
            <w:tcBorders>
              <w:top w:val="single" w:sz="6" w:space="0" w:color="808080"/>
              <w:left w:val="nil"/>
              <w:bottom w:val="single" w:sz="6" w:space="0" w:color="808080"/>
              <w:right w:val="nil"/>
            </w:tcBorders>
            <w:vAlign w:val="bottom"/>
          </w:tcPr>
          <w:p w14:paraId="1FC87D4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15</w:t>
            </w:r>
          </w:p>
        </w:tc>
        <w:tc>
          <w:tcPr>
            <w:tcW w:w="1170" w:type="dxa"/>
            <w:tcBorders>
              <w:top w:val="single" w:sz="6" w:space="0" w:color="808080"/>
              <w:left w:val="nil"/>
              <w:bottom w:val="single" w:sz="6" w:space="0" w:color="808080"/>
              <w:right w:val="nil"/>
            </w:tcBorders>
            <w:vAlign w:val="bottom"/>
          </w:tcPr>
          <w:p w14:paraId="697A6946"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13</w:t>
            </w:r>
          </w:p>
        </w:tc>
        <w:tc>
          <w:tcPr>
            <w:tcW w:w="990" w:type="dxa"/>
            <w:tcBorders>
              <w:top w:val="single" w:sz="6" w:space="0" w:color="808080"/>
              <w:left w:val="nil"/>
              <w:bottom w:val="single" w:sz="6" w:space="0" w:color="808080"/>
              <w:right w:val="nil"/>
            </w:tcBorders>
            <w:vAlign w:val="bottom"/>
          </w:tcPr>
          <w:p w14:paraId="18259EE3"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64</w:t>
            </w:r>
          </w:p>
        </w:tc>
      </w:tr>
      <w:tr w:rsidR="00BF48B0" w14:paraId="53ABBE29" w14:textId="77777777" w:rsidTr="004978CA">
        <w:trPr>
          <w:trHeight w:val="138"/>
        </w:trPr>
        <w:tc>
          <w:tcPr>
            <w:tcW w:w="2340" w:type="dxa"/>
            <w:tcBorders>
              <w:top w:val="single" w:sz="6" w:space="0" w:color="808080"/>
              <w:left w:val="nil"/>
              <w:bottom w:val="single" w:sz="6" w:space="0" w:color="808080"/>
              <w:right w:val="nil"/>
            </w:tcBorders>
            <w:vAlign w:val="bottom"/>
          </w:tcPr>
          <w:p w14:paraId="0B90298A"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Redwood City</w:t>
            </w:r>
          </w:p>
        </w:tc>
        <w:tc>
          <w:tcPr>
            <w:tcW w:w="1260" w:type="dxa"/>
            <w:tcBorders>
              <w:top w:val="single" w:sz="6" w:space="0" w:color="808080"/>
              <w:left w:val="nil"/>
              <w:bottom w:val="single" w:sz="6" w:space="0" w:color="808080"/>
              <w:right w:val="nil"/>
            </w:tcBorders>
            <w:vAlign w:val="bottom"/>
          </w:tcPr>
          <w:p w14:paraId="34964EB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353</w:t>
            </w:r>
          </w:p>
        </w:tc>
        <w:tc>
          <w:tcPr>
            <w:tcW w:w="1440" w:type="dxa"/>
            <w:tcBorders>
              <w:top w:val="single" w:sz="6" w:space="0" w:color="808080"/>
              <w:left w:val="nil"/>
              <w:bottom w:val="single" w:sz="6" w:space="0" w:color="808080"/>
              <w:right w:val="nil"/>
            </w:tcBorders>
            <w:vAlign w:val="bottom"/>
          </w:tcPr>
          <w:p w14:paraId="05561261"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353</w:t>
            </w:r>
          </w:p>
        </w:tc>
        <w:tc>
          <w:tcPr>
            <w:tcW w:w="1440" w:type="dxa"/>
            <w:tcBorders>
              <w:top w:val="single" w:sz="6" w:space="0" w:color="808080"/>
              <w:left w:val="nil"/>
              <w:bottom w:val="single" w:sz="6" w:space="0" w:color="808080"/>
              <w:right w:val="nil"/>
            </w:tcBorders>
            <w:vAlign w:val="bottom"/>
          </w:tcPr>
          <w:p w14:paraId="520BD58D"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429</w:t>
            </w:r>
          </w:p>
        </w:tc>
        <w:tc>
          <w:tcPr>
            <w:tcW w:w="1530" w:type="dxa"/>
            <w:tcBorders>
              <w:top w:val="single" w:sz="6" w:space="0" w:color="808080"/>
              <w:left w:val="nil"/>
              <w:bottom w:val="single" w:sz="6" w:space="0" w:color="808080"/>
              <w:right w:val="nil"/>
            </w:tcBorders>
            <w:vAlign w:val="bottom"/>
          </w:tcPr>
          <w:p w14:paraId="2B0C528C"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502</w:t>
            </w:r>
          </w:p>
        </w:tc>
        <w:tc>
          <w:tcPr>
            <w:tcW w:w="1170" w:type="dxa"/>
            <w:tcBorders>
              <w:top w:val="single" w:sz="6" w:space="0" w:color="808080"/>
              <w:left w:val="nil"/>
              <w:bottom w:val="single" w:sz="6" w:space="0" w:color="808080"/>
              <w:right w:val="nil"/>
            </w:tcBorders>
            <w:vAlign w:val="bottom"/>
          </w:tcPr>
          <w:p w14:paraId="12C793E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1,152</w:t>
            </w:r>
          </w:p>
        </w:tc>
        <w:tc>
          <w:tcPr>
            <w:tcW w:w="990" w:type="dxa"/>
            <w:tcBorders>
              <w:top w:val="single" w:sz="6" w:space="0" w:color="808080"/>
              <w:left w:val="nil"/>
              <w:bottom w:val="single" w:sz="6" w:space="0" w:color="808080"/>
              <w:right w:val="nil"/>
            </w:tcBorders>
            <w:vAlign w:val="bottom"/>
          </w:tcPr>
          <w:p w14:paraId="0D821D53"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2,789</w:t>
            </w:r>
          </w:p>
        </w:tc>
      </w:tr>
      <w:tr w:rsidR="00BF48B0" w14:paraId="7D8C1DAE" w14:textId="77777777" w:rsidTr="004978CA">
        <w:trPr>
          <w:trHeight w:val="45"/>
        </w:trPr>
        <w:tc>
          <w:tcPr>
            <w:tcW w:w="2340" w:type="dxa"/>
            <w:tcBorders>
              <w:top w:val="single" w:sz="6" w:space="0" w:color="808080"/>
              <w:left w:val="nil"/>
              <w:bottom w:val="single" w:sz="6" w:space="0" w:color="808080"/>
              <w:right w:val="nil"/>
            </w:tcBorders>
            <w:vAlign w:val="bottom"/>
          </w:tcPr>
          <w:p w14:paraId="7EAB0FE5"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San Bruno</w:t>
            </w:r>
          </w:p>
        </w:tc>
        <w:tc>
          <w:tcPr>
            <w:tcW w:w="1260" w:type="dxa"/>
            <w:tcBorders>
              <w:top w:val="single" w:sz="6" w:space="0" w:color="808080"/>
              <w:left w:val="nil"/>
              <w:bottom w:val="single" w:sz="6" w:space="0" w:color="808080"/>
              <w:right w:val="nil"/>
            </w:tcBorders>
            <w:vAlign w:val="bottom"/>
          </w:tcPr>
          <w:p w14:paraId="038DBEB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179</w:t>
            </w:r>
          </w:p>
        </w:tc>
        <w:tc>
          <w:tcPr>
            <w:tcW w:w="1440" w:type="dxa"/>
            <w:tcBorders>
              <w:top w:val="single" w:sz="6" w:space="0" w:color="808080"/>
              <w:left w:val="nil"/>
              <w:bottom w:val="single" w:sz="6" w:space="0" w:color="808080"/>
              <w:right w:val="nil"/>
            </w:tcBorders>
            <w:vAlign w:val="bottom"/>
          </w:tcPr>
          <w:p w14:paraId="6FD9B24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179</w:t>
            </w:r>
          </w:p>
        </w:tc>
        <w:tc>
          <w:tcPr>
            <w:tcW w:w="1440" w:type="dxa"/>
            <w:tcBorders>
              <w:top w:val="single" w:sz="6" w:space="0" w:color="808080"/>
              <w:left w:val="nil"/>
              <w:bottom w:val="single" w:sz="6" w:space="0" w:color="808080"/>
              <w:right w:val="nil"/>
            </w:tcBorders>
            <w:vAlign w:val="bottom"/>
          </w:tcPr>
          <w:p w14:paraId="0D98C15C"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161</w:t>
            </w:r>
          </w:p>
        </w:tc>
        <w:tc>
          <w:tcPr>
            <w:tcW w:w="1530" w:type="dxa"/>
            <w:tcBorders>
              <w:top w:val="single" w:sz="6" w:space="0" w:color="808080"/>
              <w:left w:val="nil"/>
              <w:bottom w:val="single" w:sz="6" w:space="0" w:color="808080"/>
              <w:right w:val="nil"/>
            </w:tcBorders>
            <w:vAlign w:val="bottom"/>
          </w:tcPr>
          <w:p w14:paraId="383E943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205</w:t>
            </w:r>
          </w:p>
        </w:tc>
        <w:tc>
          <w:tcPr>
            <w:tcW w:w="1170" w:type="dxa"/>
            <w:tcBorders>
              <w:top w:val="single" w:sz="6" w:space="0" w:color="808080"/>
              <w:left w:val="nil"/>
              <w:bottom w:val="single" w:sz="6" w:space="0" w:color="808080"/>
              <w:right w:val="nil"/>
            </w:tcBorders>
            <w:vAlign w:val="bottom"/>
          </w:tcPr>
          <w:p w14:paraId="53C8680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431</w:t>
            </w:r>
          </w:p>
        </w:tc>
        <w:tc>
          <w:tcPr>
            <w:tcW w:w="990" w:type="dxa"/>
            <w:tcBorders>
              <w:top w:val="single" w:sz="6" w:space="0" w:color="808080"/>
              <w:left w:val="nil"/>
              <w:bottom w:val="single" w:sz="6" w:space="0" w:color="808080"/>
              <w:right w:val="nil"/>
            </w:tcBorders>
            <w:vAlign w:val="bottom"/>
          </w:tcPr>
          <w:p w14:paraId="4A4CC0C5"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1,155</w:t>
            </w:r>
          </w:p>
        </w:tc>
      </w:tr>
      <w:tr w:rsidR="00BF48B0" w14:paraId="6B8E5FC8" w14:textId="77777777" w:rsidTr="004978CA">
        <w:trPr>
          <w:trHeight w:val="48"/>
        </w:trPr>
        <w:tc>
          <w:tcPr>
            <w:tcW w:w="2340" w:type="dxa"/>
            <w:tcBorders>
              <w:top w:val="single" w:sz="6" w:space="0" w:color="808080"/>
              <w:left w:val="nil"/>
              <w:bottom w:val="single" w:sz="6" w:space="0" w:color="808080"/>
              <w:right w:val="nil"/>
            </w:tcBorders>
            <w:vAlign w:val="bottom"/>
          </w:tcPr>
          <w:p w14:paraId="035B8D6E"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San Carlos</w:t>
            </w:r>
          </w:p>
        </w:tc>
        <w:tc>
          <w:tcPr>
            <w:tcW w:w="1260" w:type="dxa"/>
            <w:tcBorders>
              <w:top w:val="single" w:sz="6" w:space="0" w:color="808080"/>
              <w:left w:val="nil"/>
              <w:bottom w:val="single" w:sz="6" w:space="0" w:color="808080"/>
              <w:right w:val="nil"/>
            </w:tcBorders>
            <w:vAlign w:val="bottom"/>
          </w:tcPr>
          <w:p w14:paraId="6A4D7A1E"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97</w:t>
            </w:r>
          </w:p>
        </w:tc>
        <w:tc>
          <w:tcPr>
            <w:tcW w:w="1440" w:type="dxa"/>
            <w:tcBorders>
              <w:top w:val="single" w:sz="6" w:space="0" w:color="808080"/>
              <w:left w:val="nil"/>
              <w:bottom w:val="single" w:sz="6" w:space="0" w:color="808080"/>
              <w:right w:val="nil"/>
            </w:tcBorders>
            <w:vAlign w:val="bottom"/>
          </w:tcPr>
          <w:p w14:paraId="3952C3D7"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98</w:t>
            </w:r>
          </w:p>
        </w:tc>
        <w:tc>
          <w:tcPr>
            <w:tcW w:w="1440" w:type="dxa"/>
            <w:tcBorders>
              <w:top w:val="single" w:sz="6" w:space="0" w:color="808080"/>
              <w:left w:val="nil"/>
              <w:bottom w:val="single" w:sz="6" w:space="0" w:color="808080"/>
              <w:right w:val="nil"/>
            </w:tcBorders>
            <w:vAlign w:val="bottom"/>
          </w:tcPr>
          <w:p w14:paraId="372FDB02"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107</w:t>
            </w:r>
          </w:p>
        </w:tc>
        <w:tc>
          <w:tcPr>
            <w:tcW w:w="1530" w:type="dxa"/>
            <w:tcBorders>
              <w:top w:val="single" w:sz="6" w:space="0" w:color="808080"/>
              <w:left w:val="nil"/>
              <w:bottom w:val="single" w:sz="6" w:space="0" w:color="808080"/>
              <w:right w:val="nil"/>
            </w:tcBorders>
            <w:vAlign w:val="bottom"/>
          </w:tcPr>
          <w:p w14:paraId="41F1B5A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111</w:t>
            </w:r>
          </w:p>
        </w:tc>
        <w:tc>
          <w:tcPr>
            <w:tcW w:w="1170" w:type="dxa"/>
            <w:tcBorders>
              <w:top w:val="single" w:sz="6" w:space="0" w:color="808080"/>
              <w:left w:val="nil"/>
              <w:bottom w:val="single" w:sz="6" w:space="0" w:color="808080"/>
              <w:right w:val="nil"/>
            </w:tcBorders>
            <w:vAlign w:val="bottom"/>
          </w:tcPr>
          <w:p w14:paraId="70D22D37"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183</w:t>
            </w:r>
          </w:p>
        </w:tc>
        <w:tc>
          <w:tcPr>
            <w:tcW w:w="990" w:type="dxa"/>
            <w:tcBorders>
              <w:top w:val="single" w:sz="6" w:space="0" w:color="808080"/>
              <w:left w:val="nil"/>
              <w:bottom w:val="single" w:sz="6" w:space="0" w:color="808080"/>
              <w:right w:val="nil"/>
            </w:tcBorders>
            <w:vAlign w:val="bottom"/>
          </w:tcPr>
          <w:p w14:paraId="4A1D929D"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596</w:t>
            </w:r>
          </w:p>
        </w:tc>
      </w:tr>
      <w:tr w:rsidR="00BF48B0" w14:paraId="651DA187" w14:textId="77777777" w:rsidTr="004978CA">
        <w:trPr>
          <w:trHeight w:val="45"/>
        </w:trPr>
        <w:tc>
          <w:tcPr>
            <w:tcW w:w="2340" w:type="dxa"/>
            <w:tcBorders>
              <w:top w:val="single" w:sz="6" w:space="0" w:color="808080"/>
              <w:left w:val="nil"/>
              <w:bottom w:val="single" w:sz="6" w:space="0" w:color="808080"/>
              <w:right w:val="nil"/>
            </w:tcBorders>
            <w:vAlign w:val="bottom"/>
          </w:tcPr>
          <w:p w14:paraId="4FFD7830" w14:textId="75D7DE51" w:rsidR="00BD0120" w:rsidRDefault="007E5593"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 xml:space="preserve">San Mateo </w:t>
            </w:r>
          </w:p>
        </w:tc>
        <w:tc>
          <w:tcPr>
            <w:tcW w:w="1260" w:type="dxa"/>
            <w:tcBorders>
              <w:top w:val="single" w:sz="6" w:space="0" w:color="808080"/>
              <w:left w:val="nil"/>
              <w:bottom w:val="single" w:sz="6" w:space="0" w:color="808080"/>
              <w:right w:val="nil"/>
            </w:tcBorders>
            <w:vAlign w:val="bottom"/>
          </w:tcPr>
          <w:p w14:paraId="49F89F15"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429</w:t>
            </w:r>
          </w:p>
        </w:tc>
        <w:tc>
          <w:tcPr>
            <w:tcW w:w="1440" w:type="dxa"/>
            <w:tcBorders>
              <w:top w:val="single" w:sz="6" w:space="0" w:color="808080"/>
              <w:left w:val="nil"/>
              <w:bottom w:val="single" w:sz="6" w:space="0" w:color="808080"/>
              <w:right w:val="nil"/>
            </w:tcBorders>
            <w:vAlign w:val="bottom"/>
          </w:tcPr>
          <w:p w14:paraId="61FBB3B5"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430</w:t>
            </w:r>
          </w:p>
        </w:tc>
        <w:tc>
          <w:tcPr>
            <w:tcW w:w="1440" w:type="dxa"/>
            <w:tcBorders>
              <w:top w:val="single" w:sz="6" w:space="0" w:color="808080"/>
              <w:left w:val="nil"/>
              <w:bottom w:val="single" w:sz="6" w:space="0" w:color="808080"/>
              <w:right w:val="nil"/>
            </w:tcBorders>
            <w:vAlign w:val="bottom"/>
          </w:tcPr>
          <w:p w14:paraId="102A00BF"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469</w:t>
            </w:r>
          </w:p>
        </w:tc>
        <w:tc>
          <w:tcPr>
            <w:tcW w:w="1530" w:type="dxa"/>
            <w:tcBorders>
              <w:top w:val="single" w:sz="6" w:space="0" w:color="808080"/>
              <w:left w:val="nil"/>
              <w:bottom w:val="single" w:sz="6" w:space="0" w:color="808080"/>
              <w:right w:val="nil"/>
            </w:tcBorders>
            <w:vAlign w:val="bottom"/>
          </w:tcPr>
          <w:p w14:paraId="366B58A2"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530</w:t>
            </w:r>
          </w:p>
        </w:tc>
        <w:tc>
          <w:tcPr>
            <w:tcW w:w="1170" w:type="dxa"/>
            <w:tcBorders>
              <w:top w:val="single" w:sz="6" w:space="0" w:color="808080"/>
              <w:left w:val="nil"/>
              <w:bottom w:val="single" w:sz="6" w:space="0" w:color="808080"/>
              <w:right w:val="nil"/>
            </w:tcBorders>
            <w:vAlign w:val="bottom"/>
          </w:tcPr>
          <w:p w14:paraId="4F341000"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1,242</w:t>
            </w:r>
          </w:p>
        </w:tc>
        <w:tc>
          <w:tcPr>
            <w:tcW w:w="990" w:type="dxa"/>
            <w:tcBorders>
              <w:top w:val="single" w:sz="6" w:space="0" w:color="808080"/>
              <w:left w:val="nil"/>
              <w:bottom w:val="single" w:sz="6" w:space="0" w:color="808080"/>
              <w:right w:val="nil"/>
            </w:tcBorders>
            <w:vAlign w:val="bottom"/>
          </w:tcPr>
          <w:p w14:paraId="1B569EFA"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3,100</w:t>
            </w:r>
          </w:p>
        </w:tc>
      </w:tr>
      <w:tr w:rsidR="00BF48B0" w14:paraId="394519B9" w14:textId="77777777" w:rsidTr="004978CA">
        <w:trPr>
          <w:trHeight w:val="138"/>
        </w:trPr>
        <w:tc>
          <w:tcPr>
            <w:tcW w:w="2340" w:type="dxa"/>
            <w:tcBorders>
              <w:top w:val="single" w:sz="6" w:space="0" w:color="808080"/>
              <w:left w:val="nil"/>
              <w:bottom w:val="single" w:sz="6" w:space="0" w:color="808080"/>
              <w:right w:val="nil"/>
            </w:tcBorders>
            <w:vAlign w:val="bottom"/>
          </w:tcPr>
          <w:p w14:paraId="3CCAA789"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South San Francisco</w:t>
            </w:r>
          </w:p>
        </w:tc>
        <w:tc>
          <w:tcPr>
            <w:tcW w:w="1260" w:type="dxa"/>
            <w:tcBorders>
              <w:top w:val="single" w:sz="6" w:space="0" w:color="808080"/>
              <w:left w:val="nil"/>
              <w:bottom w:val="single" w:sz="6" w:space="0" w:color="808080"/>
              <w:right w:val="nil"/>
            </w:tcBorders>
            <w:vAlign w:val="bottom"/>
          </w:tcPr>
          <w:p w14:paraId="458A1766"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282</w:t>
            </w:r>
          </w:p>
        </w:tc>
        <w:tc>
          <w:tcPr>
            <w:tcW w:w="1440" w:type="dxa"/>
            <w:tcBorders>
              <w:top w:val="single" w:sz="6" w:space="0" w:color="808080"/>
              <w:left w:val="nil"/>
              <w:bottom w:val="single" w:sz="6" w:space="0" w:color="808080"/>
              <w:right w:val="nil"/>
            </w:tcBorders>
            <w:vAlign w:val="bottom"/>
          </w:tcPr>
          <w:p w14:paraId="5DB07BB8"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283</w:t>
            </w:r>
          </w:p>
        </w:tc>
        <w:tc>
          <w:tcPr>
            <w:tcW w:w="1440" w:type="dxa"/>
            <w:tcBorders>
              <w:top w:val="single" w:sz="6" w:space="0" w:color="808080"/>
              <w:left w:val="nil"/>
              <w:bottom w:val="single" w:sz="6" w:space="0" w:color="808080"/>
              <w:right w:val="nil"/>
            </w:tcBorders>
            <w:vAlign w:val="bottom"/>
          </w:tcPr>
          <w:p w14:paraId="56872F9D"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281</w:t>
            </w:r>
          </w:p>
        </w:tc>
        <w:tc>
          <w:tcPr>
            <w:tcW w:w="1530" w:type="dxa"/>
            <w:tcBorders>
              <w:top w:val="single" w:sz="6" w:space="0" w:color="808080"/>
              <w:left w:val="nil"/>
              <w:bottom w:val="single" w:sz="6" w:space="0" w:color="808080"/>
              <w:right w:val="nil"/>
            </w:tcBorders>
            <w:vAlign w:val="bottom"/>
          </w:tcPr>
          <w:p w14:paraId="1B3A77D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313</w:t>
            </w:r>
          </w:p>
        </w:tc>
        <w:tc>
          <w:tcPr>
            <w:tcW w:w="1170" w:type="dxa"/>
            <w:tcBorders>
              <w:top w:val="single" w:sz="6" w:space="0" w:color="808080"/>
              <w:left w:val="nil"/>
              <w:bottom w:val="single" w:sz="6" w:space="0" w:color="808080"/>
              <w:right w:val="nil"/>
            </w:tcBorders>
            <w:vAlign w:val="bottom"/>
          </w:tcPr>
          <w:p w14:paraId="2D148332"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705</w:t>
            </w:r>
          </w:p>
        </w:tc>
        <w:tc>
          <w:tcPr>
            <w:tcW w:w="990" w:type="dxa"/>
            <w:tcBorders>
              <w:top w:val="single" w:sz="6" w:space="0" w:color="808080"/>
              <w:left w:val="nil"/>
              <w:bottom w:val="single" w:sz="6" w:space="0" w:color="808080"/>
              <w:right w:val="nil"/>
            </w:tcBorders>
            <w:vAlign w:val="bottom"/>
          </w:tcPr>
          <w:p w14:paraId="06F9D3F5"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1,864</w:t>
            </w:r>
          </w:p>
        </w:tc>
      </w:tr>
      <w:tr w:rsidR="00BF48B0" w14:paraId="0043FBB5" w14:textId="77777777" w:rsidTr="004978CA">
        <w:trPr>
          <w:trHeight w:val="93"/>
        </w:trPr>
        <w:tc>
          <w:tcPr>
            <w:tcW w:w="2340" w:type="dxa"/>
            <w:tcBorders>
              <w:top w:val="single" w:sz="6" w:space="0" w:color="808080"/>
              <w:left w:val="nil"/>
              <w:bottom w:val="single" w:sz="6" w:space="0" w:color="808080"/>
              <w:right w:val="nil"/>
            </w:tcBorders>
            <w:vAlign w:val="bottom"/>
          </w:tcPr>
          <w:p w14:paraId="2AF89F22" w14:textId="77777777" w:rsidR="00BD0120" w:rsidRDefault="00BD0120"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Woodside</w:t>
            </w:r>
          </w:p>
        </w:tc>
        <w:tc>
          <w:tcPr>
            <w:tcW w:w="1260" w:type="dxa"/>
            <w:tcBorders>
              <w:top w:val="single" w:sz="6" w:space="0" w:color="808080"/>
              <w:left w:val="nil"/>
              <w:bottom w:val="single" w:sz="6" w:space="0" w:color="808080"/>
              <w:right w:val="nil"/>
            </w:tcBorders>
            <w:vAlign w:val="bottom"/>
          </w:tcPr>
          <w:p w14:paraId="1EFD956C"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11</w:t>
            </w:r>
          </w:p>
        </w:tc>
        <w:tc>
          <w:tcPr>
            <w:tcW w:w="1440" w:type="dxa"/>
            <w:tcBorders>
              <w:top w:val="single" w:sz="6" w:space="0" w:color="808080"/>
              <w:left w:val="nil"/>
              <w:bottom w:val="single" w:sz="6" w:space="0" w:color="808080"/>
              <w:right w:val="nil"/>
            </w:tcBorders>
            <w:vAlign w:val="bottom"/>
          </w:tcPr>
          <w:p w14:paraId="015A2150"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12</w:t>
            </w:r>
          </w:p>
        </w:tc>
        <w:tc>
          <w:tcPr>
            <w:tcW w:w="1440" w:type="dxa"/>
            <w:tcBorders>
              <w:top w:val="single" w:sz="6" w:space="0" w:color="808080"/>
              <w:left w:val="nil"/>
              <w:bottom w:val="single" w:sz="6" w:space="0" w:color="808080"/>
              <w:right w:val="nil"/>
            </w:tcBorders>
            <w:vAlign w:val="bottom"/>
          </w:tcPr>
          <w:p w14:paraId="79BC9BB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13</w:t>
            </w:r>
          </w:p>
        </w:tc>
        <w:tc>
          <w:tcPr>
            <w:tcW w:w="1530" w:type="dxa"/>
            <w:tcBorders>
              <w:top w:val="single" w:sz="6" w:space="0" w:color="808080"/>
              <w:left w:val="nil"/>
              <w:bottom w:val="single" w:sz="6" w:space="0" w:color="808080"/>
              <w:right w:val="nil"/>
            </w:tcBorders>
            <w:vAlign w:val="bottom"/>
          </w:tcPr>
          <w:p w14:paraId="53AE3796"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15</w:t>
            </w:r>
          </w:p>
        </w:tc>
        <w:tc>
          <w:tcPr>
            <w:tcW w:w="1170" w:type="dxa"/>
            <w:tcBorders>
              <w:top w:val="single" w:sz="6" w:space="0" w:color="808080"/>
              <w:left w:val="nil"/>
              <w:bottom w:val="single" w:sz="6" w:space="0" w:color="808080"/>
              <w:right w:val="nil"/>
            </w:tcBorders>
            <w:vAlign w:val="bottom"/>
          </w:tcPr>
          <w:p w14:paraId="5D9749C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11</w:t>
            </w:r>
          </w:p>
        </w:tc>
        <w:tc>
          <w:tcPr>
            <w:tcW w:w="990" w:type="dxa"/>
            <w:tcBorders>
              <w:top w:val="single" w:sz="6" w:space="0" w:color="808080"/>
              <w:left w:val="nil"/>
              <w:bottom w:val="single" w:sz="6" w:space="0" w:color="808080"/>
              <w:right w:val="nil"/>
            </w:tcBorders>
            <w:vAlign w:val="bottom"/>
          </w:tcPr>
          <w:p w14:paraId="0FF68B20"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62</w:t>
            </w:r>
          </w:p>
        </w:tc>
      </w:tr>
      <w:tr w:rsidR="00BF48B0" w14:paraId="35530E49" w14:textId="77777777" w:rsidTr="004978CA">
        <w:trPr>
          <w:trHeight w:val="300"/>
        </w:trPr>
        <w:tc>
          <w:tcPr>
            <w:tcW w:w="2340" w:type="dxa"/>
            <w:tcBorders>
              <w:top w:val="single" w:sz="6" w:space="0" w:color="808080"/>
              <w:left w:val="nil"/>
              <w:bottom w:val="single" w:sz="6" w:space="0" w:color="auto"/>
              <w:right w:val="nil"/>
            </w:tcBorders>
            <w:vAlign w:val="bottom"/>
          </w:tcPr>
          <w:p w14:paraId="4B1C0141" w14:textId="68405548" w:rsidR="00BD0120" w:rsidRDefault="004978CA"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Unincorporated</w:t>
            </w:r>
          </w:p>
        </w:tc>
        <w:tc>
          <w:tcPr>
            <w:tcW w:w="1260" w:type="dxa"/>
            <w:tcBorders>
              <w:top w:val="single" w:sz="6" w:space="0" w:color="808080"/>
              <w:left w:val="nil"/>
              <w:bottom w:val="single" w:sz="6" w:space="0" w:color="auto"/>
              <w:right w:val="nil"/>
            </w:tcBorders>
            <w:vAlign w:val="bottom"/>
          </w:tcPr>
          <w:p w14:paraId="0C6904CB"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76</w:t>
            </w:r>
          </w:p>
        </w:tc>
        <w:tc>
          <w:tcPr>
            <w:tcW w:w="1440" w:type="dxa"/>
            <w:tcBorders>
              <w:top w:val="single" w:sz="6" w:space="0" w:color="808080"/>
              <w:left w:val="nil"/>
              <w:bottom w:val="single" w:sz="6" w:space="0" w:color="auto"/>
              <w:right w:val="nil"/>
            </w:tcBorders>
            <w:vAlign w:val="bottom"/>
          </w:tcPr>
          <w:p w14:paraId="33E98A02"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77</w:t>
            </w:r>
          </w:p>
        </w:tc>
        <w:tc>
          <w:tcPr>
            <w:tcW w:w="1440" w:type="dxa"/>
            <w:tcBorders>
              <w:top w:val="single" w:sz="6" w:space="0" w:color="808080"/>
              <w:left w:val="nil"/>
              <w:bottom w:val="single" w:sz="6" w:space="0" w:color="auto"/>
              <w:right w:val="nil"/>
            </w:tcBorders>
            <w:vAlign w:val="bottom"/>
          </w:tcPr>
          <w:p w14:paraId="2160334A"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103</w:t>
            </w:r>
          </w:p>
        </w:tc>
        <w:tc>
          <w:tcPr>
            <w:tcW w:w="1530" w:type="dxa"/>
            <w:tcBorders>
              <w:top w:val="single" w:sz="6" w:space="0" w:color="808080"/>
              <w:left w:val="nil"/>
              <w:bottom w:val="single" w:sz="6" w:space="0" w:color="auto"/>
              <w:right w:val="nil"/>
            </w:tcBorders>
            <w:vAlign w:val="bottom"/>
          </w:tcPr>
          <w:p w14:paraId="029C5915"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102</w:t>
            </w:r>
          </w:p>
        </w:tc>
        <w:tc>
          <w:tcPr>
            <w:tcW w:w="1170" w:type="dxa"/>
            <w:tcBorders>
              <w:top w:val="single" w:sz="6" w:space="0" w:color="808080"/>
              <w:left w:val="nil"/>
              <w:bottom w:val="single" w:sz="6" w:space="0" w:color="auto"/>
              <w:right w:val="nil"/>
            </w:tcBorders>
            <w:vAlign w:val="bottom"/>
          </w:tcPr>
          <w:p w14:paraId="43121AC6"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555</w:t>
            </w:r>
          </w:p>
        </w:tc>
        <w:tc>
          <w:tcPr>
            <w:tcW w:w="990" w:type="dxa"/>
            <w:tcBorders>
              <w:top w:val="single" w:sz="6" w:space="0" w:color="808080"/>
              <w:left w:val="nil"/>
              <w:bottom w:val="single" w:sz="6" w:space="0" w:color="auto"/>
              <w:right w:val="nil"/>
            </w:tcBorders>
            <w:vAlign w:val="bottom"/>
          </w:tcPr>
          <w:p w14:paraId="2899F4DA"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913</w:t>
            </w:r>
          </w:p>
        </w:tc>
      </w:tr>
      <w:tr w:rsidR="00BF48B0" w14:paraId="0A2455AB" w14:textId="77777777" w:rsidTr="004978CA">
        <w:trPr>
          <w:trHeight w:val="45"/>
        </w:trPr>
        <w:tc>
          <w:tcPr>
            <w:tcW w:w="2340" w:type="dxa"/>
            <w:tcBorders>
              <w:top w:val="nil"/>
              <w:left w:val="nil"/>
              <w:bottom w:val="single" w:sz="6" w:space="0" w:color="auto"/>
              <w:right w:val="nil"/>
            </w:tcBorders>
            <w:vAlign w:val="bottom"/>
          </w:tcPr>
          <w:p w14:paraId="4E57DE1C" w14:textId="0A878023" w:rsidR="00BD0120" w:rsidRDefault="004978CA" w:rsidP="00BF48B0">
            <w:pPr>
              <w:widowControl w:val="0"/>
              <w:autoSpaceDE w:val="0"/>
              <w:autoSpaceDN w:val="0"/>
              <w:adjustRightInd w:val="0"/>
              <w:ind w:left="-108"/>
              <w:rPr>
                <w:rFonts w:cs="Century Gothic"/>
                <w:color w:val="000000"/>
                <w:sz w:val="18"/>
                <w:szCs w:val="18"/>
              </w:rPr>
            </w:pPr>
            <w:r>
              <w:rPr>
                <w:rFonts w:cs="Century Gothic"/>
                <w:color w:val="000000"/>
                <w:sz w:val="18"/>
                <w:szCs w:val="18"/>
              </w:rPr>
              <w:t xml:space="preserve">San Mateo County </w:t>
            </w:r>
            <w:r w:rsidR="00BD0120">
              <w:rPr>
                <w:rFonts w:cs="Century Gothic"/>
                <w:color w:val="000000"/>
                <w:sz w:val="18"/>
                <w:szCs w:val="18"/>
              </w:rPr>
              <w:t>Total</w:t>
            </w:r>
          </w:p>
        </w:tc>
        <w:tc>
          <w:tcPr>
            <w:tcW w:w="1260" w:type="dxa"/>
            <w:tcBorders>
              <w:top w:val="nil"/>
              <w:left w:val="nil"/>
              <w:bottom w:val="single" w:sz="6" w:space="0" w:color="auto"/>
              <w:right w:val="nil"/>
            </w:tcBorders>
            <w:vAlign w:val="bottom"/>
          </w:tcPr>
          <w:p w14:paraId="1BF0BEFA"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2,292</w:t>
            </w:r>
          </w:p>
        </w:tc>
        <w:tc>
          <w:tcPr>
            <w:tcW w:w="1440" w:type="dxa"/>
            <w:tcBorders>
              <w:top w:val="nil"/>
              <w:left w:val="nil"/>
              <w:bottom w:val="single" w:sz="6" w:space="0" w:color="auto"/>
              <w:right w:val="nil"/>
            </w:tcBorders>
            <w:vAlign w:val="bottom"/>
          </w:tcPr>
          <w:p w14:paraId="7DDB3863"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2,303</w:t>
            </w:r>
          </w:p>
        </w:tc>
        <w:tc>
          <w:tcPr>
            <w:tcW w:w="1440" w:type="dxa"/>
            <w:tcBorders>
              <w:top w:val="nil"/>
              <w:left w:val="nil"/>
              <w:bottom w:val="single" w:sz="6" w:space="0" w:color="auto"/>
              <w:right w:val="nil"/>
            </w:tcBorders>
            <w:vAlign w:val="bottom"/>
          </w:tcPr>
          <w:p w14:paraId="5E0F1750"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2,507</w:t>
            </w:r>
          </w:p>
        </w:tc>
        <w:tc>
          <w:tcPr>
            <w:tcW w:w="1530" w:type="dxa"/>
            <w:tcBorders>
              <w:top w:val="nil"/>
              <w:left w:val="nil"/>
              <w:bottom w:val="single" w:sz="6" w:space="0" w:color="auto"/>
              <w:right w:val="nil"/>
            </w:tcBorders>
            <w:vAlign w:val="bottom"/>
          </w:tcPr>
          <w:p w14:paraId="03FE40E4"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2,830</w:t>
            </w:r>
          </w:p>
        </w:tc>
        <w:tc>
          <w:tcPr>
            <w:tcW w:w="1170" w:type="dxa"/>
            <w:tcBorders>
              <w:top w:val="nil"/>
              <w:left w:val="nil"/>
              <w:bottom w:val="single" w:sz="6" w:space="0" w:color="auto"/>
              <w:right w:val="nil"/>
            </w:tcBorders>
            <w:vAlign w:val="bottom"/>
          </w:tcPr>
          <w:p w14:paraId="4C0C22B9" w14:textId="77777777" w:rsidR="00BD0120" w:rsidRDefault="00BD0120" w:rsidP="00BF48B0">
            <w:pPr>
              <w:widowControl w:val="0"/>
              <w:autoSpaceDE w:val="0"/>
              <w:autoSpaceDN w:val="0"/>
              <w:adjustRightInd w:val="0"/>
              <w:jc w:val="right"/>
              <w:rPr>
                <w:rFonts w:cs="Century Gothic"/>
                <w:color w:val="000000"/>
                <w:sz w:val="18"/>
                <w:szCs w:val="18"/>
              </w:rPr>
            </w:pPr>
            <w:r>
              <w:rPr>
                <w:rFonts w:cs="Century Gothic"/>
                <w:color w:val="000000"/>
                <w:sz w:val="18"/>
                <w:szCs w:val="18"/>
              </w:rPr>
              <w:t>6,486</w:t>
            </w:r>
          </w:p>
        </w:tc>
        <w:tc>
          <w:tcPr>
            <w:tcW w:w="990" w:type="dxa"/>
            <w:tcBorders>
              <w:top w:val="nil"/>
              <w:left w:val="nil"/>
              <w:bottom w:val="single" w:sz="6" w:space="0" w:color="auto"/>
              <w:right w:val="nil"/>
            </w:tcBorders>
            <w:vAlign w:val="bottom"/>
          </w:tcPr>
          <w:p w14:paraId="089D0062" w14:textId="77777777" w:rsidR="00BD0120" w:rsidRDefault="00BD0120" w:rsidP="00BF48B0">
            <w:pPr>
              <w:widowControl w:val="0"/>
              <w:autoSpaceDE w:val="0"/>
              <w:autoSpaceDN w:val="0"/>
              <w:adjustRightInd w:val="0"/>
              <w:ind w:right="-108"/>
              <w:jc w:val="right"/>
              <w:rPr>
                <w:rFonts w:cs="Century Gothic"/>
                <w:color w:val="000000"/>
                <w:sz w:val="18"/>
                <w:szCs w:val="18"/>
              </w:rPr>
            </w:pPr>
            <w:r>
              <w:rPr>
                <w:rFonts w:cs="Century Gothic"/>
                <w:color w:val="000000"/>
                <w:sz w:val="18"/>
                <w:szCs w:val="18"/>
              </w:rPr>
              <w:t>16,418</w:t>
            </w:r>
          </w:p>
        </w:tc>
      </w:tr>
      <w:tr w:rsidR="004126F8" w:rsidRPr="000B147D" w14:paraId="5E3C1126" w14:textId="77777777" w:rsidTr="004978CA">
        <w:trPr>
          <w:trHeight w:val="48"/>
        </w:trPr>
        <w:tc>
          <w:tcPr>
            <w:tcW w:w="10170" w:type="dxa"/>
            <w:gridSpan w:val="7"/>
            <w:tcBorders>
              <w:top w:val="single" w:sz="6" w:space="0" w:color="auto"/>
              <w:left w:val="nil"/>
              <w:right w:val="nil"/>
            </w:tcBorders>
          </w:tcPr>
          <w:p w14:paraId="4B969C31" w14:textId="77777777" w:rsidR="000B147D" w:rsidRPr="000B147D" w:rsidRDefault="000B147D" w:rsidP="000B147D">
            <w:pPr>
              <w:widowControl w:val="0"/>
              <w:autoSpaceDE w:val="0"/>
              <w:autoSpaceDN w:val="0"/>
              <w:adjustRightInd w:val="0"/>
              <w:spacing w:line="240" w:lineRule="auto"/>
              <w:rPr>
                <w:rFonts w:cs="Century Gothic"/>
                <w:iCs/>
                <w:color w:val="000000"/>
                <w:sz w:val="12"/>
                <w:szCs w:val="16"/>
              </w:rPr>
            </w:pPr>
          </w:p>
          <w:p w14:paraId="2EF73F17" w14:textId="77777777" w:rsidR="00BD0120" w:rsidRPr="000B147D" w:rsidRDefault="00BD0120" w:rsidP="000B147D">
            <w:pPr>
              <w:widowControl w:val="0"/>
              <w:autoSpaceDE w:val="0"/>
              <w:autoSpaceDN w:val="0"/>
              <w:adjustRightInd w:val="0"/>
              <w:spacing w:line="240" w:lineRule="auto"/>
              <w:rPr>
                <w:rFonts w:cs="Century Gothic"/>
                <w:iCs/>
                <w:color w:val="000000"/>
                <w:sz w:val="18"/>
                <w:szCs w:val="16"/>
              </w:rPr>
            </w:pPr>
            <w:r w:rsidRPr="000B147D">
              <w:rPr>
                <w:rFonts w:cs="Century Gothic"/>
                <w:iCs/>
                <w:color w:val="000000"/>
                <w:sz w:val="18"/>
                <w:szCs w:val="16"/>
              </w:rPr>
              <w:t>Source: Association of Bay Area Governments, Final 2014-2022 Regional Housing Need Allocation by County. Yearly Income is based on a family of four.</w:t>
            </w:r>
          </w:p>
        </w:tc>
      </w:tr>
      <w:tr w:rsidR="004126F8" w14:paraId="35EFA6FA" w14:textId="77777777" w:rsidTr="004978CA">
        <w:trPr>
          <w:trHeight w:val="60"/>
        </w:trPr>
        <w:tc>
          <w:tcPr>
            <w:tcW w:w="10170" w:type="dxa"/>
            <w:gridSpan w:val="7"/>
            <w:tcBorders>
              <w:top w:val="nil"/>
              <w:left w:val="nil"/>
              <w:bottom w:val="nil"/>
            </w:tcBorders>
            <w:shd w:val="clear" w:color="auto" w:fill="auto"/>
          </w:tcPr>
          <w:p w14:paraId="416AB6B2" w14:textId="77777777" w:rsidR="00BD0120" w:rsidRDefault="00BD0120" w:rsidP="00BD0120">
            <w:pPr>
              <w:widowControl w:val="0"/>
              <w:autoSpaceDE w:val="0"/>
              <w:autoSpaceDN w:val="0"/>
              <w:adjustRightInd w:val="0"/>
              <w:rPr>
                <w:rFonts w:cs="Century Gothic"/>
                <w:i/>
                <w:iCs/>
                <w:color w:val="000000"/>
                <w:sz w:val="16"/>
                <w:szCs w:val="16"/>
              </w:rPr>
            </w:pPr>
          </w:p>
        </w:tc>
      </w:tr>
    </w:tbl>
    <w:p w14:paraId="7E2A0B09" w14:textId="057C8403" w:rsidR="00D25635" w:rsidRDefault="00D25635" w:rsidP="00067077"/>
    <w:p w14:paraId="032A1E40" w14:textId="77777777" w:rsidR="00B15C3D" w:rsidRPr="006C4E74" w:rsidRDefault="00B15C3D" w:rsidP="00067077">
      <w:pPr>
        <w:pStyle w:val="heading10"/>
        <w:rPr>
          <w:color w:val="0B5095"/>
        </w:rPr>
      </w:pPr>
      <w:r w:rsidRPr="006C4E74">
        <w:rPr>
          <w:color w:val="0B5095"/>
        </w:rPr>
        <w:t xml:space="preserve">Special Housing Needs </w:t>
      </w:r>
    </w:p>
    <w:p w14:paraId="352ABBA1" w14:textId="60BAEB29" w:rsidR="00B15C3D" w:rsidRDefault="00B15C3D" w:rsidP="00067077">
      <w:pPr>
        <w:pStyle w:val="21ElementsText"/>
      </w:pPr>
      <w:r w:rsidRPr="00F477A2">
        <w:t>Certain groups have greater difficulty in finding decent, affordable housing due to their special circumstances. Special circumstances may be related to employment and income, family characteristics, disability, and household characteristics</w:t>
      </w:r>
      <w:r>
        <w:t>.</w:t>
      </w:r>
      <w:r w:rsidR="00195DA8">
        <w:t xml:space="preserve"> </w:t>
      </w:r>
    </w:p>
    <w:p w14:paraId="436CD637" w14:textId="77777777" w:rsidR="00B15C3D" w:rsidRPr="00F477A2" w:rsidRDefault="00B15C3D" w:rsidP="00067077">
      <w:pPr>
        <w:pStyle w:val="21ElementsText"/>
      </w:pPr>
    </w:p>
    <w:p w14:paraId="098F244F" w14:textId="7BF48CE6" w:rsidR="00726380" w:rsidRPr="00F477A2" w:rsidRDefault="00726380" w:rsidP="00726380">
      <w:r w:rsidRPr="00236E9F">
        <w:t>In addition to overall housing needs, cities and counties must plan for the special housing needs of certain groups. State law (65583(a)(6)) requires that several populations with special needs be addres</w:t>
      </w:r>
      <w:r>
        <w:t xml:space="preserve">sed — homeless people, seniors, </w:t>
      </w:r>
      <w:r w:rsidRPr="00236E9F">
        <w:t>p</w:t>
      </w:r>
      <w:r>
        <w:t>eople</w:t>
      </w:r>
      <w:r w:rsidR="00C37606">
        <w:t xml:space="preserve"> who are</w:t>
      </w:r>
      <w:r w:rsidRPr="00236E9F">
        <w:t xml:space="preserve"> living with </w:t>
      </w:r>
      <w:r>
        <w:t>a disability</w:t>
      </w:r>
      <w:r w:rsidRPr="00236E9F">
        <w:t>, large families</w:t>
      </w:r>
      <w:r>
        <w:t>,</w:t>
      </w:r>
      <w:r w:rsidRPr="00236E9F">
        <w:t xml:space="preserve"> female</w:t>
      </w:r>
      <w:r w:rsidRPr="00236E9F">
        <w:noBreakHyphen/>
        <w:t>headed households</w:t>
      </w:r>
      <w:r>
        <w:t xml:space="preserve"> and farmworkers</w:t>
      </w:r>
      <w:r w:rsidRPr="00236E9F">
        <w:t xml:space="preserve">. </w:t>
      </w:r>
      <w:r w:rsidRPr="00F477A2">
        <w:t>This section provides a discussion of the housing needs facing each grou</w:t>
      </w:r>
      <w:r>
        <w:t xml:space="preserve">p. </w:t>
      </w:r>
    </w:p>
    <w:p w14:paraId="093E591E" w14:textId="77777777" w:rsidR="00B15C3D" w:rsidRDefault="00B15C3D" w:rsidP="00067077">
      <w:pPr>
        <w:rPr>
          <w:i/>
        </w:rPr>
      </w:pPr>
    </w:p>
    <w:p w14:paraId="53E6D3EC" w14:textId="77777777" w:rsidR="00D25635" w:rsidRPr="00812AE9" w:rsidRDefault="00D25635" w:rsidP="00067077">
      <w:pPr>
        <w:rPr>
          <w:b/>
          <w:color w:val="0B5095"/>
          <w:sz w:val="24"/>
          <w:szCs w:val="28"/>
        </w:rPr>
      </w:pPr>
      <w:r w:rsidRPr="00812AE9">
        <w:rPr>
          <w:b/>
          <w:color w:val="0B5095"/>
          <w:sz w:val="24"/>
          <w:szCs w:val="28"/>
        </w:rPr>
        <w:t>Seniors</w:t>
      </w:r>
    </w:p>
    <w:p w14:paraId="2AB1B8EB" w14:textId="34C43A7F" w:rsidR="003C454C" w:rsidRPr="00C37606" w:rsidRDefault="00812AE9" w:rsidP="003C454C">
      <w:r w:rsidRPr="00812AE9">
        <w:t xml:space="preserve">Seniors face many housing challenges as they age, including the likelihood of a fixed budget, higher medical costs and greater likelihood of disabilities. </w:t>
      </w:r>
      <w:r w:rsidR="0082463F" w:rsidRPr="00C37606">
        <w:t>According t</w:t>
      </w:r>
      <w:r w:rsidRPr="00C37606">
        <w:t xml:space="preserve">o </w:t>
      </w:r>
      <w:r w:rsidR="0082463F" w:rsidRPr="00C37606">
        <w:t xml:space="preserve">the </w:t>
      </w:r>
      <w:r w:rsidR="00D3324F" w:rsidRPr="00C37606">
        <w:t>census,</w:t>
      </w:r>
      <w:r w:rsidRPr="00C37606">
        <w:t xml:space="preserve"> there are </w:t>
      </w:r>
      <w:r w:rsidR="00D3324F" w:rsidRPr="00C37606">
        <w:t xml:space="preserve">currently </w:t>
      </w:r>
      <w:r w:rsidRPr="00C37606">
        <w:t xml:space="preserve">approximately 2,300 seniors living in </w:t>
      </w:r>
      <w:r w:rsidR="00853231" w:rsidRPr="00C37606">
        <w:t>Hillsborough</w:t>
      </w:r>
      <w:r w:rsidRPr="00C37606">
        <w:t xml:space="preserve">. </w:t>
      </w:r>
      <w:r w:rsidR="003C454C" w:rsidRPr="00C37606">
        <w:t>Ther</w:t>
      </w:r>
      <w:r w:rsidR="00AA593F">
        <w:t>e are approximately 1,974</w:t>
      </w:r>
      <w:r w:rsidR="003C454C" w:rsidRPr="00C37606">
        <w:t xml:space="preserve"> seniors living in Hillsborough. </w:t>
      </w:r>
    </w:p>
    <w:p w14:paraId="7F0FC64A" w14:textId="77777777" w:rsidR="003C454C" w:rsidRPr="003C454C" w:rsidRDefault="003C454C" w:rsidP="003C454C">
      <w:pPr>
        <w:rPr>
          <w:highlight w:val="cyan"/>
        </w:rPr>
      </w:pPr>
    </w:p>
    <w:p w14:paraId="4A243B80" w14:textId="77777777" w:rsidR="00812AE9" w:rsidRPr="00812AE9" w:rsidRDefault="00812AE9" w:rsidP="00812AE9">
      <w:pPr>
        <w:rPr>
          <w:rFonts w:cs="Arial"/>
          <w:szCs w:val="22"/>
        </w:rPr>
      </w:pPr>
      <w:r w:rsidRPr="00812AE9">
        <w:rPr>
          <w:rFonts w:cs="Arial"/>
          <w:szCs w:val="22"/>
        </w:rPr>
        <w:t xml:space="preserve">Seniors’ income tends to decline as they age. Young seniors often have some retirement savings or employment income that can supplement social security. More than 42 percent of seniors in the 65-74 year age bracket worked in the past year, while only 10 percent of seniors age 75 or more worked. Older seniors are more likely to use up their savings and therefore are more likely to live in poverty. </w:t>
      </w:r>
    </w:p>
    <w:p w14:paraId="6B0B7337" w14:textId="77777777" w:rsidR="00812AE9" w:rsidRPr="00812AE9" w:rsidRDefault="00812AE9" w:rsidP="00812AE9">
      <w:pPr>
        <w:rPr>
          <w:rFonts w:cs="Arial"/>
          <w:szCs w:val="22"/>
        </w:rPr>
      </w:pPr>
    </w:p>
    <w:p w14:paraId="314FFD64" w14:textId="77777777" w:rsidR="00812AE9" w:rsidRPr="00812AE9" w:rsidRDefault="00812AE9" w:rsidP="00812AE9">
      <w:pPr>
        <w:rPr>
          <w:rFonts w:cs="Arial"/>
          <w:szCs w:val="22"/>
        </w:rPr>
      </w:pPr>
      <w:r w:rsidRPr="00812AE9">
        <w:rPr>
          <w:rFonts w:cs="Arial"/>
          <w:szCs w:val="22"/>
        </w:rPr>
        <w:t>Younger seniors tend to need less support. Most prefer to stay in their home for as long as they can. They may benefit from programs to help them rehabilitate their homes to make them better for people to age in place. Older seniors often are unable to maintain a single family home and look to move to a smaller home or some type of senior living development. Senior renters are particularly at risk for displacement because their incomes are decreasing while their housing expenses are increasing.</w:t>
      </w:r>
    </w:p>
    <w:p w14:paraId="64B8BB45" w14:textId="77777777" w:rsidR="00812AE9" w:rsidRPr="00812AE9" w:rsidRDefault="00812AE9" w:rsidP="00812AE9">
      <w:pPr>
        <w:rPr>
          <w:rFonts w:cs="Arial"/>
          <w:szCs w:val="22"/>
        </w:rPr>
      </w:pPr>
    </w:p>
    <w:p w14:paraId="05DEC5E3" w14:textId="06470104" w:rsidR="00726380" w:rsidRPr="00812AE9" w:rsidRDefault="00726380" w:rsidP="00726380">
      <w:pPr>
        <w:rPr>
          <w:rFonts w:cs="Arial"/>
          <w:szCs w:val="22"/>
        </w:rPr>
      </w:pPr>
      <w:r w:rsidRPr="00812AE9">
        <w:rPr>
          <w:rFonts w:cs="Arial"/>
          <w:szCs w:val="22"/>
        </w:rPr>
        <w:t>The graph below shows the significant increase in the senior population in the United States</w:t>
      </w:r>
      <w:r>
        <w:rPr>
          <w:rFonts w:cs="Arial"/>
          <w:szCs w:val="22"/>
        </w:rPr>
        <w:t>, with a significant increase between 2011-2014 as baby boomers reach 65 years of age</w:t>
      </w:r>
      <w:r w:rsidRPr="00812AE9">
        <w:rPr>
          <w:rFonts w:cs="Arial"/>
          <w:szCs w:val="22"/>
        </w:rPr>
        <w:t>.</w:t>
      </w:r>
    </w:p>
    <w:p w14:paraId="61CCE252" w14:textId="77777777" w:rsidR="00812AE9" w:rsidRDefault="00812AE9" w:rsidP="00812AE9">
      <w:pPr>
        <w:autoSpaceDE w:val="0"/>
        <w:autoSpaceDN w:val="0"/>
        <w:adjustRightInd w:val="0"/>
        <w:rPr>
          <w:rFonts w:ascii="Arial" w:hAnsi="Arial" w:cs="Arial"/>
          <w:szCs w:val="22"/>
        </w:rPr>
      </w:pPr>
    </w:p>
    <w:p w14:paraId="32073675" w14:textId="77777777" w:rsidR="00C37606" w:rsidRDefault="00C37606">
      <w:pPr>
        <w:spacing w:line="240" w:lineRule="auto"/>
        <w:rPr>
          <w:rFonts w:cs="Arial"/>
          <w:b/>
          <w:sz w:val="20"/>
          <w:szCs w:val="20"/>
        </w:rPr>
      </w:pPr>
      <w:r>
        <w:rPr>
          <w:rFonts w:cs="Arial"/>
          <w:b/>
          <w:sz w:val="20"/>
          <w:szCs w:val="20"/>
        </w:rPr>
        <w:br w:type="page"/>
      </w:r>
    </w:p>
    <w:p w14:paraId="1CE8B9AC" w14:textId="7D2C92C3" w:rsidR="003C454C" w:rsidRDefault="003C454C" w:rsidP="003C454C">
      <w:pPr>
        <w:autoSpaceDE w:val="0"/>
        <w:autoSpaceDN w:val="0"/>
        <w:adjustRightInd w:val="0"/>
        <w:jc w:val="center"/>
        <w:rPr>
          <w:rFonts w:cs="Arial"/>
          <w:b/>
          <w:sz w:val="20"/>
          <w:szCs w:val="20"/>
        </w:rPr>
      </w:pPr>
      <w:r w:rsidRPr="00812AE9">
        <w:rPr>
          <w:rFonts w:cs="Arial"/>
          <w:b/>
          <w:sz w:val="20"/>
          <w:szCs w:val="20"/>
        </w:rPr>
        <w:t>Number of People Projected to Turn 65 Each Year in the United States</w:t>
      </w:r>
      <w:r>
        <w:rPr>
          <w:rFonts w:cs="Arial"/>
          <w:b/>
          <w:sz w:val="20"/>
          <w:szCs w:val="20"/>
        </w:rPr>
        <w:t xml:space="preserve"> (1996-2025)</w:t>
      </w:r>
    </w:p>
    <w:p w14:paraId="2727C66A" w14:textId="77777777" w:rsidR="003C454C" w:rsidRPr="00B35C8E" w:rsidRDefault="003C454C" w:rsidP="003C454C">
      <w:pPr>
        <w:autoSpaceDE w:val="0"/>
        <w:autoSpaceDN w:val="0"/>
        <w:adjustRightInd w:val="0"/>
        <w:jc w:val="center"/>
        <w:rPr>
          <w:rFonts w:cs="Arial"/>
          <w:b/>
          <w:sz w:val="6"/>
          <w:szCs w:val="20"/>
        </w:rPr>
      </w:pPr>
    </w:p>
    <w:p w14:paraId="5A46EE9D" w14:textId="77777777" w:rsidR="00812AE9" w:rsidRPr="00236E9F" w:rsidRDefault="00812AE9" w:rsidP="00812AE9">
      <w:pPr>
        <w:autoSpaceDE w:val="0"/>
        <w:autoSpaceDN w:val="0"/>
        <w:adjustRightInd w:val="0"/>
        <w:rPr>
          <w:rFonts w:ascii="Arial" w:hAnsi="Arial" w:cs="Arial"/>
          <w:szCs w:val="22"/>
        </w:rPr>
      </w:pPr>
      <w:r w:rsidRPr="007D3899">
        <w:rPr>
          <w:rFonts w:ascii="Arial" w:hAnsi="Arial"/>
          <w:noProof/>
          <w:szCs w:val="23"/>
        </w:rPr>
        <w:drawing>
          <wp:inline distT="0" distB="0" distL="0" distR="0" wp14:anchorId="11D9525E" wp14:editId="59399652">
            <wp:extent cx="4796118" cy="3037912"/>
            <wp:effectExtent l="0" t="0" r="5080" b="10160"/>
            <wp:docPr id="16" name="Picture 16" descr="People Turn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ople Turning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6118" cy="3037912"/>
                    </a:xfrm>
                    <a:prstGeom prst="rect">
                      <a:avLst/>
                    </a:prstGeom>
                    <a:noFill/>
                    <a:ln>
                      <a:noFill/>
                    </a:ln>
                  </pic:spPr>
                </pic:pic>
              </a:graphicData>
            </a:graphic>
          </wp:inline>
        </w:drawing>
      </w:r>
    </w:p>
    <w:p w14:paraId="6E3CECAD" w14:textId="77777777" w:rsidR="00812AE9" w:rsidRPr="004F1EC3" w:rsidRDefault="00812AE9" w:rsidP="00812AE9">
      <w:pPr>
        <w:autoSpaceDE w:val="0"/>
        <w:autoSpaceDN w:val="0"/>
        <w:adjustRightInd w:val="0"/>
        <w:rPr>
          <w:rFonts w:ascii="Arial" w:hAnsi="Arial" w:cs="Arial"/>
          <w:sz w:val="8"/>
          <w:szCs w:val="22"/>
        </w:rPr>
      </w:pPr>
    </w:p>
    <w:p w14:paraId="32509B6A" w14:textId="77777777" w:rsidR="00812AE9" w:rsidRPr="00764BBB" w:rsidRDefault="00812AE9" w:rsidP="00812AE9">
      <w:pPr>
        <w:autoSpaceDE w:val="0"/>
        <w:autoSpaceDN w:val="0"/>
        <w:adjustRightInd w:val="0"/>
        <w:rPr>
          <w:rFonts w:ascii="Arial" w:hAnsi="Arial" w:cs="Arial"/>
          <w:sz w:val="18"/>
          <w:szCs w:val="22"/>
        </w:rPr>
      </w:pPr>
      <w:r w:rsidRPr="00764BBB">
        <w:rPr>
          <w:rFonts w:ascii="Arial" w:hAnsi="Arial" w:cs="Arial"/>
          <w:sz w:val="18"/>
          <w:szCs w:val="22"/>
        </w:rPr>
        <w:t>Source: Pew Research Center, 2010</w:t>
      </w:r>
    </w:p>
    <w:p w14:paraId="59670101" w14:textId="77777777" w:rsidR="00812AE9" w:rsidRDefault="00812AE9" w:rsidP="00812AE9">
      <w:pPr>
        <w:autoSpaceDE w:val="0"/>
        <w:autoSpaceDN w:val="0"/>
        <w:adjustRightInd w:val="0"/>
        <w:rPr>
          <w:rFonts w:ascii="Arial" w:hAnsi="Arial" w:cs="Arial"/>
          <w:szCs w:val="22"/>
        </w:rPr>
      </w:pPr>
    </w:p>
    <w:p w14:paraId="5545C05B" w14:textId="5A54C9F9" w:rsidR="00812AE9" w:rsidRPr="00C37606" w:rsidRDefault="00EF05AC" w:rsidP="00812AE9">
      <w:r w:rsidRPr="00C37606">
        <w:t>Almost three-quarters of the</w:t>
      </w:r>
      <w:r w:rsidR="00812AE9" w:rsidRPr="00C37606">
        <w:t xml:space="preserve"> seniors in </w:t>
      </w:r>
      <w:r w:rsidR="00853231" w:rsidRPr="00C37606">
        <w:t>Hillsborough</w:t>
      </w:r>
      <w:r w:rsidR="00812AE9" w:rsidRPr="00C37606">
        <w:t xml:space="preserve"> make more than $100,000 </w:t>
      </w:r>
      <w:r w:rsidRPr="00C37606">
        <w:t>annually;</w:t>
      </w:r>
      <w:r w:rsidR="00812AE9" w:rsidRPr="00C37606">
        <w:t xml:space="preserve"> while</w:t>
      </w:r>
      <w:r w:rsidRPr="00C37606">
        <w:t>18</w:t>
      </w:r>
      <w:r w:rsidR="00812AE9" w:rsidRPr="00C37606">
        <w:t xml:space="preserve"> percent make less than $50,000. The poverty rate among seniors in </w:t>
      </w:r>
      <w:r w:rsidR="00853231" w:rsidRPr="00C37606">
        <w:t>Hillsborough</w:t>
      </w:r>
      <w:r w:rsidR="00812AE9" w:rsidRPr="00C37606">
        <w:t xml:space="preserve"> is </w:t>
      </w:r>
      <w:r w:rsidRPr="00C37606">
        <w:t xml:space="preserve">half </w:t>
      </w:r>
      <w:r w:rsidR="00812AE9" w:rsidRPr="00C37606">
        <w:t xml:space="preserve">the poverty rate for seniors in the county as a whole. </w:t>
      </w:r>
    </w:p>
    <w:p w14:paraId="6FF1486F" w14:textId="77777777" w:rsidR="00812AE9" w:rsidRPr="00C37606" w:rsidRDefault="00812AE9" w:rsidP="00812AE9"/>
    <w:p w14:paraId="1674C150" w14:textId="01D52B07" w:rsidR="00812AE9" w:rsidRDefault="00812AE9" w:rsidP="00812AE9">
      <w:r w:rsidRPr="00C37606">
        <w:t xml:space="preserve">Seniors in </w:t>
      </w:r>
      <w:r w:rsidR="00853231" w:rsidRPr="00C37606">
        <w:t>Hillsborough</w:t>
      </w:r>
      <w:r w:rsidRPr="00C37606">
        <w:t xml:space="preserve">, like seniors in San Mateo County as a whole, are significantly more likely to be homeowners than renters. Thus, housing concerns for seniors in </w:t>
      </w:r>
      <w:r w:rsidR="00853231" w:rsidRPr="00C37606">
        <w:t>Hillsborough</w:t>
      </w:r>
      <w:r w:rsidRPr="00C37606">
        <w:t xml:space="preserve"> might include retrofits to allow seniors to age in place (stay in their current home as they get older). Often, homeownership means greater housing security. According to the 2013 report, </w:t>
      </w:r>
      <w:r w:rsidRPr="00C37606">
        <w:rPr>
          <w:i/>
        </w:rPr>
        <w:t>Key Housing Trends in San</w:t>
      </w:r>
      <w:r w:rsidRPr="000E0019">
        <w:rPr>
          <w:i/>
        </w:rPr>
        <w:t xml:space="preserve"> Mateo</w:t>
      </w:r>
      <w:r>
        <w:rPr>
          <w:i/>
        </w:rPr>
        <w:t>,</w:t>
      </w:r>
      <w:r>
        <w:t xml:space="preserve"> 52 percent of seniors who rent in San Mateo County are economically insecure while only 27 percent of seniors who own their own home without a mortgage are economically insecure. </w:t>
      </w:r>
    </w:p>
    <w:p w14:paraId="1828DEA0" w14:textId="77777777" w:rsidR="00812AE9" w:rsidRDefault="00812AE9" w:rsidP="00812AE9"/>
    <w:p w14:paraId="30491F4C" w14:textId="222719D3" w:rsidR="00812AE9" w:rsidRDefault="00812AE9" w:rsidP="00812AE9">
      <w:r>
        <w:t xml:space="preserve">As the large baby boomer generation ages, </w:t>
      </w:r>
      <w:r w:rsidR="00853231">
        <w:t>Hillsborough</w:t>
      </w:r>
      <w:r>
        <w:t xml:space="preserve">, like the rest of San Mateo County, is expected to see a growing senior population. According to </w:t>
      </w:r>
      <w:r w:rsidRPr="000E0019">
        <w:rPr>
          <w:i/>
        </w:rPr>
        <w:t>Key Housing Trends in San Mateo County</w:t>
      </w:r>
      <w:r>
        <w:t xml:space="preserve">, the county can expect to see a 76 percent increase in the number of seniors. A key challenge in the coming years will be how to accommodate the needs of aging residents. For more information about senior trends and preferences, see the 2013 </w:t>
      </w:r>
      <w:r w:rsidRPr="000E0019">
        <w:rPr>
          <w:i/>
        </w:rPr>
        <w:t>Key Housing Trends in San Mateo</w:t>
      </w:r>
      <w:r>
        <w:t xml:space="preserve"> report. </w:t>
      </w:r>
    </w:p>
    <w:p w14:paraId="21593F42" w14:textId="64344683" w:rsidR="00D25635" w:rsidRDefault="00812AE9" w:rsidP="00812AE9">
      <w:pPr>
        <w:pStyle w:val="21ElementsText"/>
      </w:pPr>
      <w:r>
        <w:t xml:space="preserve">The tables below show a comparison of income and home ownership for seniors living in </w:t>
      </w:r>
      <w:r w:rsidR="00853231">
        <w:t>Hillsborough</w:t>
      </w:r>
      <w:r>
        <w:t xml:space="preserve"> and San Mateo County compared to the State of California</w:t>
      </w:r>
      <w:r w:rsidR="004D08BB">
        <w:t>.</w:t>
      </w:r>
      <w:r w:rsidR="00250322">
        <w:t xml:space="preserve"> </w:t>
      </w:r>
    </w:p>
    <w:p w14:paraId="38DDC96B" w14:textId="77777777" w:rsidR="004C427B" w:rsidRDefault="004C427B" w:rsidP="00067077"/>
    <w:tbl>
      <w:tblPr>
        <w:tblW w:w="6814" w:type="dxa"/>
        <w:tblInd w:w="93" w:type="dxa"/>
        <w:tblLayout w:type="fixed"/>
        <w:tblLook w:val="04A0" w:firstRow="1" w:lastRow="0" w:firstColumn="1" w:lastColumn="0" w:noHBand="0" w:noVBand="1"/>
      </w:tblPr>
      <w:tblGrid>
        <w:gridCol w:w="2898"/>
        <w:gridCol w:w="1437"/>
        <w:gridCol w:w="1256"/>
        <w:gridCol w:w="586"/>
        <w:gridCol w:w="637"/>
      </w:tblGrid>
      <w:tr w:rsidR="00AA2DA3" w:rsidRPr="00AA2DA3" w14:paraId="4F9AB88D" w14:textId="77777777" w:rsidTr="00B91736">
        <w:trPr>
          <w:trHeight w:val="300"/>
        </w:trPr>
        <w:tc>
          <w:tcPr>
            <w:tcW w:w="6814" w:type="dxa"/>
            <w:gridSpan w:val="5"/>
            <w:tcBorders>
              <w:top w:val="nil"/>
              <w:left w:val="nil"/>
              <w:bottom w:val="nil"/>
              <w:right w:val="nil"/>
            </w:tcBorders>
            <w:shd w:val="clear" w:color="000000" w:fill="000000"/>
            <w:noWrap/>
            <w:vAlign w:val="bottom"/>
            <w:hideMark/>
          </w:tcPr>
          <w:p w14:paraId="6FA95E7C" w14:textId="20DA05D5" w:rsidR="00AA2DA3" w:rsidRPr="00AA2DA3" w:rsidRDefault="00615BF7" w:rsidP="00615BF7">
            <w:pPr>
              <w:rPr>
                <w:rFonts w:eastAsia="Times New Roman" w:cs="Times New Roman"/>
                <w:b/>
                <w:bCs/>
                <w:color w:val="FFFFFF"/>
                <w:sz w:val="20"/>
                <w:szCs w:val="20"/>
              </w:rPr>
            </w:pPr>
            <w:r>
              <w:rPr>
                <w:rFonts w:eastAsia="Times New Roman" w:cs="Times New Roman"/>
                <w:b/>
                <w:bCs/>
                <w:color w:val="FFFFFF"/>
                <w:sz w:val="20"/>
                <w:szCs w:val="20"/>
              </w:rPr>
              <w:t xml:space="preserve">Senior Households by </w:t>
            </w:r>
            <w:r w:rsidR="00AA2DA3" w:rsidRPr="00AA2DA3">
              <w:rPr>
                <w:rFonts w:eastAsia="Times New Roman" w:cs="Times New Roman"/>
                <w:b/>
                <w:bCs/>
                <w:color w:val="FFFFFF"/>
                <w:sz w:val="20"/>
                <w:szCs w:val="20"/>
              </w:rPr>
              <w:t>Income</w:t>
            </w:r>
            <w:r w:rsidR="00B91736">
              <w:rPr>
                <w:rFonts w:eastAsia="Times New Roman" w:cs="Times New Roman"/>
                <w:b/>
                <w:bCs/>
                <w:color w:val="FFFFFF"/>
                <w:sz w:val="20"/>
                <w:szCs w:val="20"/>
              </w:rPr>
              <w:t xml:space="preserve"> (2011)</w:t>
            </w:r>
          </w:p>
        </w:tc>
      </w:tr>
      <w:tr w:rsidR="00AA2DA3" w:rsidRPr="00AA2DA3" w14:paraId="6B6A91C5" w14:textId="77777777" w:rsidTr="00B91736">
        <w:trPr>
          <w:trHeight w:val="320"/>
        </w:trPr>
        <w:tc>
          <w:tcPr>
            <w:tcW w:w="2898" w:type="dxa"/>
            <w:tcBorders>
              <w:top w:val="nil"/>
              <w:left w:val="nil"/>
              <w:bottom w:val="nil"/>
              <w:right w:val="nil"/>
            </w:tcBorders>
            <w:shd w:val="clear" w:color="auto" w:fill="auto"/>
            <w:noWrap/>
            <w:vAlign w:val="bottom"/>
            <w:hideMark/>
          </w:tcPr>
          <w:p w14:paraId="7DA6DCA6" w14:textId="77777777" w:rsidR="00AA2DA3" w:rsidRPr="00AA2DA3" w:rsidRDefault="00AA2DA3" w:rsidP="00615BF7">
            <w:pPr>
              <w:spacing w:line="240" w:lineRule="auto"/>
              <w:rPr>
                <w:rFonts w:eastAsia="Times New Roman" w:cs="Times New Roman"/>
                <w:color w:val="000000"/>
                <w:sz w:val="18"/>
                <w:szCs w:val="18"/>
              </w:rPr>
            </w:pPr>
          </w:p>
        </w:tc>
        <w:tc>
          <w:tcPr>
            <w:tcW w:w="1437" w:type="dxa"/>
            <w:tcBorders>
              <w:top w:val="nil"/>
              <w:left w:val="nil"/>
              <w:bottom w:val="single" w:sz="8" w:space="0" w:color="auto"/>
              <w:right w:val="nil"/>
            </w:tcBorders>
            <w:shd w:val="clear" w:color="auto" w:fill="auto"/>
            <w:noWrap/>
            <w:vAlign w:val="bottom"/>
            <w:hideMark/>
          </w:tcPr>
          <w:p w14:paraId="113EDD5E" w14:textId="77777777" w:rsidR="00764BBB" w:rsidRDefault="00764BBB" w:rsidP="00615BF7">
            <w:pPr>
              <w:spacing w:line="240" w:lineRule="auto"/>
              <w:jc w:val="right"/>
              <w:rPr>
                <w:rFonts w:eastAsia="Times New Roman" w:cs="Times New Roman"/>
                <w:b/>
                <w:bCs/>
                <w:color w:val="000000"/>
                <w:sz w:val="18"/>
                <w:szCs w:val="18"/>
              </w:rPr>
            </w:pPr>
          </w:p>
          <w:p w14:paraId="0B09215C" w14:textId="4829C405" w:rsidR="00AA2DA3" w:rsidRDefault="003B70CF" w:rsidP="00615BF7">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Town of </w:t>
            </w:r>
            <w:r w:rsidR="00853231">
              <w:rPr>
                <w:rFonts w:eastAsia="Times New Roman" w:cs="Times New Roman"/>
                <w:b/>
                <w:bCs/>
                <w:color w:val="000000"/>
                <w:sz w:val="18"/>
                <w:szCs w:val="18"/>
              </w:rPr>
              <w:t>Hillsborough</w:t>
            </w:r>
          </w:p>
          <w:p w14:paraId="056BCDEF" w14:textId="33BF1F37" w:rsidR="00615BF7" w:rsidRPr="00615BF7" w:rsidRDefault="00615BF7" w:rsidP="00615BF7">
            <w:pPr>
              <w:spacing w:line="240" w:lineRule="auto"/>
              <w:jc w:val="right"/>
              <w:rPr>
                <w:rFonts w:eastAsia="Times New Roman" w:cs="Times New Roman"/>
                <w:b/>
                <w:bCs/>
                <w:color w:val="000000"/>
                <w:sz w:val="10"/>
                <w:szCs w:val="18"/>
              </w:rPr>
            </w:pPr>
          </w:p>
        </w:tc>
        <w:tc>
          <w:tcPr>
            <w:tcW w:w="1256" w:type="dxa"/>
            <w:tcBorders>
              <w:top w:val="nil"/>
              <w:left w:val="nil"/>
              <w:bottom w:val="single" w:sz="8" w:space="0" w:color="auto"/>
              <w:right w:val="nil"/>
            </w:tcBorders>
            <w:shd w:val="clear" w:color="auto" w:fill="auto"/>
            <w:noWrap/>
            <w:vAlign w:val="bottom"/>
            <w:hideMark/>
          </w:tcPr>
          <w:p w14:paraId="236A3ACB" w14:textId="77777777" w:rsidR="00764BBB" w:rsidRDefault="00764BBB" w:rsidP="00615BF7">
            <w:pPr>
              <w:spacing w:line="240" w:lineRule="auto"/>
              <w:jc w:val="right"/>
              <w:rPr>
                <w:rFonts w:eastAsia="Times New Roman" w:cs="Times New Roman"/>
                <w:b/>
                <w:bCs/>
                <w:color w:val="000000"/>
                <w:sz w:val="18"/>
                <w:szCs w:val="18"/>
              </w:rPr>
            </w:pPr>
          </w:p>
          <w:p w14:paraId="78518E5A" w14:textId="77777777" w:rsidR="00AA2DA3" w:rsidRDefault="00764BBB" w:rsidP="00615BF7">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San Mateo </w:t>
            </w:r>
            <w:r w:rsidR="00AA2DA3" w:rsidRPr="00AA2DA3">
              <w:rPr>
                <w:rFonts w:eastAsia="Times New Roman" w:cs="Times New Roman"/>
                <w:b/>
                <w:bCs/>
                <w:color w:val="000000"/>
                <w:sz w:val="18"/>
                <w:szCs w:val="18"/>
              </w:rPr>
              <w:t>County</w:t>
            </w:r>
          </w:p>
          <w:p w14:paraId="13C80698" w14:textId="461D4012" w:rsidR="00615BF7" w:rsidRPr="00615BF7" w:rsidRDefault="00615BF7" w:rsidP="00615BF7">
            <w:pPr>
              <w:spacing w:line="240" w:lineRule="auto"/>
              <w:jc w:val="right"/>
              <w:rPr>
                <w:rFonts w:eastAsia="Times New Roman" w:cs="Times New Roman"/>
                <w:b/>
                <w:bCs/>
                <w:color w:val="000000"/>
                <w:sz w:val="10"/>
                <w:szCs w:val="18"/>
              </w:rPr>
            </w:pPr>
          </w:p>
        </w:tc>
        <w:tc>
          <w:tcPr>
            <w:tcW w:w="1223" w:type="dxa"/>
            <w:gridSpan w:val="2"/>
            <w:tcBorders>
              <w:top w:val="nil"/>
              <w:left w:val="nil"/>
              <w:bottom w:val="single" w:sz="8" w:space="0" w:color="auto"/>
              <w:right w:val="nil"/>
            </w:tcBorders>
            <w:shd w:val="clear" w:color="auto" w:fill="auto"/>
            <w:noWrap/>
            <w:vAlign w:val="bottom"/>
            <w:hideMark/>
          </w:tcPr>
          <w:p w14:paraId="6BCEFAEB" w14:textId="77777777" w:rsidR="00AA2DA3" w:rsidRDefault="00AA2DA3" w:rsidP="00615BF7">
            <w:pPr>
              <w:spacing w:line="240" w:lineRule="auto"/>
              <w:jc w:val="right"/>
              <w:rPr>
                <w:rFonts w:eastAsia="Times New Roman" w:cs="Times New Roman"/>
                <w:b/>
                <w:bCs/>
                <w:color w:val="000000"/>
                <w:sz w:val="18"/>
                <w:szCs w:val="18"/>
              </w:rPr>
            </w:pPr>
            <w:r w:rsidRPr="00AA2DA3">
              <w:rPr>
                <w:rFonts w:eastAsia="Times New Roman" w:cs="Times New Roman"/>
                <w:b/>
                <w:bCs/>
                <w:color w:val="000000"/>
                <w:sz w:val="18"/>
                <w:szCs w:val="18"/>
              </w:rPr>
              <w:t>State</w:t>
            </w:r>
            <w:r w:rsidR="00764BBB">
              <w:rPr>
                <w:rFonts w:eastAsia="Times New Roman" w:cs="Times New Roman"/>
                <w:b/>
                <w:bCs/>
                <w:color w:val="000000"/>
                <w:sz w:val="18"/>
                <w:szCs w:val="18"/>
              </w:rPr>
              <w:t xml:space="preserve"> of California</w:t>
            </w:r>
          </w:p>
          <w:p w14:paraId="7BB1B49B" w14:textId="6B2FCA21" w:rsidR="00615BF7" w:rsidRPr="00615BF7" w:rsidRDefault="00615BF7" w:rsidP="00615BF7">
            <w:pPr>
              <w:spacing w:line="240" w:lineRule="auto"/>
              <w:jc w:val="right"/>
              <w:rPr>
                <w:rFonts w:eastAsia="Times New Roman" w:cs="Times New Roman"/>
                <w:b/>
                <w:bCs/>
                <w:color w:val="000000"/>
                <w:sz w:val="10"/>
                <w:szCs w:val="18"/>
              </w:rPr>
            </w:pPr>
          </w:p>
        </w:tc>
      </w:tr>
      <w:tr w:rsidR="00B91736" w:rsidRPr="00AA2DA3" w14:paraId="7FD0EB84" w14:textId="77777777" w:rsidTr="00B91736">
        <w:trPr>
          <w:trHeight w:val="300"/>
        </w:trPr>
        <w:tc>
          <w:tcPr>
            <w:tcW w:w="2898" w:type="dxa"/>
            <w:tcBorders>
              <w:top w:val="single" w:sz="8" w:space="0" w:color="auto"/>
              <w:left w:val="nil"/>
              <w:bottom w:val="single" w:sz="4" w:space="0" w:color="auto"/>
              <w:right w:val="nil"/>
            </w:tcBorders>
            <w:shd w:val="clear" w:color="auto" w:fill="auto"/>
            <w:noWrap/>
            <w:vAlign w:val="bottom"/>
            <w:hideMark/>
          </w:tcPr>
          <w:p w14:paraId="72672F52"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Below Poverty Level</w:t>
            </w:r>
          </w:p>
        </w:tc>
        <w:tc>
          <w:tcPr>
            <w:tcW w:w="1437" w:type="dxa"/>
            <w:tcBorders>
              <w:top w:val="nil"/>
              <w:left w:val="nil"/>
              <w:bottom w:val="single" w:sz="4" w:space="0" w:color="auto"/>
              <w:right w:val="nil"/>
            </w:tcBorders>
            <w:shd w:val="clear" w:color="auto" w:fill="auto"/>
            <w:noWrap/>
            <w:vAlign w:val="bottom"/>
            <w:hideMark/>
          </w:tcPr>
          <w:p w14:paraId="7B8F4742" w14:textId="19B343AB" w:rsidR="00B91736" w:rsidRPr="005C76CD" w:rsidRDefault="00B91736" w:rsidP="00726380">
            <w:pPr>
              <w:spacing w:line="360" w:lineRule="auto"/>
              <w:jc w:val="right"/>
              <w:rPr>
                <w:rFonts w:eastAsia="Times New Roman" w:cs="Times New Roman"/>
                <w:color w:val="000000"/>
                <w:sz w:val="18"/>
                <w:szCs w:val="18"/>
                <w:highlight w:val="yellow"/>
              </w:rPr>
            </w:pPr>
            <w:r w:rsidRPr="001152A0">
              <w:rPr>
                <w:rFonts w:eastAsia="Times New Roman" w:cs="Times New Roman"/>
                <w:color w:val="000000"/>
                <w:sz w:val="18"/>
                <w:szCs w:val="18"/>
              </w:rPr>
              <w:t>3%</w:t>
            </w:r>
          </w:p>
        </w:tc>
        <w:tc>
          <w:tcPr>
            <w:tcW w:w="1256" w:type="dxa"/>
            <w:tcBorders>
              <w:top w:val="nil"/>
              <w:left w:val="nil"/>
              <w:bottom w:val="single" w:sz="4" w:space="0" w:color="auto"/>
              <w:right w:val="nil"/>
            </w:tcBorders>
            <w:shd w:val="clear" w:color="auto" w:fill="auto"/>
            <w:noWrap/>
            <w:vAlign w:val="bottom"/>
            <w:hideMark/>
          </w:tcPr>
          <w:p w14:paraId="42ADB386"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6%</w:t>
            </w:r>
          </w:p>
        </w:tc>
        <w:tc>
          <w:tcPr>
            <w:tcW w:w="1223" w:type="dxa"/>
            <w:gridSpan w:val="2"/>
            <w:tcBorders>
              <w:top w:val="nil"/>
              <w:left w:val="nil"/>
              <w:bottom w:val="single" w:sz="4" w:space="0" w:color="auto"/>
              <w:right w:val="nil"/>
            </w:tcBorders>
            <w:shd w:val="clear" w:color="auto" w:fill="auto"/>
            <w:noWrap/>
            <w:vAlign w:val="bottom"/>
            <w:hideMark/>
          </w:tcPr>
          <w:p w14:paraId="1CCD01F6"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10%</w:t>
            </w:r>
          </w:p>
        </w:tc>
      </w:tr>
      <w:tr w:rsidR="00B91736" w:rsidRPr="00AA2DA3" w14:paraId="602CFC13" w14:textId="77777777" w:rsidTr="00B91736">
        <w:trPr>
          <w:trHeight w:val="300"/>
        </w:trPr>
        <w:tc>
          <w:tcPr>
            <w:tcW w:w="2898" w:type="dxa"/>
            <w:tcBorders>
              <w:top w:val="nil"/>
              <w:left w:val="nil"/>
              <w:bottom w:val="single" w:sz="4" w:space="0" w:color="808080"/>
              <w:right w:val="nil"/>
            </w:tcBorders>
            <w:shd w:val="clear" w:color="auto" w:fill="auto"/>
            <w:noWrap/>
            <w:vAlign w:val="bottom"/>
            <w:hideMark/>
          </w:tcPr>
          <w:p w14:paraId="0CE82D27"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Income under $30,000</w:t>
            </w:r>
          </w:p>
        </w:tc>
        <w:tc>
          <w:tcPr>
            <w:tcW w:w="1437" w:type="dxa"/>
            <w:tcBorders>
              <w:top w:val="nil"/>
              <w:left w:val="nil"/>
              <w:bottom w:val="single" w:sz="4" w:space="0" w:color="808080"/>
              <w:right w:val="nil"/>
            </w:tcBorders>
            <w:shd w:val="clear" w:color="auto" w:fill="auto"/>
            <w:noWrap/>
            <w:vAlign w:val="bottom"/>
            <w:hideMark/>
          </w:tcPr>
          <w:p w14:paraId="4218F0EF" w14:textId="2E8F5F1D" w:rsidR="00B91736" w:rsidRPr="005C76CD" w:rsidRDefault="00B91736" w:rsidP="00726380">
            <w:pPr>
              <w:spacing w:line="360" w:lineRule="auto"/>
              <w:jc w:val="right"/>
              <w:rPr>
                <w:rFonts w:eastAsia="Times New Roman" w:cs="Times New Roman"/>
                <w:color w:val="000000"/>
                <w:sz w:val="18"/>
                <w:szCs w:val="18"/>
                <w:highlight w:val="yellow"/>
              </w:rPr>
            </w:pPr>
            <w:r w:rsidRPr="001152A0">
              <w:rPr>
                <w:rFonts w:eastAsia="Times New Roman" w:cs="Times New Roman"/>
                <w:color w:val="000000"/>
                <w:sz w:val="18"/>
                <w:szCs w:val="18"/>
              </w:rPr>
              <w:t>8%</w:t>
            </w:r>
          </w:p>
        </w:tc>
        <w:tc>
          <w:tcPr>
            <w:tcW w:w="1256" w:type="dxa"/>
            <w:tcBorders>
              <w:top w:val="nil"/>
              <w:left w:val="nil"/>
              <w:bottom w:val="single" w:sz="4" w:space="0" w:color="808080"/>
              <w:right w:val="nil"/>
            </w:tcBorders>
            <w:shd w:val="clear" w:color="auto" w:fill="auto"/>
            <w:noWrap/>
            <w:vAlign w:val="bottom"/>
            <w:hideMark/>
          </w:tcPr>
          <w:p w14:paraId="51DFCA67"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28%</w:t>
            </w:r>
          </w:p>
        </w:tc>
        <w:tc>
          <w:tcPr>
            <w:tcW w:w="1223" w:type="dxa"/>
            <w:gridSpan w:val="2"/>
            <w:tcBorders>
              <w:top w:val="nil"/>
              <w:left w:val="nil"/>
              <w:bottom w:val="single" w:sz="4" w:space="0" w:color="808080"/>
              <w:right w:val="nil"/>
            </w:tcBorders>
            <w:shd w:val="clear" w:color="auto" w:fill="auto"/>
            <w:noWrap/>
            <w:vAlign w:val="bottom"/>
            <w:hideMark/>
          </w:tcPr>
          <w:p w14:paraId="1164B97F"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38%</w:t>
            </w:r>
          </w:p>
        </w:tc>
      </w:tr>
      <w:tr w:rsidR="00B91736" w:rsidRPr="00AA2DA3" w14:paraId="147DFF0A" w14:textId="77777777" w:rsidTr="00B91736">
        <w:trPr>
          <w:trHeight w:val="300"/>
        </w:trPr>
        <w:tc>
          <w:tcPr>
            <w:tcW w:w="2898" w:type="dxa"/>
            <w:tcBorders>
              <w:top w:val="nil"/>
              <w:left w:val="nil"/>
              <w:bottom w:val="single" w:sz="4" w:space="0" w:color="808080"/>
              <w:right w:val="nil"/>
            </w:tcBorders>
            <w:shd w:val="clear" w:color="auto" w:fill="auto"/>
            <w:noWrap/>
            <w:vAlign w:val="bottom"/>
            <w:hideMark/>
          </w:tcPr>
          <w:p w14:paraId="38CF54EC"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$30000-$49,000</w:t>
            </w:r>
          </w:p>
        </w:tc>
        <w:tc>
          <w:tcPr>
            <w:tcW w:w="1437" w:type="dxa"/>
            <w:tcBorders>
              <w:top w:val="nil"/>
              <w:left w:val="nil"/>
              <w:bottom w:val="single" w:sz="4" w:space="0" w:color="808080"/>
              <w:right w:val="nil"/>
            </w:tcBorders>
            <w:shd w:val="clear" w:color="auto" w:fill="auto"/>
            <w:noWrap/>
            <w:vAlign w:val="bottom"/>
            <w:hideMark/>
          </w:tcPr>
          <w:p w14:paraId="04F9AA6B" w14:textId="4458CE1E" w:rsidR="00B91736" w:rsidRPr="005C76CD" w:rsidRDefault="00B91736" w:rsidP="00726380">
            <w:pPr>
              <w:spacing w:line="360" w:lineRule="auto"/>
              <w:jc w:val="right"/>
              <w:rPr>
                <w:rFonts w:eastAsia="Times New Roman" w:cs="Times New Roman"/>
                <w:color w:val="000000"/>
                <w:sz w:val="18"/>
                <w:szCs w:val="18"/>
                <w:highlight w:val="yellow"/>
              </w:rPr>
            </w:pPr>
            <w:r w:rsidRPr="001152A0">
              <w:rPr>
                <w:rFonts w:eastAsia="Times New Roman" w:cs="Times New Roman"/>
                <w:color w:val="000000"/>
                <w:sz w:val="18"/>
                <w:szCs w:val="18"/>
              </w:rPr>
              <w:t>6%</w:t>
            </w:r>
          </w:p>
        </w:tc>
        <w:tc>
          <w:tcPr>
            <w:tcW w:w="1256" w:type="dxa"/>
            <w:tcBorders>
              <w:top w:val="nil"/>
              <w:left w:val="nil"/>
              <w:bottom w:val="single" w:sz="4" w:space="0" w:color="808080"/>
              <w:right w:val="nil"/>
            </w:tcBorders>
            <w:shd w:val="clear" w:color="auto" w:fill="auto"/>
            <w:noWrap/>
            <w:vAlign w:val="bottom"/>
            <w:hideMark/>
          </w:tcPr>
          <w:p w14:paraId="790B85B0"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19%</w:t>
            </w:r>
          </w:p>
        </w:tc>
        <w:tc>
          <w:tcPr>
            <w:tcW w:w="1223" w:type="dxa"/>
            <w:gridSpan w:val="2"/>
            <w:tcBorders>
              <w:top w:val="nil"/>
              <w:left w:val="nil"/>
              <w:bottom w:val="single" w:sz="4" w:space="0" w:color="808080"/>
              <w:right w:val="nil"/>
            </w:tcBorders>
            <w:shd w:val="clear" w:color="auto" w:fill="auto"/>
            <w:noWrap/>
            <w:vAlign w:val="bottom"/>
            <w:hideMark/>
          </w:tcPr>
          <w:p w14:paraId="4A14A154"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20%</w:t>
            </w:r>
          </w:p>
        </w:tc>
      </w:tr>
      <w:tr w:rsidR="00B91736" w:rsidRPr="00AA2DA3" w14:paraId="7D5F342B" w14:textId="77777777" w:rsidTr="00B91736">
        <w:trPr>
          <w:trHeight w:val="300"/>
        </w:trPr>
        <w:tc>
          <w:tcPr>
            <w:tcW w:w="2898" w:type="dxa"/>
            <w:tcBorders>
              <w:top w:val="nil"/>
              <w:left w:val="nil"/>
              <w:bottom w:val="single" w:sz="4" w:space="0" w:color="808080"/>
              <w:right w:val="nil"/>
            </w:tcBorders>
            <w:shd w:val="clear" w:color="auto" w:fill="auto"/>
            <w:noWrap/>
            <w:vAlign w:val="bottom"/>
            <w:hideMark/>
          </w:tcPr>
          <w:p w14:paraId="40ADEF36"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$50,000-$74,999</w:t>
            </w:r>
          </w:p>
        </w:tc>
        <w:tc>
          <w:tcPr>
            <w:tcW w:w="1437" w:type="dxa"/>
            <w:tcBorders>
              <w:top w:val="nil"/>
              <w:left w:val="nil"/>
              <w:bottom w:val="single" w:sz="4" w:space="0" w:color="808080"/>
              <w:right w:val="nil"/>
            </w:tcBorders>
            <w:shd w:val="clear" w:color="auto" w:fill="auto"/>
            <w:noWrap/>
            <w:vAlign w:val="bottom"/>
            <w:hideMark/>
          </w:tcPr>
          <w:p w14:paraId="6BBEB684" w14:textId="71A03FF2" w:rsidR="00B91736" w:rsidRPr="005C76CD" w:rsidRDefault="00B91736" w:rsidP="00726380">
            <w:pPr>
              <w:spacing w:line="360" w:lineRule="auto"/>
              <w:jc w:val="right"/>
              <w:rPr>
                <w:rFonts w:eastAsia="Times New Roman" w:cs="Times New Roman"/>
                <w:color w:val="000000"/>
                <w:sz w:val="18"/>
                <w:szCs w:val="18"/>
                <w:highlight w:val="yellow"/>
              </w:rPr>
            </w:pPr>
            <w:r w:rsidRPr="001152A0">
              <w:rPr>
                <w:rFonts w:eastAsia="Times New Roman" w:cs="Times New Roman"/>
                <w:color w:val="000000"/>
                <w:sz w:val="18"/>
                <w:szCs w:val="18"/>
              </w:rPr>
              <w:t>8%</w:t>
            </w:r>
          </w:p>
        </w:tc>
        <w:tc>
          <w:tcPr>
            <w:tcW w:w="1256" w:type="dxa"/>
            <w:tcBorders>
              <w:top w:val="nil"/>
              <w:left w:val="nil"/>
              <w:bottom w:val="single" w:sz="4" w:space="0" w:color="808080"/>
              <w:right w:val="nil"/>
            </w:tcBorders>
            <w:shd w:val="clear" w:color="auto" w:fill="auto"/>
            <w:noWrap/>
            <w:vAlign w:val="bottom"/>
            <w:hideMark/>
          </w:tcPr>
          <w:p w14:paraId="0E6CE63C"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16%</w:t>
            </w:r>
          </w:p>
        </w:tc>
        <w:tc>
          <w:tcPr>
            <w:tcW w:w="1223" w:type="dxa"/>
            <w:gridSpan w:val="2"/>
            <w:tcBorders>
              <w:top w:val="nil"/>
              <w:left w:val="nil"/>
              <w:bottom w:val="single" w:sz="4" w:space="0" w:color="808080"/>
              <w:right w:val="nil"/>
            </w:tcBorders>
            <w:shd w:val="clear" w:color="auto" w:fill="auto"/>
            <w:noWrap/>
            <w:vAlign w:val="bottom"/>
            <w:hideMark/>
          </w:tcPr>
          <w:p w14:paraId="02C93E14"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16%</w:t>
            </w:r>
          </w:p>
        </w:tc>
      </w:tr>
      <w:tr w:rsidR="00B91736" w:rsidRPr="00AA2DA3" w14:paraId="5F7941DC" w14:textId="77777777" w:rsidTr="00B91736">
        <w:trPr>
          <w:trHeight w:val="300"/>
        </w:trPr>
        <w:tc>
          <w:tcPr>
            <w:tcW w:w="2898" w:type="dxa"/>
            <w:tcBorders>
              <w:top w:val="nil"/>
              <w:left w:val="nil"/>
              <w:bottom w:val="single" w:sz="4" w:space="0" w:color="808080"/>
              <w:right w:val="nil"/>
            </w:tcBorders>
            <w:shd w:val="clear" w:color="auto" w:fill="auto"/>
            <w:noWrap/>
            <w:vAlign w:val="bottom"/>
            <w:hideMark/>
          </w:tcPr>
          <w:p w14:paraId="48614A96"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$75,000-$99,999</w:t>
            </w:r>
          </w:p>
        </w:tc>
        <w:tc>
          <w:tcPr>
            <w:tcW w:w="1437" w:type="dxa"/>
            <w:tcBorders>
              <w:top w:val="nil"/>
              <w:left w:val="nil"/>
              <w:bottom w:val="single" w:sz="4" w:space="0" w:color="808080"/>
              <w:right w:val="nil"/>
            </w:tcBorders>
            <w:shd w:val="clear" w:color="auto" w:fill="auto"/>
            <w:noWrap/>
            <w:vAlign w:val="bottom"/>
            <w:hideMark/>
          </w:tcPr>
          <w:p w14:paraId="57773BBA" w14:textId="52D0B6BB" w:rsidR="00B91736" w:rsidRPr="005C76CD" w:rsidRDefault="00B91736" w:rsidP="00726380">
            <w:pPr>
              <w:spacing w:line="360" w:lineRule="auto"/>
              <w:jc w:val="right"/>
              <w:rPr>
                <w:rFonts w:eastAsia="Times New Roman" w:cs="Times New Roman"/>
                <w:color w:val="000000"/>
                <w:sz w:val="18"/>
                <w:szCs w:val="18"/>
                <w:highlight w:val="yellow"/>
              </w:rPr>
            </w:pPr>
            <w:r w:rsidRPr="001152A0">
              <w:rPr>
                <w:rFonts w:eastAsia="Times New Roman" w:cs="Times New Roman"/>
                <w:color w:val="000000"/>
                <w:sz w:val="18"/>
                <w:szCs w:val="18"/>
              </w:rPr>
              <w:t>7%</w:t>
            </w:r>
          </w:p>
        </w:tc>
        <w:tc>
          <w:tcPr>
            <w:tcW w:w="1256" w:type="dxa"/>
            <w:tcBorders>
              <w:top w:val="nil"/>
              <w:left w:val="nil"/>
              <w:bottom w:val="single" w:sz="4" w:space="0" w:color="808080"/>
              <w:right w:val="nil"/>
            </w:tcBorders>
            <w:shd w:val="clear" w:color="auto" w:fill="auto"/>
            <w:noWrap/>
            <w:vAlign w:val="bottom"/>
            <w:hideMark/>
          </w:tcPr>
          <w:p w14:paraId="143B233E"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11%</w:t>
            </w:r>
          </w:p>
        </w:tc>
        <w:tc>
          <w:tcPr>
            <w:tcW w:w="1223" w:type="dxa"/>
            <w:gridSpan w:val="2"/>
            <w:tcBorders>
              <w:top w:val="nil"/>
              <w:left w:val="nil"/>
              <w:bottom w:val="single" w:sz="4" w:space="0" w:color="808080"/>
              <w:right w:val="nil"/>
            </w:tcBorders>
            <w:shd w:val="clear" w:color="auto" w:fill="auto"/>
            <w:noWrap/>
            <w:vAlign w:val="bottom"/>
            <w:hideMark/>
          </w:tcPr>
          <w:p w14:paraId="3BC3BEBE"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9%</w:t>
            </w:r>
          </w:p>
        </w:tc>
      </w:tr>
      <w:tr w:rsidR="00B91736" w:rsidRPr="00AA2DA3" w14:paraId="0E894954" w14:textId="77777777" w:rsidTr="00B91736">
        <w:trPr>
          <w:trHeight w:val="300"/>
        </w:trPr>
        <w:tc>
          <w:tcPr>
            <w:tcW w:w="2898" w:type="dxa"/>
            <w:tcBorders>
              <w:top w:val="nil"/>
              <w:left w:val="nil"/>
              <w:bottom w:val="single" w:sz="4" w:space="0" w:color="auto"/>
              <w:right w:val="nil"/>
            </w:tcBorders>
            <w:shd w:val="clear" w:color="auto" w:fill="auto"/>
            <w:noWrap/>
            <w:vAlign w:val="bottom"/>
            <w:hideMark/>
          </w:tcPr>
          <w:p w14:paraId="49E06FA9"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$100,000+</w:t>
            </w:r>
          </w:p>
        </w:tc>
        <w:tc>
          <w:tcPr>
            <w:tcW w:w="1437" w:type="dxa"/>
            <w:tcBorders>
              <w:top w:val="nil"/>
              <w:left w:val="nil"/>
              <w:bottom w:val="single" w:sz="4" w:space="0" w:color="auto"/>
              <w:right w:val="nil"/>
            </w:tcBorders>
            <w:shd w:val="clear" w:color="auto" w:fill="auto"/>
            <w:noWrap/>
            <w:vAlign w:val="bottom"/>
            <w:hideMark/>
          </w:tcPr>
          <w:p w14:paraId="42287EF6" w14:textId="70DBC0C7" w:rsidR="00B91736" w:rsidRPr="005C76CD" w:rsidRDefault="00B91736" w:rsidP="00726380">
            <w:pPr>
              <w:spacing w:line="360" w:lineRule="auto"/>
              <w:jc w:val="right"/>
              <w:rPr>
                <w:rFonts w:eastAsia="Times New Roman" w:cs="Times New Roman"/>
                <w:color w:val="000000"/>
                <w:sz w:val="18"/>
                <w:szCs w:val="18"/>
                <w:highlight w:val="yellow"/>
              </w:rPr>
            </w:pPr>
            <w:r w:rsidRPr="001152A0">
              <w:rPr>
                <w:rFonts w:eastAsia="Times New Roman" w:cs="Times New Roman"/>
                <w:color w:val="000000"/>
                <w:sz w:val="18"/>
                <w:szCs w:val="18"/>
              </w:rPr>
              <w:t>71%</w:t>
            </w:r>
          </w:p>
        </w:tc>
        <w:tc>
          <w:tcPr>
            <w:tcW w:w="1256" w:type="dxa"/>
            <w:tcBorders>
              <w:top w:val="nil"/>
              <w:left w:val="nil"/>
              <w:bottom w:val="single" w:sz="4" w:space="0" w:color="auto"/>
              <w:right w:val="nil"/>
            </w:tcBorders>
            <w:shd w:val="clear" w:color="auto" w:fill="auto"/>
            <w:noWrap/>
            <w:vAlign w:val="bottom"/>
            <w:hideMark/>
          </w:tcPr>
          <w:p w14:paraId="269B71AB"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26%</w:t>
            </w:r>
          </w:p>
        </w:tc>
        <w:tc>
          <w:tcPr>
            <w:tcW w:w="1223" w:type="dxa"/>
            <w:gridSpan w:val="2"/>
            <w:tcBorders>
              <w:top w:val="nil"/>
              <w:left w:val="nil"/>
              <w:bottom w:val="single" w:sz="4" w:space="0" w:color="auto"/>
              <w:right w:val="nil"/>
            </w:tcBorders>
            <w:shd w:val="clear" w:color="auto" w:fill="auto"/>
            <w:noWrap/>
            <w:vAlign w:val="bottom"/>
            <w:hideMark/>
          </w:tcPr>
          <w:p w14:paraId="34647FD8"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17%</w:t>
            </w:r>
          </w:p>
        </w:tc>
      </w:tr>
      <w:tr w:rsidR="00B91736" w:rsidRPr="00AA2DA3" w14:paraId="7066C798" w14:textId="77777777" w:rsidTr="00B91736">
        <w:trPr>
          <w:trHeight w:val="300"/>
        </w:trPr>
        <w:tc>
          <w:tcPr>
            <w:tcW w:w="2898" w:type="dxa"/>
            <w:tcBorders>
              <w:top w:val="nil"/>
              <w:left w:val="nil"/>
              <w:bottom w:val="single" w:sz="4" w:space="0" w:color="auto"/>
              <w:right w:val="nil"/>
            </w:tcBorders>
            <w:shd w:val="clear" w:color="auto" w:fill="auto"/>
            <w:noWrap/>
            <w:vAlign w:val="bottom"/>
            <w:hideMark/>
          </w:tcPr>
          <w:p w14:paraId="43CED669"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Total Seniors</w:t>
            </w:r>
          </w:p>
        </w:tc>
        <w:tc>
          <w:tcPr>
            <w:tcW w:w="1437" w:type="dxa"/>
            <w:tcBorders>
              <w:top w:val="nil"/>
              <w:left w:val="nil"/>
              <w:bottom w:val="single" w:sz="4" w:space="0" w:color="auto"/>
              <w:right w:val="nil"/>
            </w:tcBorders>
            <w:shd w:val="clear" w:color="auto" w:fill="auto"/>
            <w:noWrap/>
            <w:vAlign w:val="bottom"/>
            <w:hideMark/>
          </w:tcPr>
          <w:p w14:paraId="71044B24" w14:textId="6F06F9BD" w:rsidR="00B91736" w:rsidRPr="005C76CD" w:rsidRDefault="00B91736" w:rsidP="00726380">
            <w:pPr>
              <w:spacing w:line="360" w:lineRule="auto"/>
              <w:jc w:val="right"/>
              <w:rPr>
                <w:rFonts w:eastAsia="Times New Roman" w:cs="Times New Roman"/>
                <w:color w:val="000000"/>
                <w:sz w:val="18"/>
                <w:szCs w:val="18"/>
                <w:highlight w:val="yellow"/>
              </w:rPr>
            </w:pPr>
            <w:r w:rsidRPr="001152A0">
              <w:rPr>
                <w:rFonts w:eastAsia="Times New Roman" w:cs="Times New Roman"/>
                <w:color w:val="000000"/>
                <w:sz w:val="18"/>
                <w:szCs w:val="18"/>
              </w:rPr>
              <w:t>1,097</w:t>
            </w:r>
          </w:p>
        </w:tc>
        <w:tc>
          <w:tcPr>
            <w:tcW w:w="1256" w:type="dxa"/>
            <w:tcBorders>
              <w:top w:val="nil"/>
              <w:left w:val="nil"/>
              <w:bottom w:val="single" w:sz="4" w:space="0" w:color="auto"/>
              <w:right w:val="nil"/>
            </w:tcBorders>
            <w:shd w:val="clear" w:color="auto" w:fill="auto"/>
            <w:noWrap/>
            <w:vAlign w:val="bottom"/>
            <w:hideMark/>
          </w:tcPr>
          <w:p w14:paraId="4CC38B7B"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55,093</w:t>
            </w:r>
          </w:p>
        </w:tc>
        <w:tc>
          <w:tcPr>
            <w:tcW w:w="1223" w:type="dxa"/>
            <w:gridSpan w:val="2"/>
            <w:tcBorders>
              <w:top w:val="nil"/>
              <w:left w:val="nil"/>
              <w:bottom w:val="single" w:sz="4" w:space="0" w:color="auto"/>
              <w:right w:val="nil"/>
            </w:tcBorders>
            <w:shd w:val="clear" w:color="auto" w:fill="auto"/>
            <w:noWrap/>
            <w:vAlign w:val="bottom"/>
            <w:hideMark/>
          </w:tcPr>
          <w:p w14:paraId="04CABAA4"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2,474,879</w:t>
            </w:r>
          </w:p>
        </w:tc>
      </w:tr>
      <w:tr w:rsidR="00AA2DA3" w:rsidRPr="00615BF7" w14:paraId="5E2FEE6A" w14:textId="77777777" w:rsidTr="00B91736">
        <w:trPr>
          <w:gridAfter w:val="1"/>
          <w:wAfter w:w="637" w:type="dxa"/>
          <w:trHeight w:val="300"/>
        </w:trPr>
        <w:tc>
          <w:tcPr>
            <w:tcW w:w="6177" w:type="dxa"/>
            <w:gridSpan w:val="4"/>
            <w:tcBorders>
              <w:top w:val="single" w:sz="4" w:space="0" w:color="auto"/>
              <w:left w:val="nil"/>
              <w:bottom w:val="nil"/>
              <w:right w:val="nil"/>
            </w:tcBorders>
            <w:shd w:val="clear" w:color="auto" w:fill="auto"/>
            <w:noWrap/>
            <w:vAlign w:val="bottom"/>
            <w:hideMark/>
          </w:tcPr>
          <w:p w14:paraId="74A54B55" w14:textId="77777777" w:rsidR="00615BF7" w:rsidRPr="00615BF7" w:rsidRDefault="00615BF7" w:rsidP="00615BF7">
            <w:pPr>
              <w:spacing w:line="240" w:lineRule="auto"/>
              <w:rPr>
                <w:rFonts w:eastAsia="Times New Roman" w:cs="Times New Roman"/>
                <w:iCs/>
                <w:color w:val="000000"/>
                <w:sz w:val="12"/>
                <w:szCs w:val="16"/>
              </w:rPr>
            </w:pPr>
          </w:p>
          <w:p w14:paraId="3203FDE4" w14:textId="24EC29BA" w:rsidR="00AA2DA3" w:rsidRPr="00615BF7" w:rsidRDefault="00AA2DA3" w:rsidP="00615BF7">
            <w:pPr>
              <w:spacing w:line="240" w:lineRule="auto"/>
              <w:rPr>
                <w:rFonts w:eastAsia="Times New Roman" w:cs="Times New Roman"/>
                <w:iCs/>
                <w:color w:val="000000"/>
                <w:sz w:val="18"/>
                <w:szCs w:val="16"/>
              </w:rPr>
            </w:pPr>
            <w:r w:rsidRPr="00615BF7">
              <w:rPr>
                <w:rFonts w:eastAsia="Times New Roman" w:cs="Times New Roman"/>
                <w:iCs/>
                <w:color w:val="000000"/>
                <w:sz w:val="18"/>
                <w:szCs w:val="16"/>
              </w:rPr>
              <w:t xml:space="preserve">Source and Notes: </w:t>
            </w:r>
            <w:r w:rsidR="0020362E">
              <w:rPr>
                <w:rFonts w:eastAsia="Times New Roman" w:cs="Times New Roman"/>
                <w:iCs/>
                <w:color w:val="000000"/>
                <w:sz w:val="18"/>
                <w:szCs w:val="16"/>
              </w:rPr>
              <w:t>2007-2011</w:t>
            </w:r>
            <w:r w:rsidRPr="00615BF7">
              <w:rPr>
                <w:rFonts w:eastAsia="Times New Roman" w:cs="Times New Roman"/>
                <w:iCs/>
                <w:color w:val="000000"/>
                <w:sz w:val="18"/>
                <w:szCs w:val="16"/>
              </w:rPr>
              <w:t xml:space="preserve"> American Community Survey, Seniors are age 65+</w:t>
            </w:r>
          </w:p>
        </w:tc>
      </w:tr>
    </w:tbl>
    <w:p w14:paraId="49342849" w14:textId="77777777" w:rsidR="00D25635" w:rsidRDefault="00D25635" w:rsidP="00067077"/>
    <w:tbl>
      <w:tblPr>
        <w:tblW w:w="6906" w:type="dxa"/>
        <w:tblInd w:w="93" w:type="dxa"/>
        <w:tblLayout w:type="fixed"/>
        <w:tblLook w:val="04A0" w:firstRow="1" w:lastRow="0" w:firstColumn="1" w:lastColumn="0" w:noHBand="0" w:noVBand="1"/>
      </w:tblPr>
      <w:tblGrid>
        <w:gridCol w:w="1438"/>
        <w:gridCol w:w="1086"/>
        <w:gridCol w:w="1541"/>
        <w:gridCol w:w="1374"/>
        <w:gridCol w:w="783"/>
        <w:gridCol w:w="684"/>
      </w:tblGrid>
      <w:tr w:rsidR="00AA2DA3" w:rsidRPr="00AA2DA3" w14:paraId="57CFE7D5" w14:textId="77777777" w:rsidTr="00B91736">
        <w:trPr>
          <w:trHeight w:val="300"/>
        </w:trPr>
        <w:tc>
          <w:tcPr>
            <w:tcW w:w="6906" w:type="dxa"/>
            <w:gridSpan w:val="6"/>
            <w:tcBorders>
              <w:top w:val="nil"/>
              <w:left w:val="nil"/>
              <w:bottom w:val="nil"/>
              <w:right w:val="nil"/>
            </w:tcBorders>
            <w:shd w:val="clear" w:color="000000" w:fill="000000"/>
            <w:noWrap/>
            <w:vAlign w:val="bottom"/>
            <w:hideMark/>
          </w:tcPr>
          <w:p w14:paraId="5865E35A" w14:textId="671E7A58" w:rsidR="00AA2DA3" w:rsidRPr="00AA2DA3" w:rsidRDefault="00AA2DA3" w:rsidP="00615BF7">
            <w:pPr>
              <w:rPr>
                <w:rFonts w:eastAsia="Times New Roman" w:cs="Times New Roman"/>
                <w:b/>
                <w:bCs/>
                <w:color w:val="FFFFFF"/>
                <w:sz w:val="20"/>
                <w:szCs w:val="20"/>
              </w:rPr>
            </w:pPr>
            <w:r w:rsidRPr="00AA2DA3">
              <w:rPr>
                <w:rFonts w:eastAsia="Times New Roman" w:cs="Times New Roman"/>
                <w:b/>
                <w:bCs/>
                <w:color w:val="FFFFFF"/>
                <w:sz w:val="20"/>
                <w:szCs w:val="20"/>
              </w:rPr>
              <w:t>Senior Households by Tenure</w:t>
            </w:r>
            <w:r w:rsidR="00B91736">
              <w:rPr>
                <w:rFonts w:eastAsia="Times New Roman" w:cs="Times New Roman"/>
                <w:b/>
                <w:bCs/>
                <w:color w:val="FFFFFF"/>
                <w:sz w:val="20"/>
                <w:szCs w:val="20"/>
              </w:rPr>
              <w:t xml:space="preserve"> (2011)</w:t>
            </w:r>
          </w:p>
        </w:tc>
      </w:tr>
      <w:tr w:rsidR="00AA2DA3" w:rsidRPr="00AA2DA3" w14:paraId="3A044ABB" w14:textId="77777777" w:rsidTr="00B91736">
        <w:trPr>
          <w:trHeight w:val="320"/>
        </w:trPr>
        <w:tc>
          <w:tcPr>
            <w:tcW w:w="1438" w:type="dxa"/>
            <w:tcBorders>
              <w:top w:val="nil"/>
              <w:left w:val="nil"/>
              <w:bottom w:val="single" w:sz="8" w:space="0" w:color="auto"/>
              <w:right w:val="nil"/>
            </w:tcBorders>
            <w:shd w:val="clear" w:color="auto" w:fill="auto"/>
            <w:noWrap/>
            <w:vAlign w:val="bottom"/>
            <w:hideMark/>
          </w:tcPr>
          <w:p w14:paraId="5DFDC50C" w14:textId="77777777" w:rsidR="00AA2DA3" w:rsidRPr="00AA2DA3" w:rsidRDefault="00AA2DA3" w:rsidP="00615BF7">
            <w:pPr>
              <w:spacing w:line="240" w:lineRule="auto"/>
              <w:rPr>
                <w:rFonts w:eastAsia="Times New Roman" w:cs="Times New Roman"/>
                <w:color w:val="000000"/>
                <w:sz w:val="18"/>
                <w:szCs w:val="18"/>
              </w:rPr>
            </w:pPr>
            <w:r w:rsidRPr="00AA2DA3">
              <w:rPr>
                <w:rFonts w:eastAsia="Times New Roman" w:cs="Times New Roman"/>
                <w:color w:val="000000"/>
                <w:sz w:val="18"/>
                <w:szCs w:val="18"/>
              </w:rPr>
              <w:t> </w:t>
            </w:r>
          </w:p>
        </w:tc>
        <w:tc>
          <w:tcPr>
            <w:tcW w:w="1086" w:type="dxa"/>
            <w:tcBorders>
              <w:top w:val="nil"/>
              <w:left w:val="nil"/>
              <w:bottom w:val="single" w:sz="8" w:space="0" w:color="auto"/>
              <w:right w:val="nil"/>
            </w:tcBorders>
            <w:shd w:val="clear" w:color="auto" w:fill="auto"/>
            <w:noWrap/>
            <w:vAlign w:val="bottom"/>
            <w:hideMark/>
          </w:tcPr>
          <w:p w14:paraId="6B7D4210" w14:textId="77777777" w:rsidR="00AA2DA3" w:rsidRPr="00AA2DA3" w:rsidRDefault="00AA2DA3" w:rsidP="00615BF7">
            <w:pPr>
              <w:spacing w:line="240" w:lineRule="auto"/>
              <w:rPr>
                <w:rFonts w:eastAsia="Times New Roman" w:cs="Times New Roman"/>
                <w:color w:val="000000"/>
                <w:sz w:val="18"/>
                <w:szCs w:val="18"/>
              </w:rPr>
            </w:pPr>
            <w:r w:rsidRPr="00AA2DA3">
              <w:rPr>
                <w:rFonts w:eastAsia="Times New Roman" w:cs="Times New Roman"/>
                <w:color w:val="000000"/>
                <w:sz w:val="18"/>
                <w:szCs w:val="18"/>
              </w:rPr>
              <w:t> </w:t>
            </w:r>
          </w:p>
        </w:tc>
        <w:tc>
          <w:tcPr>
            <w:tcW w:w="1541" w:type="dxa"/>
            <w:tcBorders>
              <w:top w:val="nil"/>
              <w:left w:val="nil"/>
              <w:bottom w:val="single" w:sz="8" w:space="0" w:color="auto"/>
              <w:right w:val="nil"/>
            </w:tcBorders>
            <w:shd w:val="clear" w:color="auto" w:fill="auto"/>
            <w:noWrap/>
            <w:vAlign w:val="bottom"/>
            <w:hideMark/>
          </w:tcPr>
          <w:p w14:paraId="752993D1" w14:textId="77777777" w:rsidR="00615BF7" w:rsidRDefault="00615BF7" w:rsidP="00615BF7">
            <w:pPr>
              <w:spacing w:line="240" w:lineRule="auto"/>
              <w:jc w:val="right"/>
              <w:rPr>
                <w:rFonts w:eastAsia="Times New Roman" w:cs="Times New Roman"/>
                <w:b/>
                <w:bCs/>
                <w:color w:val="000000"/>
                <w:sz w:val="18"/>
                <w:szCs w:val="18"/>
              </w:rPr>
            </w:pPr>
          </w:p>
          <w:p w14:paraId="670AC0C5" w14:textId="2D6E21AA" w:rsidR="00AA2DA3" w:rsidRDefault="003B70CF" w:rsidP="00615BF7">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Town of </w:t>
            </w:r>
            <w:r w:rsidR="00853231">
              <w:rPr>
                <w:rFonts w:eastAsia="Times New Roman" w:cs="Times New Roman"/>
                <w:b/>
                <w:bCs/>
                <w:color w:val="000000"/>
                <w:sz w:val="18"/>
                <w:szCs w:val="18"/>
              </w:rPr>
              <w:t>Hillsborough</w:t>
            </w:r>
          </w:p>
          <w:p w14:paraId="3F5C3E73" w14:textId="5718A1F9" w:rsidR="00615BF7" w:rsidRPr="00615BF7" w:rsidRDefault="00615BF7" w:rsidP="00615BF7">
            <w:pPr>
              <w:spacing w:line="240" w:lineRule="auto"/>
              <w:jc w:val="right"/>
              <w:rPr>
                <w:rFonts w:eastAsia="Times New Roman" w:cs="Times New Roman"/>
                <w:b/>
                <w:bCs/>
                <w:color w:val="000000"/>
                <w:sz w:val="10"/>
                <w:szCs w:val="18"/>
              </w:rPr>
            </w:pPr>
          </w:p>
        </w:tc>
        <w:tc>
          <w:tcPr>
            <w:tcW w:w="1374" w:type="dxa"/>
            <w:tcBorders>
              <w:top w:val="nil"/>
              <w:left w:val="nil"/>
              <w:bottom w:val="single" w:sz="8" w:space="0" w:color="auto"/>
              <w:right w:val="nil"/>
            </w:tcBorders>
            <w:shd w:val="clear" w:color="auto" w:fill="auto"/>
            <w:noWrap/>
            <w:vAlign w:val="bottom"/>
            <w:hideMark/>
          </w:tcPr>
          <w:p w14:paraId="5DEDA65F" w14:textId="77777777" w:rsidR="00AA2DA3" w:rsidRDefault="00615BF7" w:rsidP="00615BF7">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San Mateo </w:t>
            </w:r>
            <w:r w:rsidR="00AA2DA3" w:rsidRPr="00AA2DA3">
              <w:rPr>
                <w:rFonts w:eastAsia="Times New Roman" w:cs="Times New Roman"/>
                <w:b/>
                <w:bCs/>
                <w:color w:val="000000"/>
                <w:sz w:val="18"/>
                <w:szCs w:val="18"/>
              </w:rPr>
              <w:t>County</w:t>
            </w:r>
          </w:p>
          <w:p w14:paraId="50D48523" w14:textId="22923450" w:rsidR="00615BF7" w:rsidRPr="00615BF7" w:rsidRDefault="00615BF7" w:rsidP="00615BF7">
            <w:pPr>
              <w:spacing w:line="240" w:lineRule="auto"/>
              <w:jc w:val="right"/>
              <w:rPr>
                <w:rFonts w:eastAsia="Times New Roman" w:cs="Times New Roman"/>
                <w:b/>
                <w:bCs/>
                <w:color w:val="000000"/>
                <w:sz w:val="10"/>
                <w:szCs w:val="18"/>
              </w:rPr>
            </w:pPr>
          </w:p>
        </w:tc>
        <w:tc>
          <w:tcPr>
            <w:tcW w:w="1467" w:type="dxa"/>
            <w:gridSpan w:val="2"/>
            <w:tcBorders>
              <w:top w:val="nil"/>
              <w:left w:val="nil"/>
              <w:bottom w:val="single" w:sz="8" w:space="0" w:color="auto"/>
              <w:right w:val="nil"/>
            </w:tcBorders>
            <w:shd w:val="clear" w:color="auto" w:fill="auto"/>
            <w:noWrap/>
            <w:vAlign w:val="bottom"/>
            <w:hideMark/>
          </w:tcPr>
          <w:p w14:paraId="01146507" w14:textId="77777777" w:rsidR="00AA2DA3" w:rsidRDefault="00AA2DA3" w:rsidP="00615BF7">
            <w:pPr>
              <w:spacing w:line="240" w:lineRule="auto"/>
              <w:jc w:val="right"/>
              <w:rPr>
                <w:rFonts w:eastAsia="Times New Roman" w:cs="Times New Roman"/>
                <w:b/>
                <w:bCs/>
                <w:color w:val="000000"/>
                <w:sz w:val="18"/>
                <w:szCs w:val="18"/>
              </w:rPr>
            </w:pPr>
            <w:r w:rsidRPr="00AA2DA3">
              <w:rPr>
                <w:rFonts w:eastAsia="Times New Roman" w:cs="Times New Roman"/>
                <w:b/>
                <w:bCs/>
                <w:color w:val="000000"/>
                <w:sz w:val="18"/>
                <w:szCs w:val="18"/>
              </w:rPr>
              <w:t>State</w:t>
            </w:r>
            <w:r w:rsidR="00615BF7">
              <w:rPr>
                <w:rFonts w:eastAsia="Times New Roman" w:cs="Times New Roman"/>
                <w:b/>
                <w:bCs/>
                <w:color w:val="000000"/>
                <w:sz w:val="18"/>
                <w:szCs w:val="18"/>
              </w:rPr>
              <w:t xml:space="preserve"> of California</w:t>
            </w:r>
          </w:p>
          <w:p w14:paraId="040474DF" w14:textId="77777777" w:rsidR="00615BF7" w:rsidRPr="00615BF7" w:rsidRDefault="00615BF7" w:rsidP="00615BF7">
            <w:pPr>
              <w:spacing w:line="240" w:lineRule="auto"/>
              <w:jc w:val="right"/>
              <w:rPr>
                <w:rFonts w:eastAsia="Times New Roman" w:cs="Times New Roman"/>
                <w:b/>
                <w:bCs/>
                <w:color w:val="000000"/>
                <w:sz w:val="10"/>
                <w:szCs w:val="18"/>
              </w:rPr>
            </w:pPr>
          </w:p>
        </w:tc>
      </w:tr>
      <w:tr w:rsidR="00B91736" w:rsidRPr="00AA2DA3" w14:paraId="32AB7B3A" w14:textId="77777777" w:rsidTr="00B91736">
        <w:trPr>
          <w:trHeight w:val="300"/>
        </w:trPr>
        <w:tc>
          <w:tcPr>
            <w:tcW w:w="1438" w:type="dxa"/>
            <w:tcBorders>
              <w:top w:val="nil"/>
              <w:left w:val="nil"/>
              <w:bottom w:val="nil"/>
              <w:right w:val="nil"/>
            </w:tcBorders>
            <w:shd w:val="clear" w:color="auto" w:fill="auto"/>
            <w:noWrap/>
            <w:vAlign w:val="bottom"/>
            <w:hideMark/>
          </w:tcPr>
          <w:p w14:paraId="51B3B8DB" w14:textId="06748135" w:rsidR="00B91736" w:rsidRPr="008D1973" w:rsidRDefault="00B91736" w:rsidP="00726380">
            <w:pPr>
              <w:spacing w:line="360" w:lineRule="auto"/>
              <w:rPr>
                <w:rFonts w:eastAsia="Times New Roman" w:cs="Times New Roman"/>
                <w:b/>
                <w:color w:val="000000"/>
                <w:sz w:val="18"/>
                <w:szCs w:val="18"/>
              </w:rPr>
            </w:pPr>
            <w:r w:rsidRPr="008D1973">
              <w:rPr>
                <w:rFonts w:eastAsia="Times New Roman" w:cs="Times New Roman"/>
                <w:b/>
                <w:color w:val="000000"/>
                <w:sz w:val="18"/>
                <w:szCs w:val="18"/>
              </w:rPr>
              <w:t>All Ages</w:t>
            </w:r>
          </w:p>
        </w:tc>
        <w:tc>
          <w:tcPr>
            <w:tcW w:w="1086" w:type="dxa"/>
            <w:tcBorders>
              <w:top w:val="nil"/>
              <w:left w:val="nil"/>
              <w:bottom w:val="single" w:sz="4" w:space="0" w:color="808080"/>
              <w:right w:val="nil"/>
            </w:tcBorders>
            <w:shd w:val="clear" w:color="auto" w:fill="auto"/>
            <w:noWrap/>
            <w:vAlign w:val="bottom"/>
            <w:hideMark/>
          </w:tcPr>
          <w:p w14:paraId="76C789FD"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Owners</w:t>
            </w:r>
          </w:p>
        </w:tc>
        <w:tc>
          <w:tcPr>
            <w:tcW w:w="1541" w:type="dxa"/>
            <w:tcBorders>
              <w:top w:val="nil"/>
              <w:left w:val="nil"/>
              <w:bottom w:val="single" w:sz="4" w:space="0" w:color="808080"/>
              <w:right w:val="nil"/>
            </w:tcBorders>
            <w:shd w:val="clear" w:color="auto" w:fill="auto"/>
            <w:noWrap/>
            <w:vAlign w:val="bottom"/>
            <w:hideMark/>
          </w:tcPr>
          <w:p w14:paraId="6005A658" w14:textId="193ACC5C"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96%</w:t>
            </w:r>
          </w:p>
        </w:tc>
        <w:tc>
          <w:tcPr>
            <w:tcW w:w="1374" w:type="dxa"/>
            <w:tcBorders>
              <w:top w:val="nil"/>
              <w:left w:val="nil"/>
              <w:bottom w:val="single" w:sz="4" w:space="0" w:color="808080"/>
              <w:right w:val="nil"/>
            </w:tcBorders>
            <w:shd w:val="clear" w:color="auto" w:fill="auto"/>
            <w:noWrap/>
            <w:vAlign w:val="bottom"/>
            <w:hideMark/>
          </w:tcPr>
          <w:p w14:paraId="53CB6C7D"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60%</w:t>
            </w:r>
          </w:p>
        </w:tc>
        <w:tc>
          <w:tcPr>
            <w:tcW w:w="1467" w:type="dxa"/>
            <w:gridSpan w:val="2"/>
            <w:tcBorders>
              <w:top w:val="nil"/>
              <w:left w:val="nil"/>
              <w:bottom w:val="single" w:sz="4" w:space="0" w:color="808080"/>
              <w:right w:val="nil"/>
            </w:tcBorders>
            <w:shd w:val="clear" w:color="auto" w:fill="auto"/>
            <w:noWrap/>
            <w:vAlign w:val="bottom"/>
            <w:hideMark/>
          </w:tcPr>
          <w:p w14:paraId="3E0DCE2D"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57%</w:t>
            </w:r>
          </w:p>
        </w:tc>
      </w:tr>
      <w:tr w:rsidR="00B91736" w:rsidRPr="00AA2DA3" w14:paraId="126EB604" w14:textId="77777777" w:rsidTr="00B91736">
        <w:trPr>
          <w:trHeight w:val="300"/>
        </w:trPr>
        <w:tc>
          <w:tcPr>
            <w:tcW w:w="1438" w:type="dxa"/>
            <w:tcBorders>
              <w:top w:val="nil"/>
              <w:left w:val="nil"/>
              <w:bottom w:val="nil"/>
              <w:right w:val="nil"/>
            </w:tcBorders>
            <w:shd w:val="clear" w:color="auto" w:fill="auto"/>
            <w:noWrap/>
            <w:vAlign w:val="bottom"/>
            <w:hideMark/>
          </w:tcPr>
          <w:p w14:paraId="77A3229B" w14:textId="77777777" w:rsidR="00B91736" w:rsidRPr="008D1973" w:rsidRDefault="00B91736" w:rsidP="00726380">
            <w:pPr>
              <w:spacing w:line="360" w:lineRule="auto"/>
              <w:rPr>
                <w:rFonts w:eastAsia="Times New Roman" w:cs="Times New Roman"/>
                <w:b/>
                <w:color w:val="000000"/>
                <w:sz w:val="18"/>
                <w:szCs w:val="18"/>
              </w:rPr>
            </w:pPr>
          </w:p>
        </w:tc>
        <w:tc>
          <w:tcPr>
            <w:tcW w:w="1086" w:type="dxa"/>
            <w:tcBorders>
              <w:top w:val="nil"/>
              <w:left w:val="nil"/>
              <w:bottom w:val="single" w:sz="4" w:space="0" w:color="808080"/>
              <w:right w:val="nil"/>
            </w:tcBorders>
            <w:shd w:val="clear" w:color="auto" w:fill="auto"/>
            <w:noWrap/>
            <w:vAlign w:val="bottom"/>
            <w:hideMark/>
          </w:tcPr>
          <w:p w14:paraId="48737989"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Renters</w:t>
            </w:r>
          </w:p>
        </w:tc>
        <w:tc>
          <w:tcPr>
            <w:tcW w:w="1541" w:type="dxa"/>
            <w:tcBorders>
              <w:top w:val="nil"/>
              <w:left w:val="nil"/>
              <w:bottom w:val="single" w:sz="4" w:space="0" w:color="808080"/>
              <w:right w:val="nil"/>
            </w:tcBorders>
            <w:shd w:val="clear" w:color="auto" w:fill="auto"/>
            <w:noWrap/>
            <w:vAlign w:val="bottom"/>
            <w:hideMark/>
          </w:tcPr>
          <w:p w14:paraId="110A65E6" w14:textId="518E981A"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4%</w:t>
            </w:r>
          </w:p>
        </w:tc>
        <w:tc>
          <w:tcPr>
            <w:tcW w:w="1374" w:type="dxa"/>
            <w:tcBorders>
              <w:top w:val="nil"/>
              <w:left w:val="nil"/>
              <w:bottom w:val="single" w:sz="4" w:space="0" w:color="808080"/>
              <w:right w:val="nil"/>
            </w:tcBorders>
            <w:shd w:val="clear" w:color="auto" w:fill="auto"/>
            <w:noWrap/>
            <w:vAlign w:val="bottom"/>
            <w:hideMark/>
          </w:tcPr>
          <w:p w14:paraId="56F3D5F6"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40%</w:t>
            </w:r>
          </w:p>
        </w:tc>
        <w:tc>
          <w:tcPr>
            <w:tcW w:w="1467" w:type="dxa"/>
            <w:gridSpan w:val="2"/>
            <w:tcBorders>
              <w:top w:val="nil"/>
              <w:left w:val="nil"/>
              <w:bottom w:val="single" w:sz="4" w:space="0" w:color="808080"/>
              <w:right w:val="nil"/>
            </w:tcBorders>
            <w:shd w:val="clear" w:color="auto" w:fill="auto"/>
            <w:noWrap/>
            <w:vAlign w:val="bottom"/>
            <w:hideMark/>
          </w:tcPr>
          <w:p w14:paraId="63641B0D"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43%</w:t>
            </w:r>
          </w:p>
        </w:tc>
      </w:tr>
      <w:tr w:rsidR="00B91736" w:rsidRPr="00AA2DA3" w14:paraId="20722FD5" w14:textId="77777777" w:rsidTr="00B91736">
        <w:trPr>
          <w:trHeight w:val="300"/>
        </w:trPr>
        <w:tc>
          <w:tcPr>
            <w:tcW w:w="1438" w:type="dxa"/>
            <w:tcBorders>
              <w:top w:val="nil"/>
              <w:left w:val="nil"/>
              <w:bottom w:val="single" w:sz="4" w:space="0" w:color="auto"/>
              <w:right w:val="nil"/>
            </w:tcBorders>
            <w:shd w:val="clear" w:color="auto" w:fill="auto"/>
            <w:noWrap/>
            <w:vAlign w:val="bottom"/>
            <w:hideMark/>
          </w:tcPr>
          <w:p w14:paraId="3C496755" w14:textId="77777777" w:rsidR="00B91736" w:rsidRPr="008D1973" w:rsidRDefault="00B91736" w:rsidP="00726380">
            <w:pPr>
              <w:spacing w:line="360" w:lineRule="auto"/>
              <w:rPr>
                <w:rFonts w:eastAsia="Times New Roman" w:cs="Times New Roman"/>
                <w:b/>
                <w:color w:val="000000"/>
                <w:sz w:val="18"/>
                <w:szCs w:val="18"/>
              </w:rPr>
            </w:pPr>
            <w:r w:rsidRPr="008D1973">
              <w:rPr>
                <w:rFonts w:eastAsia="Times New Roman" w:cs="Times New Roman"/>
                <w:b/>
                <w:color w:val="000000"/>
                <w:sz w:val="18"/>
                <w:szCs w:val="18"/>
              </w:rPr>
              <w:t> </w:t>
            </w:r>
          </w:p>
        </w:tc>
        <w:tc>
          <w:tcPr>
            <w:tcW w:w="1086" w:type="dxa"/>
            <w:tcBorders>
              <w:top w:val="nil"/>
              <w:left w:val="nil"/>
              <w:bottom w:val="single" w:sz="4" w:space="0" w:color="auto"/>
              <w:right w:val="nil"/>
            </w:tcBorders>
            <w:shd w:val="clear" w:color="auto" w:fill="auto"/>
            <w:noWrap/>
            <w:vAlign w:val="bottom"/>
            <w:hideMark/>
          </w:tcPr>
          <w:p w14:paraId="670E0457"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Total</w:t>
            </w:r>
          </w:p>
        </w:tc>
        <w:tc>
          <w:tcPr>
            <w:tcW w:w="1541" w:type="dxa"/>
            <w:tcBorders>
              <w:top w:val="nil"/>
              <w:left w:val="nil"/>
              <w:bottom w:val="single" w:sz="4" w:space="0" w:color="auto"/>
              <w:right w:val="nil"/>
            </w:tcBorders>
            <w:shd w:val="clear" w:color="auto" w:fill="auto"/>
            <w:noWrap/>
            <w:vAlign w:val="bottom"/>
            <w:hideMark/>
          </w:tcPr>
          <w:p w14:paraId="1FC95CFE" w14:textId="22B78893"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3,512</w:t>
            </w:r>
          </w:p>
        </w:tc>
        <w:tc>
          <w:tcPr>
            <w:tcW w:w="1374" w:type="dxa"/>
            <w:tcBorders>
              <w:top w:val="nil"/>
              <w:left w:val="nil"/>
              <w:bottom w:val="single" w:sz="4" w:space="0" w:color="auto"/>
              <w:right w:val="nil"/>
            </w:tcBorders>
            <w:shd w:val="clear" w:color="auto" w:fill="auto"/>
            <w:noWrap/>
            <w:vAlign w:val="bottom"/>
            <w:hideMark/>
          </w:tcPr>
          <w:p w14:paraId="0B013885"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256,423</w:t>
            </w:r>
          </w:p>
        </w:tc>
        <w:tc>
          <w:tcPr>
            <w:tcW w:w="1467" w:type="dxa"/>
            <w:gridSpan w:val="2"/>
            <w:tcBorders>
              <w:top w:val="nil"/>
              <w:left w:val="nil"/>
              <w:bottom w:val="nil"/>
              <w:right w:val="nil"/>
            </w:tcBorders>
            <w:shd w:val="clear" w:color="auto" w:fill="auto"/>
            <w:noWrap/>
            <w:vAlign w:val="bottom"/>
            <w:hideMark/>
          </w:tcPr>
          <w:p w14:paraId="48E1FB4A"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12,433,172</w:t>
            </w:r>
          </w:p>
        </w:tc>
      </w:tr>
      <w:tr w:rsidR="00B91736" w:rsidRPr="00AA2DA3" w14:paraId="448F3C69" w14:textId="77777777" w:rsidTr="00B91736">
        <w:trPr>
          <w:trHeight w:val="300"/>
        </w:trPr>
        <w:tc>
          <w:tcPr>
            <w:tcW w:w="1438" w:type="dxa"/>
            <w:tcBorders>
              <w:top w:val="nil"/>
              <w:left w:val="nil"/>
              <w:bottom w:val="nil"/>
              <w:right w:val="nil"/>
            </w:tcBorders>
            <w:shd w:val="clear" w:color="auto" w:fill="auto"/>
            <w:noWrap/>
            <w:vAlign w:val="center"/>
            <w:hideMark/>
          </w:tcPr>
          <w:p w14:paraId="57A1D213" w14:textId="77777777" w:rsidR="00B91736" w:rsidRPr="008D1973" w:rsidRDefault="00B91736" w:rsidP="00726380">
            <w:pPr>
              <w:spacing w:line="360" w:lineRule="auto"/>
              <w:rPr>
                <w:rFonts w:eastAsia="Times New Roman" w:cs="Times New Roman"/>
                <w:b/>
                <w:color w:val="000000"/>
                <w:sz w:val="18"/>
                <w:szCs w:val="18"/>
              </w:rPr>
            </w:pPr>
            <w:r w:rsidRPr="008D1973">
              <w:rPr>
                <w:rFonts w:eastAsia="Times New Roman" w:cs="Times New Roman"/>
                <w:b/>
                <w:color w:val="000000"/>
                <w:sz w:val="18"/>
                <w:szCs w:val="18"/>
              </w:rPr>
              <w:t>Age 65-74</w:t>
            </w:r>
          </w:p>
        </w:tc>
        <w:tc>
          <w:tcPr>
            <w:tcW w:w="1086" w:type="dxa"/>
            <w:tcBorders>
              <w:top w:val="nil"/>
              <w:left w:val="nil"/>
              <w:bottom w:val="single" w:sz="4" w:space="0" w:color="808080"/>
              <w:right w:val="nil"/>
            </w:tcBorders>
            <w:shd w:val="clear" w:color="auto" w:fill="auto"/>
            <w:noWrap/>
            <w:vAlign w:val="bottom"/>
            <w:hideMark/>
          </w:tcPr>
          <w:p w14:paraId="7604F89E"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Owners</w:t>
            </w:r>
          </w:p>
        </w:tc>
        <w:tc>
          <w:tcPr>
            <w:tcW w:w="1541" w:type="dxa"/>
            <w:tcBorders>
              <w:top w:val="nil"/>
              <w:left w:val="nil"/>
              <w:bottom w:val="single" w:sz="4" w:space="0" w:color="808080"/>
              <w:right w:val="nil"/>
            </w:tcBorders>
            <w:shd w:val="clear" w:color="auto" w:fill="auto"/>
            <w:noWrap/>
            <w:vAlign w:val="bottom"/>
            <w:hideMark/>
          </w:tcPr>
          <w:p w14:paraId="37C2BDCF" w14:textId="5A73862E"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98%</w:t>
            </w:r>
          </w:p>
        </w:tc>
        <w:tc>
          <w:tcPr>
            <w:tcW w:w="1374" w:type="dxa"/>
            <w:tcBorders>
              <w:top w:val="nil"/>
              <w:left w:val="nil"/>
              <w:bottom w:val="single" w:sz="4" w:space="0" w:color="808080"/>
              <w:right w:val="nil"/>
            </w:tcBorders>
            <w:shd w:val="clear" w:color="auto" w:fill="auto"/>
            <w:noWrap/>
            <w:vAlign w:val="bottom"/>
            <w:hideMark/>
          </w:tcPr>
          <w:p w14:paraId="44F88424"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79%</w:t>
            </w:r>
          </w:p>
        </w:tc>
        <w:tc>
          <w:tcPr>
            <w:tcW w:w="1467" w:type="dxa"/>
            <w:gridSpan w:val="2"/>
            <w:tcBorders>
              <w:top w:val="single" w:sz="4" w:space="0" w:color="auto"/>
              <w:left w:val="nil"/>
              <w:bottom w:val="single" w:sz="4" w:space="0" w:color="808080"/>
              <w:right w:val="nil"/>
            </w:tcBorders>
            <w:shd w:val="clear" w:color="auto" w:fill="auto"/>
            <w:noWrap/>
            <w:vAlign w:val="bottom"/>
            <w:hideMark/>
          </w:tcPr>
          <w:p w14:paraId="0CF24008"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75%</w:t>
            </w:r>
          </w:p>
        </w:tc>
      </w:tr>
      <w:tr w:rsidR="00B91736" w:rsidRPr="00AA2DA3" w14:paraId="0FBC153B" w14:textId="77777777" w:rsidTr="00B91736">
        <w:trPr>
          <w:trHeight w:val="300"/>
        </w:trPr>
        <w:tc>
          <w:tcPr>
            <w:tcW w:w="1438" w:type="dxa"/>
            <w:tcBorders>
              <w:top w:val="nil"/>
              <w:left w:val="nil"/>
              <w:bottom w:val="nil"/>
              <w:right w:val="nil"/>
            </w:tcBorders>
            <w:shd w:val="clear" w:color="auto" w:fill="auto"/>
            <w:noWrap/>
            <w:vAlign w:val="center"/>
            <w:hideMark/>
          </w:tcPr>
          <w:p w14:paraId="460D6940" w14:textId="77777777" w:rsidR="00B91736" w:rsidRPr="008D1973" w:rsidRDefault="00B91736" w:rsidP="00726380">
            <w:pPr>
              <w:spacing w:line="360" w:lineRule="auto"/>
              <w:rPr>
                <w:rFonts w:eastAsia="Times New Roman" w:cs="Times New Roman"/>
                <w:b/>
                <w:color w:val="000000"/>
                <w:sz w:val="18"/>
                <w:szCs w:val="18"/>
              </w:rPr>
            </w:pPr>
          </w:p>
        </w:tc>
        <w:tc>
          <w:tcPr>
            <w:tcW w:w="1086" w:type="dxa"/>
            <w:tcBorders>
              <w:top w:val="nil"/>
              <w:left w:val="nil"/>
              <w:bottom w:val="single" w:sz="4" w:space="0" w:color="808080"/>
              <w:right w:val="nil"/>
            </w:tcBorders>
            <w:shd w:val="clear" w:color="auto" w:fill="auto"/>
            <w:noWrap/>
            <w:vAlign w:val="bottom"/>
            <w:hideMark/>
          </w:tcPr>
          <w:p w14:paraId="0B8BA5AD"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Renters</w:t>
            </w:r>
          </w:p>
        </w:tc>
        <w:tc>
          <w:tcPr>
            <w:tcW w:w="1541" w:type="dxa"/>
            <w:tcBorders>
              <w:top w:val="nil"/>
              <w:left w:val="nil"/>
              <w:bottom w:val="single" w:sz="4" w:space="0" w:color="808080"/>
              <w:right w:val="nil"/>
            </w:tcBorders>
            <w:shd w:val="clear" w:color="auto" w:fill="auto"/>
            <w:noWrap/>
            <w:vAlign w:val="bottom"/>
            <w:hideMark/>
          </w:tcPr>
          <w:p w14:paraId="075FA722" w14:textId="2C3A7FD2"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2%</w:t>
            </w:r>
          </w:p>
        </w:tc>
        <w:tc>
          <w:tcPr>
            <w:tcW w:w="1374" w:type="dxa"/>
            <w:tcBorders>
              <w:top w:val="nil"/>
              <w:left w:val="nil"/>
              <w:bottom w:val="single" w:sz="4" w:space="0" w:color="808080"/>
              <w:right w:val="nil"/>
            </w:tcBorders>
            <w:shd w:val="clear" w:color="auto" w:fill="auto"/>
            <w:noWrap/>
            <w:vAlign w:val="bottom"/>
            <w:hideMark/>
          </w:tcPr>
          <w:p w14:paraId="7B9B6930"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21%</w:t>
            </w:r>
          </w:p>
        </w:tc>
        <w:tc>
          <w:tcPr>
            <w:tcW w:w="1467" w:type="dxa"/>
            <w:gridSpan w:val="2"/>
            <w:tcBorders>
              <w:top w:val="nil"/>
              <w:left w:val="nil"/>
              <w:bottom w:val="single" w:sz="4" w:space="0" w:color="808080"/>
              <w:right w:val="nil"/>
            </w:tcBorders>
            <w:shd w:val="clear" w:color="auto" w:fill="auto"/>
            <w:noWrap/>
            <w:vAlign w:val="bottom"/>
            <w:hideMark/>
          </w:tcPr>
          <w:p w14:paraId="141F4C3A"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25%</w:t>
            </w:r>
          </w:p>
        </w:tc>
      </w:tr>
      <w:tr w:rsidR="00B91736" w:rsidRPr="00AA2DA3" w14:paraId="00BC008D" w14:textId="77777777" w:rsidTr="00B91736">
        <w:trPr>
          <w:trHeight w:val="300"/>
        </w:trPr>
        <w:tc>
          <w:tcPr>
            <w:tcW w:w="1438" w:type="dxa"/>
            <w:tcBorders>
              <w:top w:val="nil"/>
              <w:left w:val="nil"/>
              <w:bottom w:val="single" w:sz="4" w:space="0" w:color="auto"/>
              <w:right w:val="nil"/>
            </w:tcBorders>
            <w:shd w:val="clear" w:color="auto" w:fill="auto"/>
            <w:noWrap/>
            <w:vAlign w:val="center"/>
            <w:hideMark/>
          </w:tcPr>
          <w:p w14:paraId="3D8728D6" w14:textId="77777777" w:rsidR="00B91736" w:rsidRPr="008D1973" w:rsidRDefault="00B91736" w:rsidP="00726380">
            <w:pPr>
              <w:spacing w:line="360" w:lineRule="auto"/>
              <w:rPr>
                <w:rFonts w:eastAsia="Times New Roman" w:cs="Times New Roman"/>
                <w:b/>
                <w:color w:val="000000"/>
                <w:sz w:val="18"/>
                <w:szCs w:val="18"/>
              </w:rPr>
            </w:pPr>
            <w:r w:rsidRPr="008D1973">
              <w:rPr>
                <w:rFonts w:eastAsia="Times New Roman" w:cs="Times New Roman"/>
                <w:b/>
                <w:color w:val="000000"/>
                <w:sz w:val="18"/>
                <w:szCs w:val="18"/>
              </w:rPr>
              <w:t> </w:t>
            </w:r>
          </w:p>
        </w:tc>
        <w:tc>
          <w:tcPr>
            <w:tcW w:w="1086" w:type="dxa"/>
            <w:tcBorders>
              <w:top w:val="nil"/>
              <w:left w:val="nil"/>
              <w:bottom w:val="nil"/>
              <w:right w:val="nil"/>
            </w:tcBorders>
            <w:shd w:val="clear" w:color="auto" w:fill="auto"/>
            <w:noWrap/>
            <w:vAlign w:val="bottom"/>
            <w:hideMark/>
          </w:tcPr>
          <w:p w14:paraId="0536809F"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Total</w:t>
            </w:r>
          </w:p>
        </w:tc>
        <w:tc>
          <w:tcPr>
            <w:tcW w:w="1541" w:type="dxa"/>
            <w:tcBorders>
              <w:top w:val="nil"/>
              <w:left w:val="nil"/>
              <w:bottom w:val="single" w:sz="4" w:space="0" w:color="auto"/>
              <w:right w:val="nil"/>
            </w:tcBorders>
            <w:shd w:val="clear" w:color="auto" w:fill="auto"/>
            <w:noWrap/>
            <w:vAlign w:val="bottom"/>
            <w:hideMark/>
          </w:tcPr>
          <w:p w14:paraId="16F1164D" w14:textId="38618C29"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527</w:t>
            </w:r>
          </w:p>
        </w:tc>
        <w:tc>
          <w:tcPr>
            <w:tcW w:w="1374" w:type="dxa"/>
            <w:tcBorders>
              <w:top w:val="nil"/>
              <w:left w:val="nil"/>
              <w:bottom w:val="single" w:sz="4" w:space="0" w:color="auto"/>
              <w:right w:val="nil"/>
            </w:tcBorders>
            <w:shd w:val="clear" w:color="auto" w:fill="auto"/>
            <w:noWrap/>
            <w:vAlign w:val="bottom"/>
            <w:hideMark/>
          </w:tcPr>
          <w:p w14:paraId="39F146D7"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 xml:space="preserve"> 27,053 </w:t>
            </w:r>
          </w:p>
        </w:tc>
        <w:tc>
          <w:tcPr>
            <w:tcW w:w="1467" w:type="dxa"/>
            <w:gridSpan w:val="2"/>
            <w:tcBorders>
              <w:top w:val="nil"/>
              <w:left w:val="nil"/>
              <w:bottom w:val="single" w:sz="4" w:space="0" w:color="auto"/>
              <w:right w:val="nil"/>
            </w:tcBorders>
            <w:shd w:val="clear" w:color="auto" w:fill="auto"/>
            <w:noWrap/>
            <w:vAlign w:val="bottom"/>
            <w:hideMark/>
          </w:tcPr>
          <w:p w14:paraId="783768CA"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 xml:space="preserve"> 1,265,873 </w:t>
            </w:r>
          </w:p>
        </w:tc>
      </w:tr>
      <w:tr w:rsidR="00B91736" w:rsidRPr="00AA2DA3" w14:paraId="390FD319" w14:textId="77777777" w:rsidTr="00B91736">
        <w:trPr>
          <w:trHeight w:val="300"/>
        </w:trPr>
        <w:tc>
          <w:tcPr>
            <w:tcW w:w="1438" w:type="dxa"/>
            <w:tcBorders>
              <w:top w:val="nil"/>
              <w:left w:val="nil"/>
              <w:bottom w:val="nil"/>
              <w:right w:val="nil"/>
            </w:tcBorders>
            <w:shd w:val="clear" w:color="auto" w:fill="auto"/>
            <w:noWrap/>
            <w:vAlign w:val="center"/>
            <w:hideMark/>
          </w:tcPr>
          <w:p w14:paraId="476DDBBE" w14:textId="77777777" w:rsidR="00B91736" w:rsidRPr="008D1973" w:rsidRDefault="00B91736" w:rsidP="00726380">
            <w:pPr>
              <w:spacing w:line="360" w:lineRule="auto"/>
              <w:rPr>
                <w:rFonts w:eastAsia="Times New Roman" w:cs="Times New Roman"/>
                <w:b/>
                <w:color w:val="000000"/>
                <w:sz w:val="18"/>
                <w:szCs w:val="18"/>
              </w:rPr>
            </w:pPr>
            <w:r w:rsidRPr="008D1973">
              <w:rPr>
                <w:rFonts w:eastAsia="Times New Roman" w:cs="Times New Roman"/>
                <w:b/>
                <w:color w:val="000000"/>
                <w:sz w:val="18"/>
                <w:szCs w:val="18"/>
              </w:rPr>
              <w:t>Age 75-84</w:t>
            </w:r>
          </w:p>
        </w:tc>
        <w:tc>
          <w:tcPr>
            <w:tcW w:w="1086" w:type="dxa"/>
            <w:tcBorders>
              <w:top w:val="single" w:sz="4" w:space="0" w:color="auto"/>
              <w:left w:val="nil"/>
              <w:bottom w:val="single" w:sz="4" w:space="0" w:color="808080"/>
              <w:right w:val="nil"/>
            </w:tcBorders>
            <w:shd w:val="clear" w:color="auto" w:fill="auto"/>
            <w:noWrap/>
            <w:vAlign w:val="bottom"/>
            <w:hideMark/>
          </w:tcPr>
          <w:p w14:paraId="5C93DC8B"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Owners</w:t>
            </w:r>
          </w:p>
        </w:tc>
        <w:tc>
          <w:tcPr>
            <w:tcW w:w="1541" w:type="dxa"/>
            <w:tcBorders>
              <w:top w:val="nil"/>
              <w:left w:val="nil"/>
              <w:bottom w:val="single" w:sz="4" w:space="0" w:color="808080"/>
              <w:right w:val="nil"/>
            </w:tcBorders>
            <w:shd w:val="clear" w:color="auto" w:fill="auto"/>
            <w:noWrap/>
            <w:vAlign w:val="bottom"/>
            <w:hideMark/>
          </w:tcPr>
          <w:p w14:paraId="2F80A19B" w14:textId="00F8217D"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98%</w:t>
            </w:r>
          </w:p>
        </w:tc>
        <w:tc>
          <w:tcPr>
            <w:tcW w:w="1374" w:type="dxa"/>
            <w:tcBorders>
              <w:top w:val="nil"/>
              <w:left w:val="nil"/>
              <w:bottom w:val="single" w:sz="4" w:space="0" w:color="808080"/>
              <w:right w:val="nil"/>
            </w:tcBorders>
            <w:shd w:val="clear" w:color="auto" w:fill="auto"/>
            <w:noWrap/>
            <w:vAlign w:val="bottom"/>
            <w:hideMark/>
          </w:tcPr>
          <w:p w14:paraId="74C47A5E"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81%</w:t>
            </w:r>
          </w:p>
        </w:tc>
        <w:tc>
          <w:tcPr>
            <w:tcW w:w="1467" w:type="dxa"/>
            <w:gridSpan w:val="2"/>
            <w:tcBorders>
              <w:top w:val="nil"/>
              <w:left w:val="nil"/>
              <w:bottom w:val="single" w:sz="4" w:space="0" w:color="808080"/>
              <w:right w:val="nil"/>
            </w:tcBorders>
            <w:shd w:val="clear" w:color="auto" w:fill="auto"/>
            <w:noWrap/>
            <w:vAlign w:val="bottom"/>
            <w:hideMark/>
          </w:tcPr>
          <w:p w14:paraId="309757CB"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75%</w:t>
            </w:r>
          </w:p>
        </w:tc>
      </w:tr>
      <w:tr w:rsidR="00B91736" w:rsidRPr="00AA2DA3" w14:paraId="5030BB17" w14:textId="77777777" w:rsidTr="00B91736">
        <w:trPr>
          <w:trHeight w:val="300"/>
        </w:trPr>
        <w:tc>
          <w:tcPr>
            <w:tcW w:w="1438" w:type="dxa"/>
            <w:tcBorders>
              <w:top w:val="nil"/>
              <w:left w:val="nil"/>
              <w:bottom w:val="nil"/>
              <w:right w:val="nil"/>
            </w:tcBorders>
            <w:shd w:val="clear" w:color="auto" w:fill="auto"/>
            <w:noWrap/>
            <w:vAlign w:val="center"/>
            <w:hideMark/>
          </w:tcPr>
          <w:p w14:paraId="2F224372" w14:textId="77777777" w:rsidR="00B91736" w:rsidRPr="008D1973" w:rsidRDefault="00B91736" w:rsidP="00726380">
            <w:pPr>
              <w:spacing w:line="360" w:lineRule="auto"/>
              <w:rPr>
                <w:rFonts w:eastAsia="Times New Roman" w:cs="Times New Roman"/>
                <w:b/>
                <w:color w:val="000000"/>
                <w:sz w:val="18"/>
                <w:szCs w:val="18"/>
              </w:rPr>
            </w:pPr>
          </w:p>
        </w:tc>
        <w:tc>
          <w:tcPr>
            <w:tcW w:w="1086" w:type="dxa"/>
            <w:tcBorders>
              <w:top w:val="nil"/>
              <w:left w:val="nil"/>
              <w:bottom w:val="single" w:sz="4" w:space="0" w:color="808080"/>
              <w:right w:val="nil"/>
            </w:tcBorders>
            <w:shd w:val="clear" w:color="auto" w:fill="auto"/>
            <w:noWrap/>
            <w:vAlign w:val="bottom"/>
            <w:hideMark/>
          </w:tcPr>
          <w:p w14:paraId="50822C54"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Renters</w:t>
            </w:r>
          </w:p>
        </w:tc>
        <w:tc>
          <w:tcPr>
            <w:tcW w:w="1541" w:type="dxa"/>
            <w:tcBorders>
              <w:top w:val="nil"/>
              <w:left w:val="nil"/>
              <w:bottom w:val="single" w:sz="4" w:space="0" w:color="808080"/>
              <w:right w:val="nil"/>
            </w:tcBorders>
            <w:shd w:val="clear" w:color="auto" w:fill="auto"/>
            <w:noWrap/>
            <w:vAlign w:val="bottom"/>
            <w:hideMark/>
          </w:tcPr>
          <w:p w14:paraId="2CEB6A09" w14:textId="31DD77FC"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2%</w:t>
            </w:r>
          </w:p>
        </w:tc>
        <w:tc>
          <w:tcPr>
            <w:tcW w:w="1374" w:type="dxa"/>
            <w:tcBorders>
              <w:top w:val="nil"/>
              <w:left w:val="nil"/>
              <w:bottom w:val="single" w:sz="4" w:space="0" w:color="808080"/>
              <w:right w:val="nil"/>
            </w:tcBorders>
            <w:shd w:val="clear" w:color="auto" w:fill="auto"/>
            <w:noWrap/>
            <w:vAlign w:val="bottom"/>
            <w:hideMark/>
          </w:tcPr>
          <w:p w14:paraId="5E4F94BD"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19%</w:t>
            </w:r>
          </w:p>
        </w:tc>
        <w:tc>
          <w:tcPr>
            <w:tcW w:w="1467" w:type="dxa"/>
            <w:gridSpan w:val="2"/>
            <w:tcBorders>
              <w:top w:val="nil"/>
              <w:left w:val="nil"/>
              <w:bottom w:val="single" w:sz="4" w:space="0" w:color="808080"/>
              <w:right w:val="nil"/>
            </w:tcBorders>
            <w:shd w:val="clear" w:color="auto" w:fill="auto"/>
            <w:noWrap/>
            <w:vAlign w:val="bottom"/>
            <w:hideMark/>
          </w:tcPr>
          <w:p w14:paraId="2E09FCB7"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25%</w:t>
            </w:r>
          </w:p>
        </w:tc>
      </w:tr>
      <w:tr w:rsidR="00B91736" w:rsidRPr="00AA2DA3" w14:paraId="403FD293" w14:textId="77777777" w:rsidTr="00B91736">
        <w:trPr>
          <w:trHeight w:val="300"/>
        </w:trPr>
        <w:tc>
          <w:tcPr>
            <w:tcW w:w="1438" w:type="dxa"/>
            <w:tcBorders>
              <w:top w:val="nil"/>
              <w:left w:val="nil"/>
              <w:bottom w:val="single" w:sz="4" w:space="0" w:color="auto"/>
              <w:right w:val="nil"/>
            </w:tcBorders>
            <w:shd w:val="clear" w:color="auto" w:fill="auto"/>
            <w:noWrap/>
            <w:vAlign w:val="center"/>
            <w:hideMark/>
          </w:tcPr>
          <w:p w14:paraId="78864D8C" w14:textId="77777777" w:rsidR="00B91736" w:rsidRPr="008D1973" w:rsidRDefault="00B91736" w:rsidP="00726380">
            <w:pPr>
              <w:spacing w:line="360" w:lineRule="auto"/>
              <w:rPr>
                <w:rFonts w:eastAsia="Times New Roman" w:cs="Times New Roman"/>
                <w:b/>
                <w:color w:val="000000"/>
                <w:sz w:val="18"/>
                <w:szCs w:val="18"/>
              </w:rPr>
            </w:pPr>
            <w:r w:rsidRPr="008D1973">
              <w:rPr>
                <w:rFonts w:eastAsia="Times New Roman" w:cs="Times New Roman"/>
                <w:b/>
                <w:color w:val="000000"/>
                <w:sz w:val="18"/>
                <w:szCs w:val="18"/>
              </w:rPr>
              <w:t> </w:t>
            </w:r>
          </w:p>
        </w:tc>
        <w:tc>
          <w:tcPr>
            <w:tcW w:w="1086" w:type="dxa"/>
            <w:tcBorders>
              <w:top w:val="nil"/>
              <w:left w:val="nil"/>
              <w:bottom w:val="nil"/>
              <w:right w:val="nil"/>
            </w:tcBorders>
            <w:shd w:val="clear" w:color="auto" w:fill="auto"/>
            <w:noWrap/>
            <w:vAlign w:val="bottom"/>
            <w:hideMark/>
          </w:tcPr>
          <w:p w14:paraId="5359FF26"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Total</w:t>
            </w:r>
          </w:p>
        </w:tc>
        <w:tc>
          <w:tcPr>
            <w:tcW w:w="1541" w:type="dxa"/>
            <w:tcBorders>
              <w:top w:val="nil"/>
              <w:left w:val="nil"/>
              <w:bottom w:val="single" w:sz="4" w:space="0" w:color="auto"/>
              <w:right w:val="nil"/>
            </w:tcBorders>
            <w:shd w:val="clear" w:color="auto" w:fill="auto"/>
            <w:noWrap/>
            <w:vAlign w:val="bottom"/>
            <w:hideMark/>
          </w:tcPr>
          <w:p w14:paraId="3E9E486B" w14:textId="6E8796C9"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454</w:t>
            </w:r>
          </w:p>
        </w:tc>
        <w:tc>
          <w:tcPr>
            <w:tcW w:w="1374" w:type="dxa"/>
            <w:tcBorders>
              <w:top w:val="nil"/>
              <w:left w:val="nil"/>
              <w:bottom w:val="single" w:sz="4" w:space="0" w:color="auto"/>
              <w:right w:val="nil"/>
            </w:tcBorders>
            <w:shd w:val="clear" w:color="auto" w:fill="auto"/>
            <w:noWrap/>
            <w:vAlign w:val="bottom"/>
            <w:hideMark/>
          </w:tcPr>
          <w:p w14:paraId="594D1520"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 xml:space="preserve"> 18,014 </w:t>
            </w:r>
          </w:p>
        </w:tc>
        <w:tc>
          <w:tcPr>
            <w:tcW w:w="1467" w:type="dxa"/>
            <w:gridSpan w:val="2"/>
            <w:tcBorders>
              <w:top w:val="nil"/>
              <w:left w:val="nil"/>
              <w:bottom w:val="single" w:sz="4" w:space="0" w:color="auto"/>
              <w:right w:val="nil"/>
            </w:tcBorders>
            <w:shd w:val="clear" w:color="auto" w:fill="auto"/>
            <w:noWrap/>
            <w:vAlign w:val="bottom"/>
            <w:hideMark/>
          </w:tcPr>
          <w:p w14:paraId="7D3047CF"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 xml:space="preserve"> 823,750 </w:t>
            </w:r>
          </w:p>
        </w:tc>
      </w:tr>
      <w:tr w:rsidR="00B91736" w:rsidRPr="00AA2DA3" w14:paraId="1CDD36EF" w14:textId="77777777" w:rsidTr="00B91736">
        <w:trPr>
          <w:trHeight w:val="300"/>
        </w:trPr>
        <w:tc>
          <w:tcPr>
            <w:tcW w:w="1438" w:type="dxa"/>
            <w:tcBorders>
              <w:top w:val="nil"/>
              <w:left w:val="nil"/>
              <w:bottom w:val="nil"/>
              <w:right w:val="nil"/>
            </w:tcBorders>
            <w:shd w:val="clear" w:color="auto" w:fill="auto"/>
            <w:noWrap/>
            <w:vAlign w:val="center"/>
            <w:hideMark/>
          </w:tcPr>
          <w:p w14:paraId="6B7E2D56" w14:textId="77777777" w:rsidR="00B91736" w:rsidRPr="008D1973" w:rsidRDefault="00B91736" w:rsidP="00726380">
            <w:pPr>
              <w:spacing w:line="360" w:lineRule="auto"/>
              <w:rPr>
                <w:rFonts w:eastAsia="Times New Roman" w:cs="Times New Roman"/>
                <w:b/>
                <w:color w:val="000000"/>
                <w:sz w:val="18"/>
                <w:szCs w:val="18"/>
              </w:rPr>
            </w:pPr>
            <w:r w:rsidRPr="008D1973">
              <w:rPr>
                <w:rFonts w:eastAsia="Times New Roman" w:cs="Times New Roman"/>
                <w:b/>
                <w:color w:val="000000"/>
                <w:sz w:val="18"/>
                <w:szCs w:val="18"/>
              </w:rPr>
              <w:t>Age 85 +</w:t>
            </w:r>
          </w:p>
        </w:tc>
        <w:tc>
          <w:tcPr>
            <w:tcW w:w="1086" w:type="dxa"/>
            <w:tcBorders>
              <w:top w:val="single" w:sz="4" w:space="0" w:color="auto"/>
              <w:left w:val="nil"/>
              <w:bottom w:val="single" w:sz="4" w:space="0" w:color="808080"/>
              <w:right w:val="nil"/>
            </w:tcBorders>
            <w:shd w:val="clear" w:color="auto" w:fill="auto"/>
            <w:noWrap/>
            <w:vAlign w:val="bottom"/>
            <w:hideMark/>
          </w:tcPr>
          <w:p w14:paraId="629E3793"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Owners</w:t>
            </w:r>
          </w:p>
        </w:tc>
        <w:tc>
          <w:tcPr>
            <w:tcW w:w="1541" w:type="dxa"/>
            <w:tcBorders>
              <w:top w:val="nil"/>
              <w:left w:val="nil"/>
              <w:bottom w:val="single" w:sz="4" w:space="0" w:color="808080"/>
              <w:right w:val="nil"/>
            </w:tcBorders>
            <w:shd w:val="clear" w:color="auto" w:fill="auto"/>
            <w:noWrap/>
            <w:vAlign w:val="bottom"/>
            <w:hideMark/>
          </w:tcPr>
          <w:p w14:paraId="6AC6DBA4" w14:textId="280BB964"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100%</w:t>
            </w:r>
          </w:p>
        </w:tc>
        <w:tc>
          <w:tcPr>
            <w:tcW w:w="1374" w:type="dxa"/>
            <w:tcBorders>
              <w:top w:val="nil"/>
              <w:left w:val="nil"/>
              <w:bottom w:val="single" w:sz="4" w:space="0" w:color="808080"/>
              <w:right w:val="nil"/>
            </w:tcBorders>
            <w:shd w:val="clear" w:color="auto" w:fill="auto"/>
            <w:noWrap/>
            <w:vAlign w:val="bottom"/>
            <w:hideMark/>
          </w:tcPr>
          <w:p w14:paraId="69E5093A"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75%</w:t>
            </w:r>
          </w:p>
        </w:tc>
        <w:tc>
          <w:tcPr>
            <w:tcW w:w="1467" w:type="dxa"/>
            <w:gridSpan w:val="2"/>
            <w:tcBorders>
              <w:top w:val="nil"/>
              <w:left w:val="nil"/>
              <w:bottom w:val="single" w:sz="4" w:space="0" w:color="808080"/>
              <w:right w:val="nil"/>
            </w:tcBorders>
            <w:shd w:val="clear" w:color="auto" w:fill="auto"/>
            <w:noWrap/>
            <w:vAlign w:val="bottom"/>
            <w:hideMark/>
          </w:tcPr>
          <w:p w14:paraId="129FF095"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69%</w:t>
            </w:r>
          </w:p>
        </w:tc>
      </w:tr>
      <w:tr w:rsidR="00B91736" w:rsidRPr="00AA2DA3" w14:paraId="3CAE0EE2" w14:textId="77777777" w:rsidTr="00B91736">
        <w:trPr>
          <w:trHeight w:val="300"/>
        </w:trPr>
        <w:tc>
          <w:tcPr>
            <w:tcW w:w="1438" w:type="dxa"/>
            <w:tcBorders>
              <w:top w:val="nil"/>
              <w:left w:val="nil"/>
              <w:bottom w:val="nil"/>
              <w:right w:val="nil"/>
            </w:tcBorders>
            <w:shd w:val="clear" w:color="auto" w:fill="auto"/>
            <w:noWrap/>
            <w:vAlign w:val="center"/>
            <w:hideMark/>
          </w:tcPr>
          <w:p w14:paraId="6D912824" w14:textId="77777777" w:rsidR="00B91736" w:rsidRPr="00AA2DA3" w:rsidRDefault="00B91736" w:rsidP="00726380">
            <w:pPr>
              <w:spacing w:line="360" w:lineRule="auto"/>
              <w:rPr>
                <w:rFonts w:eastAsia="Times New Roman" w:cs="Times New Roman"/>
                <w:color w:val="000000"/>
                <w:sz w:val="18"/>
                <w:szCs w:val="18"/>
              </w:rPr>
            </w:pPr>
          </w:p>
        </w:tc>
        <w:tc>
          <w:tcPr>
            <w:tcW w:w="1086" w:type="dxa"/>
            <w:tcBorders>
              <w:top w:val="nil"/>
              <w:left w:val="nil"/>
              <w:bottom w:val="single" w:sz="4" w:space="0" w:color="808080"/>
              <w:right w:val="nil"/>
            </w:tcBorders>
            <w:shd w:val="clear" w:color="auto" w:fill="auto"/>
            <w:noWrap/>
            <w:vAlign w:val="bottom"/>
            <w:hideMark/>
          </w:tcPr>
          <w:p w14:paraId="74BDEB8E"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Renters</w:t>
            </w:r>
          </w:p>
        </w:tc>
        <w:tc>
          <w:tcPr>
            <w:tcW w:w="1541" w:type="dxa"/>
            <w:tcBorders>
              <w:top w:val="nil"/>
              <w:left w:val="nil"/>
              <w:bottom w:val="single" w:sz="4" w:space="0" w:color="808080"/>
              <w:right w:val="nil"/>
            </w:tcBorders>
            <w:shd w:val="clear" w:color="auto" w:fill="auto"/>
            <w:noWrap/>
            <w:vAlign w:val="bottom"/>
            <w:hideMark/>
          </w:tcPr>
          <w:p w14:paraId="350297CE" w14:textId="32730830"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0%</w:t>
            </w:r>
          </w:p>
        </w:tc>
        <w:tc>
          <w:tcPr>
            <w:tcW w:w="1374" w:type="dxa"/>
            <w:tcBorders>
              <w:top w:val="nil"/>
              <w:left w:val="nil"/>
              <w:bottom w:val="single" w:sz="4" w:space="0" w:color="808080"/>
              <w:right w:val="nil"/>
            </w:tcBorders>
            <w:shd w:val="clear" w:color="auto" w:fill="auto"/>
            <w:noWrap/>
            <w:vAlign w:val="bottom"/>
            <w:hideMark/>
          </w:tcPr>
          <w:p w14:paraId="3F867EFF"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25%</w:t>
            </w:r>
          </w:p>
        </w:tc>
        <w:tc>
          <w:tcPr>
            <w:tcW w:w="1467" w:type="dxa"/>
            <w:gridSpan w:val="2"/>
            <w:tcBorders>
              <w:top w:val="nil"/>
              <w:left w:val="nil"/>
              <w:bottom w:val="single" w:sz="4" w:space="0" w:color="808080"/>
              <w:right w:val="nil"/>
            </w:tcBorders>
            <w:shd w:val="clear" w:color="auto" w:fill="auto"/>
            <w:noWrap/>
            <w:vAlign w:val="bottom"/>
            <w:hideMark/>
          </w:tcPr>
          <w:p w14:paraId="25C2C937"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31%</w:t>
            </w:r>
          </w:p>
        </w:tc>
      </w:tr>
      <w:tr w:rsidR="00B91736" w:rsidRPr="00AA2DA3" w14:paraId="7948F870" w14:textId="77777777" w:rsidTr="00B91736">
        <w:trPr>
          <w:trHeight w:val="300"/>
        </w:trPr>
        <w:tc>
          <w:tcPr>
            <w:tcW w:w="1438" w:type="dxa"/>
            <w:tcBorders>
              <w:top w:val="nil"/>
              <w:left w:val="nil"/>
              <w:bottom w:val="single" w:sz="4" w:space="0" w:color="auto"/>
              <w:right w:val="nil"/>
            </w:tcBorders>
            <w:shd w:val="clear" w:color="auto" w:fill="auto"/>
            <w:noWrap/>
            <w:vAlign w:val="center"/>
            <w:hideMark/>
          </w:tcPr>
          <w:p w14:paraId="7C7DCE03"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 </w:t>
            </w:r>
          </w:p>
        </w:tc>
        <w:tc>
          <w:tcPr>
            <w:tcW w:w="1086" w:type="dxa"/>
            <w:tcBorders>
              <w:top w:val="nil"/>
              <w:left w:val="nil"/>
              <w:bottom w:val="nil"/>
              <w:right w:val="nil"/>
            </w:tcBorders>
            <w:shd w:val="clear" w:color="auto" w:fill="auto"/>
            <w:noWrap/>
            <w:vAlign w:val="bottom"/>
            <w:hideMark/>
          </w:tcPr>
          <w:p w14:paraId="01554819" w14:textId="77777777" w:rsidR="00B91736" w:rsidRPr="00AA2DA3" w:rsidRDefault="00B91736" w:rsidP="00726380">
            <w:pPr>
              <w:spacing w:line="360" w:lineRule="auto"/>
              <w:rPr>
                <w:rFonts w:eastAsia="Times New Roman" w:cs="Times New Roman"/>
                <w:color w:val="000000"/>
                <w:sz w:val="18"/>
                <w:szCs w:val="18"/>
              </w:rPr>
            </w:pPr>
            <w:r w:rsidRPr="00AA2DA3">
              <w:rPr>
                <w:rFonts w:eastAsia="Times New Roman" w:cs="Times New Roman"/>
                <w:color w:val="000000"/>
                <w:sz w:val="18"/>
                <w:szCs w:val="18"/>
              </w:rPr>
              <w:t>Total</w:t>
            </w:r>
          </w:p>
        </w:tc>
        <w:tc>
          <w:tcPr>
            <w:tcW w:w="1541" w:type="dxa"/>
            <w:tcBorders>
              <w:top w:val="nil"/>
              <w:left w:val="nil"/>
              <w:bottom w:val="single" w:sz="4" w:space="0" w:color="auto"/>
              <w:right w:val="nil"/>
            </w:tcBorders>
            <w:shd w:val="clear" w:color="auto" w:fill="auto"/>
            <w:noWrap/>
            <w:vAlign w:val="bottom"/>
            <w:hideMark/>
          </w:tcPr>
          <w:p w14:paraId="3FBB9610" w14:textId="69244007" w:rsidR="00B91736" w:rsidRPr="005C76CD" w:rsidRDefault="00B91736" w:rsidP="00726380">
            <w:pPr>
              <w:spacing w:line="360" w:lineRule="auto"/>
              <w:jc w:val="right"/>
              <w:rPr>
                <w:rFonts w:eastAsia="Times New Roman" w:cs="Times New Roman"/>
                <w:color w:val="000000"/>
                <w:sz w:val="18"/>
                <w:szCs w:val="18"/>
                <w:highlight w:val="yellow"/>
              </w:rPr>
            </w:pPr>
            <w:r w:rsidRPr="003B0C01">
              <w:rPr>
                <w:rFonts w:eastAsia="Times New Roman" w:cs="Times New Roman"/>
                <w:color w:val="000000"/>
                <w:sz w:val="18"/>
                <w:szCs w:val="18"/>
              </w:rPr>
              <w:t>116</w:t>
            </w:r>
          </w:p>
        </w:tc>
        <w:tc>
          <w:tcPr>
            <w:tcW w:w="1374" w:type="dxa"/>
            <w:tcBorders>
              <w:top w:val="nil"/>
              <w:left w:val="nil"/>
              <w:bottom w:val="single" w:sz="4" w:space="0" w:color="auto"/>
              <w:right w:val="nil"/>
            </w:tcBorders>
            <w:shd w:val="clear" w:color="auto" w:fill="auto"/>
            <w:noWrap/>
            <w:vAlign w:val="bottom"/>
            <w:hideMark/>
          </w:tcPr>
          <w:p w14:paraId="1A78B962"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9,136</w:t>
            </w:r>
          </w:p>
        </w:tc>
        <w:tc>
          <w:tcPr>
            <w:tcW w:w="1467" w:type="dxa"/>
            <w:gridSpan w:val="2"/>
            <w:tcBorders>
              <w:top w:val="nil"/>
              <w:left w:val="nil"/>
              <w:bottom w:val="single" w:sz="4" w:space="0" w:color="auto"/>
              <w:right w:val="nil"/>
            </w:tcBorders>
            <w:shd w:val="clear" w:color="auto" w:fill="auto"/>
            <w:noWrap/>
            <w:vAlign w:val="bottom"/>
            <w:hideMark/>
          </w:tcPr>
          <w:p w14:paraId="246CB42D" w14:textId="77777777" w:rsidR="00B91736" w:rsidRPr="00AA2DA3" w:rsidRDefault="00B91736" w:rsidP="00726380">
            <w:pPr>
              <w:spacing w:line="360" w:lineRule="auto"/>
              <w:jc w:val="right"/>
              <w:rPr>
                <w:rFonts w:eastAsia="Times New Roman" w:cs="Times New Roman"/>
                <w:color w:val="000000"/>
                <w:sz w:val="18"/>
                <w:szCs w:val="18"/>
              </w:rPr>
            </w:pPr>
            <w:r w:rsidRPr="00AA2DA3">
              <w:rPr>
                <w:rFonts w:eastAsia="Times New Roman" w:cs="Times New Roman"/>
                <w:color w:val="000000"/>
                <w:sz w:val="18"/>
                <w:szCs w:val="18"/>
              </w:rPr>
              <w:t xml:space="preserve"> 342,029 </w:t>
            </w:r>
          </w:p>
        </w:tc>
      </w:tr>
      <w:tr w:rsidR="00AA2DA3" w:rsidRPr="00615BF7" w14:paraId="00615008" w14:textId="77777777" w:rsidTr="00B91736">
        <w:trPr>
          <w:gridAfter w:val="1"/>
          <w:wAfter w:w="684" w:type="dxa"/>
          <w:trHeight w:val="300"/>
        </w:trPr>
        <w:tc>
          <w:tcPr>
            <w:tcW w:w="6222" w:type="dxa"/>
            <w:gridSpan w:val="5"/>
            <w:tcBorders>
              <w:top w:val="single" w:sz="4" w:space="0" w:color="auto"/>
              <w:left w:val="nil"/>
              <w:bottom w:val="nil"/>
              <w:right w:val="nil"/>
            </w:tcBorders>
            <w:shd w:val="clear" w:color="auto" w:fill="auto"/>
            <w:noWrap/>
            <w:vAlign w:val="bottom"/>
            <w:hideMark/>
          </w:tcPr>
          <w:p w14:paraId="2F721DC9" w14:textId="77777777" w:rsidR="00615BF7" w:rsidRDefault="00615BF7" w:rsidP="00615BF7">
            <w:pPr>
              <w:spacing w:line="240" w:lineRule="auto"/>
              <w:rPr>
                <w:rFonts w:eastAsia="Times New Roman" w:cs="Times New Roman"/>
                <w:iCs/>
                <w:color w:val="000000"/>
                <w:sz w:val="18"/>
                <w:szCs w:val="16"/>
              </w:rPr>
            </w:pPr>
          </w:p>
          <w:p w14:paraId="7F6FD592" w14:textId="72A1B8BA" w:rsidR="00AA2DA3" w:rsidRPr="00615BF7" w:rsidRDefault="00AA2DA3" w:rsidP="00615BF7">
            <w:pPr>
              <w:spacing w:line="240" w:lineRule="auto"/>
              <w:ind w:right="-21"/>
              <w:rPr>
                <w:rFonts w:eastAsia="Times New Roman" w:cs="Times New Roman"/>
                <w:iCs/>
                <w:color w:val="000000"/>
                <w:sz w:val="18"/>
                <w:szCs w:val="16"/>
              </w:rPr>
            </w:pPr>
            <w:r w:rsidRPr="00615BF7">
              <w:rPr>
                <w:rFonts w:eastAsia="Times New Roman" w:cs="Times New Roman"/>
                <w:iCs/>
                <w:color w:val="000000"/>
                <w:sz w:val="18"/>
                <w:szCs w:val="16"/>
              </w:rPr>
              <w:t xml:space="preserve">Source and Notes: </w:t>
            </w:r>
            <w:r w:rsidR="0020362E">
              <w:rPr>
                <w:rFonts w:eastAsia="Times New Roman" w:cs="Times New Roman"/>
                <w:iCs/>
                <w:color w:val="000000"/>
                <w:sz w:val="18"/>
                <w:szCs w:val="16"/>
              </w:rPr>
              <w:t>2007-2011</w:t>
            </w:r>
            <w:r w:rsidRPr="00615BF7">
              <w:rPr>
                <w:rFonts w:eastAsia="Times New Roman" w:cs="Times New Roman"/>
                <w:iCs/>
                <w:color w:val="000000"/>
                <w:sz w:val="18"/>
                <w:szCs w:val="16"/>
              </w:rPr>
              <w:t xml:space="preserve"> American Community Survey, Seniors are age 65 + </w:t>
            </w:r>
          </w:p>
        </w:tc>
      </w:tr>
    </w:tbl>
    <w:p w14:paraId="57F9819E" w14:textId="77777777" w:rsidR="00D25635" w:rsidRDefault="00D25635" w:rsidP="00067077"/>
    <w:p w14:paraId="2EBDA6B2" w14:textId="5BB07746" w:rsidR="00C8702E" w:rsidRPr="00615BF7" w:rsidRDefault="00C8702E" w:rsidP="00067077">
      <w:pPr>
        <w:rPr>
          <w:b/>
          <w:color w:val="0B5095"/>
          <w:sz w:val="24"/>
          <w:szCs w:val="28"/>
        </w:rPr>
      </w:pPr>
      <w:r w:rsidRPr="00615BF7">
        <w:rPr>
          <w:b/>
          <w:color w:val="0B5095"/>
          <w:sz w:val="24"/>
          <w:szCs w:val="28"/>
        </w:rPr>
        <w:t xml:space="preserve">People </w:t>
      </w:r>
      <w:r w:rsidR="00615BF7" w:rsidRPr="00615BF7">
        <w:rPr>
          <w:b/>
          <w:color w:val="0B5095"/>
          <w:sz w:val="24"/>
          <w:szCs w:val="28"/>
        </w:rPr>
        <w:t xml:space="preserve">Living </w:t>
      </w:r>
      <w:r w:rsidRPr="00615BF7">
        <w:rPr>
          <w:b/>
          <w:color w:val="0B5095"/>
          <w:sz w:val="24"/>
          <w:szCs w:val="28"/>
        </w:rPr>
        <w:t>with Disabilities</w:t>
      </w:r>
    </w:p>
    <w:p w14:paraId="52C4950E" w14:textId="77777777" w:rsidR="00615BF7" w:rsidRDefault="00615BF7" w:rsidP="00615BF7">
      <w:r w:rsidRPr="00236E9F">
        <w:t xml:space="preserve">The Census Bureau defines disability as, “A long-lasting physical, mental, or emotional condition. This condition can make it difficult for a person to do activities such as walking, climbing stairs, dressing, bathing, learning, or remembering. This condition can also impede a person from being able to go outside the home alone or to work at a job or business.” Not surprisingly, people over 65 are much more likely to have a disability. </w:t>
      </w:r>
    </w:p>
    <w:p w14:paraId="5A972070" w14:textId="77777777" w:rsidR="00615BF7" w:rsidRDefault="00615BF7" w:rsidP="00615BF7"/>
    <w:p w14:paraId="72C4472B" w14:textId="77777777" w:rsidR="00615BF7" w:rsidRPr="002E5694" w:rsidRDefault="00615BF7" w:rsidP="00615BF7">
      <w:r w:rsidRPr="002E5694">
        <w:t>People with disabilities face many chall</w:t>
      </w:r>
      <w:r>
        <w:t xml:space="preserve">enges when looking for housing. </w:t>
      </w:r>
      <w:r w:rsidRPr="002E5694">
        <w:t>There is a limited supply of handicap accessible, affordable housing generally, and the supply is especially tight near transit. Being near transit is important because many people with disabilities cannot drive.</w:t>
      </w:r>
      <w:r>
        <w:t xml:space="preserve"> P</w:t>
      </w:r>
      <w:r w:rsidRPr="002E5694">
        <w:t>eople with disabilities are</w:t>
      </w:r>
      <w:r>
        <w:t xml:space="preserve"> also</w:t>
      </w:r>
      <w:r w:rsidRPr="002E5694">
        <w:t xml:space="preserve"> often extremely low income </w:t>
      </w:r>
      <w:r>
        <w:t>d</w:t>
      </w:r>
      <w:r w:rsidRPr="002E5694">
        <w:t>ue to the challenge of</w:t>
      </w:r>
      <w:r>
        <w:t xml:space="preserve"> securing long-term employment, and to higher medical bills</w:t>
      </w:r>
      <w:r w:rsidRPr="002E5694">
        <w:t xml:space="preserve">. </w:t>
      </w:r>
      <w:r>
        <w:t>Additionally, b</w:t>
      </w:r>
      <w:r w:rsidRPr="002E5694">
        <w:t xml:space="preserve">ecause </w:t>
      </w:r>
      <w:r>
        <w:t>some</w:t>
      </w:r>
      <w:r w:rsidRPr="002E5694">
        <w:t xml:space="preserve"> people with disabilities</w:t>
      </w:r>
      <w:r>
        <w:t>, particularly developmental disabilities,</w:t>
      </w:r>
      <w:r w:rsidRPr="002E5694">
        <w:t xml:space="preserve"> have lived with their parents they often do not have rental or credit history. This makes it harder to compete for the limited housing that is available. </w:t>
      </w:r>
    </w:p>
    <w:p w14:paraId="6EEB3EB2" w14:textId="77777777" w:rsidR="00615BF7" w:rsidRDefault="00615BF7" w:rsidP="00615BF7">
      <w:pPr>
        <w:rPr>
          <w:i/>
        </w:rPr>
      </w:pPr>
    </w:p>
    <w:p w14:paraId="51D11917" w14:textId="77777777" w:rsidR="00615BF7" w:rsidRDefault="00615BF7" w:rsidP="00615BF7">
      <w:r w:rsidRPr="00236E9F">
        <w:t xml:space="preserve">People with disabilities may have unique housing needs. Fair housing laws and subsequent federal and state legislation require all cities and counties to further housing opportunities by identifying and removing constraints to the development of housing for individuals with disabilities, including local land use and zoning barriers, and to also provide </w:t>
      </w:r>
      <w:r w:rsidRPr="00236E9F">
        <w:rPr>
          <w:bCs/>
        </w:rPr>
        <w:t>reasonable accommodation</w:t>
      </w:r>
      <w:r w:rsidRPr="00236E9F">
        <w:t xml:space="preserve"> as one method of advancing equal access to housing.</w:t>
      </w:r>
    </w:p>
    <w:p w14:paraId="5DBC6CE2" w14:textId="77777777" w:rsidR="00615BF7" w:rsidRDefault="00615BF7" w:rsidP="00615BF7">
      <w:pPr>
        <w:rPr>
          <w:i/>
        </w:rPr>
      </w:pPr>
    </w:p>
    <w:p w14:paraId="20A9F8AA" w14:textId="77777777" w:rsidR="00615BF7" w:rsidRPr="00236E9F" w:rsidRDefault="00615BF7" w:rsidP="00615BF7">
      <w:r w:rsidRPr="00236E9F">
        <w:t xml:space="preserve">The Fair Housing laws require that cities and counties provide flexibility or even waive certain requirements when it is necessary to eliminate barriers to housing opportunities for people with disabilities. An example of such a request might be to place a ramp in a front yard to provide access from the street to the front door. The State Attorney General, in a letter to the City of Los Angeles in May 2001, stated that local governments have an affirmative duty under fair housing laws to provide </w:t>
      </w:r>
      <w:r w:rsidRPr="00236E9F">
        <w:rPr>
          <w:bCs/>
        </w:rPr>
        <w:t>reasonable</w:t>
      </w:r>
      <w:r w:rsidRPr="00236E9F">
        <w:t xml:space="preserve"> </w:t>
      </w:r>
      <w:r w:rsidRPr="00236E9F">
        <w:rPr>
          <w:bCs/>
        </w:rPr>
        <w:t>accommodation</w:t>
      </w:r>
      <w:r w:rsidRPr="00236E9F">
        <w:t xml:space="preserve"> and “It is becoming increasingly important that a process be made available for handling such requests that operates promptly and efficiently.” He advised jurisdictions not to use existing variance or conditional use permit processes because they do not provide the correct standard for making fair housing determinations and because the public process used in making entitlement determinations fosters opposition to much needed housing for individuals with disabilities. </w:t>
      </w:r>
    </w:p>
    <w:p w14:paraId="33B54E13" w14:textId="77777777" w:rsidR="00615BF7" w:rsidRPr="00236E9F" w:rsidRDefault="00615BF7" w:rsidP="00615BF7"/>
    <w:p w14:paraId="4D811135" w14:textId="77777777" w:rsidR="00615BF7" w:rsidRDefault="00615BF7" w:rsidP="00615BF7">
      <w:pPr>
        <w:rPr>
          <w:i/>
        </w:rPr>
      </w:pPr>
      <w:r w:rsidRPr="00236E9F">
        <w:t xml:space="preserve">A fundamental characteristic of a fair housing </w:t>
      </w:r>
      <w:r w:rsidRPr="00236E9F">
        <w:rPr>
          <w:bCs/>
        </w:rPr>
        <w:t>reasonable accommodation</w:t>
      </w:r>
      <w:r w:rsidRPr="00236E9F">
        <w:t xml:space="preserve"> procedure is the establishment of appropriate findings that reflect the intent and specific language of both the federal and state fair housing statutes. In this regard, it is somewhat different than traditional or typical zoning cases because here the focus of review is the need of the individual with disabilities to overcome barriers to housing, not on the topography of the site or the unique character of the lot. The focus here is solely on the special need of the individual to utilize his or her home or dwelling unit, which is directly related to the individual’s disability. It is this reasoning that underlies the Attorney General’s warning not to utilize variance criteria for such determinations.</w:t>
      </w:r>
    </w:p>
    <w:p w14:paraId="5A890755" w14:textId="77777777" w:rsidR="004C427B" w:rsidRPr="001E732F" w:rsidRDefault="004C427B" w:rsidP="00067077"/>
    <w:p w14:paraId="514EE85C" w14:textId="77777777" w:rsidR="001E732F" w:rsidRPr="00E80839" w:rsidRDefault="001E732F" w:rsidP="001E732F">
      <w:pPr>
        <w:rPr>
          <w:b/>
        </w:rPr>
      </w:pPr>
      <w:r w:rsidRPr="00615BF7">
        <w:rPr>
          <w:b/>
          <w:color w:val="0B5095"/>
          <w:sz w:val="24"/>
          <w:szCs w:val="28"/>
        </w:rPr>
        <w:t xml:space="preserve">People with </w:t>
      </w:r>
      <w:r>
        <w:rPr>
          <w:b/>
          <w:color w:val="0B5095"/>
          <w:sz w:val="24"/>
          <w:szCs w:val="28"/>
        </w:rPr>
        <w:t xml:space="preserve">Developmental </w:t>
      </w:r>
      <w:r w:rsidRPr="00615BF7">
        <w:rPr>
          <w:b/>
          <w:color w:val="0B5095"/>
          <w:sz w:val="24"/>
          <w:szCs w:val="28"/>
        </w:rPr>
        <w:t>Disabilities</w:t>
      </w:r>
    </w:p>
    <w:p w14:paraId="7D5C60F0" w14:textId="77777777" w:rsidR="001E732F" w:rsidRPr="001E732F" w:rsidRDefault="001E732F" w:rsidP="001E732F">
      <w:r w:rsidRPr="001E732F">
        <w:rPr>
          <w:rFonts w:cs="Arial"/>
          <w:szCs w:val="22"/>
        </w:rPr>
        <w:t>SB 812, signed into law in 2010</w:t>
      </w:r>
      <w:r w:rsidRPr="001E732F">
        <w:t>, requires Housing Elements to include an analysis of the special housing needs of people with developmental disabilities. Additionally, SB 812 requires that individuals with disabilities receive public services in the least restrictive, most integrated setting appropriate to their needs</w:t>
      </w:r>
    </w:p>
    <w:p w14:paraId="5BFFC242" w14:textId="77777777" w:rsidR="001E732F" w:rsidRPr="001E732F" w:rsidRDefault="001E732F" w:rsidP="001E732F"/>
    <w:p w14:paraId="7DCC4D8B" w14:textId="20ECC69D" w:rsidR="001E732F" w:rsidRPr="001E732F" w:rsidRDefault="001E732F" w:rsidP="001E732F">
      <w:r w:rsidRPr="001E732F">
        <w:t xml:space="preserve">California defines developmentally disabled as a “severe and chronic disability that is attributable to a mental or physical impairment. The disability must begin before the person’s 18th birthday, be expected to continue indefinitely, and present a substantial disability.” Some development disabilities cause mental retardation and some do not. Common developmental disabilities include Down’s </w:t>
      </w:r>
      <w:r w:rsidR="009E5339" w:rsidRPr="001E732F">
        <w:t>syndrome</w:t>
      </w:r>
      <w:r w:rsidRPr="001E732F">
        <w:t xml:space="preserve">, autism, epilepsy and cerebral palsy. </w:t>
      </w:r>
    </w:p>
    <w:p w14:paraId="21C7B918" w14:textId="77777777" w:rsidR="001E732F" w:rsidRPr="001E732F" w:rsidRDefault="001E732F" w:rsidP="001E732F"/>
    <w:p w14:paraId="054800D1" w14:textId="5B34F872" w:rsidR="00C8702E" w:rsidRPr="001E732F" w:rsidRDefault="001E732F" w:rsidP="001E732F">
      <w:pPr>
        <w:pStyle w:val="21ElementsText"/>
      </w:pPr>
      <w:r w:rsidRPr="001E732F">
        <w:t xml:space="preserve">People with developmental disabilities in San Mateo County have various diagnoses. The common ones are summarized below. Because people can have multiple diagnoses, the numbers total more than 100 percent. </w:t>
      </w:r>
      <w:r w:rsidRPr="001E732F">
        <w:rPr>
          <w:rFonts w:cs="Arial"/>
          <w:szCs w:val="22"/>
        </w:rPr>
        <w:t>The information below has been provided by the Golden Gate Regional Center (GGRC), which covers the San Francisco Bay Area.</w:t>
      </w:r>
      <w:r w:rsidR="00C8702E" w:rsidRPr="001E732F">
        <w:t xml:space="preserve"> </w:t>
      </w:r>
    </w:p>
    <w:p w14:paraId="54EB7BCD" w14:textId="59C0E478" w:rsidR="00B91736" w:rsidRPr="00CA1527" w:rsidRDefault="00B91736" w:rsidP="00B91736">
      <w:pPr>
        <w:spacing w:line="240" w:lineRule="auto"/>
        <w:rPr>
          <w:sz w:val="18"/>
          <w:szCs w:val="18"/>
        </w:rPr>
      </w:pPr>
    </w:p>
    <w:tbl>
      <w:tblPr>
        <w:tblW w:w="6225" w:type="dxa"/>
        <w:tblInd w:w="93" w:type="dxa"/>
        <w:tblLayout w:type="fixed"/>
        <w:tblLook w:val="0000" w:firstRow="0" w:lastRow="0" w:firstColumn="0" w:lastColumn="0" w:noHBand="0" w:noVBand="0"/>
      </w:tblPr>
      <w:tblGrid>
        <w:gridCol w:w="4155"/>
        <w:gridCol w:w="1800"/>
        <w:gridCol w:w="270"/>
      </w:tblGrid>
      <w:tr w:rsidR="00B91736" w:rsidRPr="00C37606" w14:paraId="3D626AB3" w14:textId="77777777" w:rsidTr="00C37606">
        <w:trPr>
          <w:trHeight w:val="288"/>
        </w:trPr>
        <w:tc>
          <w:tcPr>
            <w:tcW w:w="6225" w:type="dxa"/>
            <w:gridSpan w:val="3"/>
            <w:tcBorders>
              <w:top w:val="nil"/>
              <w:left w:val="nil"/>
              <w:bottom w:val="nil"/>
              <w:right w:val="nil"/>
            </w:tcBorders>
            <w:shd w:val="clear" w:color="auto" w:fill="000000"/>
            <w:noWrap/>
            <w:vAlign w:val="bottom"/>
          </w:tcPr>
          <w:p w14:paraId="68F941E9" w14:textId="77777777" w:rsidR="00B91736" w:rsidRPr="00C37606" w:rsidRDefault="00B91736" w:rsidP="00B91736">
            <w:pPr>
              <w:ind w:right="72"/>
              <w:rPr>
                <w:sz w:val="20"/>
                <w:szCs w:val="18"/>
              </w:rPr>
            </w:pPr>
            <w:r w:rsidRPr="00C37606">
              <w:rPr>
                <w:b/>
                <w:bCs/>
                <w:sz w:val="20"/>
                <w:szCs w:val="18"/>
              </w:rPr>
              <w:t>Type of Developmental Disability in San Mateo County (2013)</w:t>
            </w:r>
          </w:p>
        </w:tc>
      </w:tr>
      <w:tr w:rsidR="00B91736" w:rsidRPr="001E732F" w14:paraId="3207A05B" w14:textId="77777777" w:rsidTr="00C37606">
        <w:trPr>
          <w:trHeight w:val="252"/>
        </w:trPr>
        <w:tc>
          <w:tcPr>
            <w:tcW w:w="4155" w:type="dxa"/>
            <w:tcBorders>
              <w:top w:val="nil"/>
              <w:left w:val="nil"/>
              <w:bottom w:val="single" w:sz="4" w:space="0" w:color="auto"/>
              <w:right w:val="nil"/>
            </w:tcBorders>
            <w:shd w:val="clear" w:color="auto" w:fill="auto"/>
            <w:noWrap/>
            <w:vAlign w:val="bottom"/>
          </w:tcPr>
          <w:p w14:paraId="03A433D1" w14:textId="77777777" w:rsidR="00B91736" w:rsidRPr="001E732F" w:rsidRDefault="00B91736" w:rsidP="00B91736">
            <w:pPr>
              <w:spacing w:line="240" w:lineRule="auto"/>
              <w:rPr>
                <w:b/>
                <w:sz w:val="18"/>
                <w:szCs w:val="18"/>
              </w:rPr>
            </w:pPr>
          </w:p>
        </w:tc>
        <w:tc>
          <w:tcPr>
            <w:tcW w:w="2070" w:type="dxa"/>
            <w:gridSpan w:val="2"/>
            <w:tcBorders>
              <w:top w:val="nil"/>
              <w:left w:val="nil"/>
              <w:bottom w:val="single" w:sz="4" w:space="0" w:color="auto"/>
              <w:right w:val="nil"/>
            </w:tcBorders>
            <w:shd w:val="clear" w:color="auto" w:fill="auto"/>
            <w:noWrap/>
            <w:vAlign w:val="bottom"/>
          </w:tcPr>
          <w:p w14:paraId="4D6483C9" w14:textId="77777777" w:rsidR="00B91736" w:rsidRPr="001E732F" w:rsidRDefault="00B91736" w:rsidP="00B91736">
            <w:pPr>
              <w:spacing w:line="240" w:lineRule="auto"/>
              <w:jc w:val="right"/>
              <w:rPr>
                <w:b/>
                <w:sz w:val="18"/>
                <w:szCs w:val="18"/>
              </w:rPr>
            </w:pPr>
          </w:p>
          <w:p w14:paraId="7CDA71E3" w14:textId="77777777" w:rsidR="00C37606" w:rsidRDefault="00C37606" w:rsidP="00B91736">
            <w:pPr>
              <w:spacing w:line="240" w:lineRule="auto"/>
              <w:jc w:val="right"/>
              <w:rPr>
                <w:b/>
                <w:sz w:val="18"/>
                <w:szCs w:val="18"/>
              </w:rPr>
            </w:pPr>
            <w:r>
              <w:rPr>
                <w:b/>
                <w:sz w:val="18"/>
                <w:szCs w:val="18"/>
              </w:rPr>
              <w:t xml:space="preserve">San Mateo </w:t>
            </w:r>
          </w:p>
          <w:p w14:paraId="0FA64352" w14:textId="33873741" w:rsidR="00B91736" w:rsidRDefault="00C37606" w:rsidP="00C37606">
            <w:pPr>
              <w:spacing w:line="240" w:lineRule="auto"/>
              <w:jc w:val="right"/>
              <w:rPr>
                <w:b/>
                <w:sz w:val="18"/>
                <w:szCs w:val="18"/>
              </w:rPr>
            </w:pPr>
            <w:r>
              <w:rPr>
                <w:b/>
                <w:sz w:val="18"/>
                <w:szCs w:val="18"/>
              </w:rPr>
              <w:t xml:space="preserve">County </w:t>
            </w:r>
            <w:r w:rsidR="00B91736" w:rsidRPr="001E732F">
              <w:rPr>
                <w:b/>
                <w:sz w:val="18"/>
                <w:szCs w:val="18"/>
              </w:rPr>
              <w:t>Percent</w:t>
            </w:r>
          </w:p>
          <w:p w14:paraId="78716A4A" w14:textId="77777777" w:rsidR="00B91736" w:rsidRPr="001E732F" w:rsidRDefault="00B91736" w:rsidP="00B91736">
            <w:pPr>
              <w:spacing w:line="240" w:lineRule="auto"/>
              <w:jc w:val="right"/>
              <w:rPr>
                <w:b/>
                <w:sz w:val="10"/>
                <w:szCs w:val="18"/>
              </w:rPr>
            </w:pPr>
          </w:p>
        </w:tc>
      </w:tr>
      <w:tr w:rsidR="00B91736" w:rsidRPr="00CA1527" w14:paraId="34F8CCB3" w14:textId="77777777" w:rsidTr="00C37606">
        <w:trPr>
          <w:trHeight w:val="281"/>
        </w:trPr>
        <w:tc>
          <w:tcPr>
            <w:tcW w:w="4155" w:type="dxa"/>
            <w:tcBorders>
              <w:top w:val="nil"/>
              <w:left w:val="nil"/>
              <w:bottom w:val="single" w:sz="4" w:space="0" w:color="808080"/>
              <w:right w:val="nil"/>
            </w:tcBorders>
            <w:shd w:val="clear" w:color="auto" w:fill="auto"/>
            <w:noWrap/>
            <w:vAlign w:val="center"/>
          </w:tcPr>
          <w:p w14:paraId="699F861E" w14:textId="77777777" w:rsidR="00B91736" w:rsidRPr="00CA1527" w:rsidRDefault="00B91736" w:rsidP="00B91736">
            <w:pPr>
              <w:rPr>
                <w:sz w:val="18"/>
                <w:szCs w:val="18"/>
              </w:rPr>
            </w:pPr>
            <w:r w:rsidRPr="00CA1527">
              <w:rPr>
                <w:sz w:val="18"/>
                <w:szCs w:val="18"/>
              </w:rPr>
              <w:t>Mild/Moderate Mental Retardation</w:t>
            </w:r>
          </w:p>
        </w:tc>
        <w:tc>
          <w:tcPr>
            <w:tcW w:w="2070" w:type="dxa"/>
            <w:gridSpan w:val="2"/>
            <w:tcBorders>
              <w:top w:val="nil"/>
              <w:left w:val="nil"/>
              <w:bottom w:val="single" w:sz="4" w:space="0" w:color="808080"/>
              <w:right w:val="nil"/>
            </w:tcBorders>
            <w:shd w:val="clear" w:color="auto" w:fill="auto"/>
            <w:noWrap/>
            <w:vAlign w:val="center"/>
          </w:tcPr>
          <w:p w14:paraId="27E91C8B" w14:textId="77777777" w:rsidR="00B91736" w:rsidRPr="00CA1527" w:rsidRDefault="00B91736" w:rsidP="00B91736">
            <w:pPr>
              <w:jc w:val="right"/>
              <w:rPr>
                <w:sz w:val="18"/>
                <w:szCs w:val="18"/>
              </w:rPr>
            </w:pPr>
            <w:r w:rsidRPr="00CA1527">
              <w:rPr>
                <w:sz w:val="18"/>
                <w:szCs w:val="18"/>
              </w:rPr>
              <w:t>50%</w:t>
            </w:r>
          </w:p>
        </w:tc>
      </w:tr>
      <w:tr w:rsidR="00B91736" w:rsidRPr="00CA1527" w14:paraId="6E3DAA60" w14:textId="77777777" w:rsidTr="00C37606">
        <w:trPr>
          <w:trHeight w:val="217"/>
        </w:trPr>
        <w:tc>
          <w:tcPr>
            <w:tcW w:w="4155" w:type="dxa"/>
            <w:tcBorders>
              <w:top w:val="nil"/>
              <w:left w:val="nil"/>
              <w:bottom w:val="single" w:sz="4" w:space="0" w:color="808080"/>
              <w:right w:val="nil"/>
            </w:tcBorders>
            <w:shd w:val="clear" w:color="auto" w:fill="auto"/>
            <w:noWrap/>
            <w:vAlign w:val="center"/>
          </w:tcPr>
          <w:p w14:paraId="47D1BE74" w14:textId="77777777" w:rsidR="00B91736" w:rsidRPr="00CA1527" w:rsidRDefault="00B91736" w:rsidP="00B91736">
            <w:pPr>
              <w:rPr>
                <w:sz w:val="18"/>
                <w:szCs w:val="18"/>
              </w:rPr>
            </w:pPr>
            <w:r w:rsidRPr="00CA1527">
              <w:rPr>
                <w:sz w:val="18"/>
                <w:szCs w:val="18"/>
              </w:rPr>
              <w:t>Autism</w:t>
            </w:r>
          </w:p>
        </w:tc>
        <w:tc>
          <w:tcPr>
            <w:tcW w:w="2070" w:type="dxa"/>
            <w:gridSpan w:val="2"/>
            <w:tcBorders>
              <w:top w:val="nil"/>
              <w:left w:val="nil"/>
              <w:bottom w:val="single" w:sz="4" w:space="0" w:color="808080"/>
              <w:right w:val="nil"/>
            </w:tcBorders>
            <w:shd w:val="clear" w:color="auto" w:fill="auto"/>
            <w:noWrap/>
            <w:vAlign w:val="center"/>
          </w:tcPr>
          <w:p w14:paraId="5484304C" w14:textId="77777777" w:rsidR="00B91736" w:rsidRPr="00CA1527" w:rsidRDefault="00B91736" w:rsidP="00B91736">
            <w:pPr>
              <w:jc w:val="right"/>
              <w:rPr>
                <w:sz w:val="18"/>
                <w:szCs w:val="18"/>
              </w:rPr>
            </w:pPr>
            <w:r w:rsidRPr="00CA1527">
              <w:rPr>
                <w:sz w:val="18"/>
                <w:szCs w:val="18"/>
              </w:rPr>
              <w:t> 18%</w:t>
            </w:r>
          </w:p>
        </w:tc>
      </w:tr>
      <w:tr w:rsidR="00B91736" w:rsidRPr="00CA1527" w14:paraId="7F767E66" w14:textId="77777777" w:rsidTr="00C37606">
        <w:trPr>
          <w:trHeight w:val="20"/>
        </w:trPr>
        <w:tc>
          <w:tcPr>
            <w:tcW w:w="4155" w:type="dxa"/>
            <w:tcBorders>
              <w:top w:val="nil"/>
              <w:left w:val="nil"/>
              <w:bottom w:val="single" w:sz="4" w:space="0" w:color="808080"/>
              <w:right w:val="nil"/>
            </w:tcBorders>
            <w:shd w:val="clear" w:color="auto" w:fill="auto"/>
            <w:noWrap/>
            <w:vAlign w:val="center"/>
          </w:tcPr>
          <w:p w14:paraId="4EBE0BC0" w14:textId="77777777" w:rsidR="00B91736" w:rsidRPr="00CA1527" w:rsidRDefault="00B91736" w:rsidP="00B91736">
            <w:pPr>
              <w:rPr>
                <w:sz w:val="18"/>
                <w:szCs w:val="18"/>
              </w:rPr>
            </w:pPr>
            <w:r w:rsidRPr="00CA1527">
              <w:rPr>
                <w:sz w:val="18"/>
                <w:szCs w:val="18"/>
              </w:rPr>
              <w:t>Epilepsy</w:t>
            </w:r>
          </w:p>
        </w:tc>
        <w:tc>
          <w:tcPr>
            <w:tcW w:w="2070" w:type="dxa"/>
            <w:gridSpan w:val="2"/>
            <w:tcBorders>
              <w:top w:val="nil"/>
              <w:left w:val="nil"/>
              <w:bottom w:val="single" w:sz="4" w:space="0" w:color="808080"/>
              <w:right w:val="nil"/>
            </w:tcBorders>
            <w:shd w:val="clear" w:color="auto" w:fill="auto"/>
            <w:noWrap/>
            <w:vAlign w:val="center"/>
          </w:tcPr>
          <w:p w14:paraId="6BD5ADB9" w14:textId="77777777" w:rsidR="00B91736" w:rsidRPr="00CA1527" w:rsidRDefault="00B91736" w:rsidP="00B91736">
            <w:pPr>
              <w:jc w:val="right"/>
              <w:rPr>
                <w:sz w:val="18"/>
                <w:szCs w:val="18"/>
              </w:rPr>
            </w:pPr>
            <w:r w:rsidRPr="00CA1527">
              <w:rPr>
                <w:sz w:val="18"/>
                <w:szCs w:val="18"/>
              </w:rPr>
              <w:t> 18%</w:t>
            </w:r>
          </w:p>
        </w:tc>
      </w:tr>
      <w:tr w:rsidR="00B91736" w:rsidRPr="00CA1527" w14:paraId="1DD65976" w14:textId="77777777" w:rsidTr="00C37606">
        <w:trPr>
          <w:trHeight w:val="20"/>
        </w:trPr>
        <w:tc>
          <w:tcPr>
            <w:tcW w:w="4155" w:type="dxa"/>
            <w:tcBorders>
              <w:top w:val="nil"/>
              <w:left w:val="nil"/>
              <w:bottom w:val="single" w:sz="4" w:space="0" w:color="808080"/>
              <w:right w:val="nil"/>
            </w:tcBorders>
            <w:shd w:val="clear" w:color="auto" w:fill="auto"/>
            <w:noWrap/>
            <w:vAlign w:val="center"/>
          </w:tcPr>
          <w:p w14:paraId="7FDC1A58" w14:textId="77777777" w:rsidR="00B91736" w:rsidRPr="00CA1527" w:rsidRDefault="00B91736" w:rsidP="00B91736">
            <w:pPr>
              <w:rPr>
                <w:sz w:val="18"/>
                <w:szCs w:val="18"/>
              </w:rPr>
            </w:pPr>
            <w:r w:rsidRPr="00CA1527">
              <w:rPr>
                <w:sz w:val="18"/>
                <w:szCs w:val="18"/>
              </w:rPr>
              <w:t>Cerebral Palsy</w:t>
            </w:r>
          </w:p>
        </w:tc>
        <w:tc>
          <w:tcPr>
            <w:tcW w:w="2070" w:type="dxa"/>
            <w:gridSpan w:val="2"/>
            <w:tcBorders>
              <w:top w:val="nil"/>
              <w:left w:val="nil"/>
              <w:bottom w:val="single" w:sz="4" w:space="0" w:color="808080"/>
              <w:right w:val="nil"/>
            </w:tcBorders>
            <w:shd w:val="clear" w:color="auto" w:fill="auto"/>
            <w:noWrap/>
            <w:vAlign w:val="center"/>
          </w:tcPr>
          <w:p w14:paraId="39EB9595" w14:textId="77777777" w:rsidR="00B91736" w:rsidRPr="00CA1527" w:rsidRDefault="00B91736" w:rsidP="00B91736">
            <w:pPr>
              <w:jc w:val="right"/>
              <w:rPr>
                <w:sz w:val="18"/>
                <w:szCs w:val="18"/>
              </w:rPr>
            </w:pPr>
            <w:r w:rsidRPr="00CA1527">
              <w:rPr>
                <w:sz w:val="18"/>
                <w:szCs w:val="18"/>
              </w:rPr>
              <w:t>17%</w:t>
            </w:r>
          </w:p>
        </w:tc>
      </w:tr>
      <w:tr w:rsidR="00B91736" w:rsidRPr="00CA1527" w14:paraId="5D3262D4" w14:textId="77777777" w:rsidTr="00C37606">
        <w:trPr>
          <w:trHeight w:val="281"/>
        </w:trPr>
        <w:tc>
          <w:tcPr>
            <w:tcW w:w="4155" w:type="dxa"/>
            <w:tcBorders>
              <w:top w:val="nil"/>
              <w:left w:val="nil"/>
              <w:bottom w:val="single" w:sz="4" w:space="0" w:color="auto"/>
              <w:right w:val="nil"/>
            </w:tcBorders>
            <w:shd w:val="clear" w:color="auto" w:fill="auto"/>
            <w:noWrap/>
            <w:vAlign w:val="center"/>
          </w:tcPr>
          <w:p w14:paraId="4332BFA9" w14:textId="77777777" w:rsidR="00B91736" w:rsidRPr="00CA1527" w:rsidRDefault="00B91736" w:rsidP="00B91736">
            <w:pPr>
              <w:rPr>
                <w:sz w:val="18"/>
                <w:szCs w:val="18"/>
              </w:rPr>
            </w:pPr>
            <w:r w:rsidRPr="00CA1527">
              <w:rPr>
                <w:sz w:val="18"/>
                <w:szCs w:val="18"/>
              </w:rPr>
              <w:t>Severe/Profound Mental Retardation</w:t>
            </w:r>
          </w:p>
        </w:tc>
        <w:tc>
          <w:tcPr>
            <w:tcW w:w="2070" w:type="dxa"/>
            <w:gridSpan w:val="2"/>
            <w:tcBorders>
              <w:top w:val="nil"/>
              <w:left w:val="nil"/>
              <w:bottom w:val="single" w:sz="4" w:space="0" w:color="auto"/>
              <w:right w:val="nil"/>
            </w:tcBorders>
            <w:shd w:val="clear" w:color="auto" w:fill="auto"/>
            <w:noWrap/>
            <w:vAlign w:val="center"/>
          </w:tcPr>
          <w:p w14:paraId="0CEF8E4A" w14:textId="77777777" w:rsidR="00B91736" w:rsidRPr="00CA1527" w:rsidRDefault="00B91736" w:rsidP="00B91736">
            <w:pPr>
              <w:jc w:val="right"/>
              <w:rPr>
                <w:sz w:val="18"/>
                <w:szCs w:val="18"/>
              </w:rPr>
            </w:pPr>
            <w:r w:rsidRPr="00CA1527">
              <w:rPr>
                <w:sz w:val="18"/>
                <w:szCs w:val="18"/>
              </w:rPr>
              <w:t>11%</w:t>
            </w:r>
          </w:p>
        </w:tc>
      </w:tr>
      <w:tr w:rsidR="00B91736" w:rsidRPr="001E732F" w14:paraId="2C1B543D" w14:textId="77777777" w:rsidTr="00C37606">
        <w:trPr>
          <w:gridAfter w:val="2"/>
          <w:wAfter w:w="2070" w:type="dxa"/>
          <w:trHeight w:val="323"/>
        </w:trPr>
        <w:tc>
          <w:tcPr>
            <w:tcW w:w="4155" w:type="dxa"/>
            <w:tcBorders>
              <w:top w:val="nil"/>
              <w:left w:val="nil"/>
              <w:bottom w:val="nil"/>
              <w:right w:val="nil"/>
            </w:tcBorders>
            <w:shd w:val="clear" w:color="auto" w:fill="auto"/>
            <w:noWrap/>
            <w:vAlign w:val="bottom"/>
          </w:tcPr>
          <w:p w14:paraId="710656D3" w14:textId="77777777" w:rsidR="00B91736" w:rsidRPr="001E732F" w:rsidRDefault="00B91736" w:rsidP="00B91736">
            <w:pPr>
              <w:spacing w:line="240" w:lineRule="auto"/>
              <w:rPr>
                <w:iCs/>
                <w:sz w:val="14"/>
                <w:szCs w:val="18"/>
              </w:rPr>
            </w:pPr>
          </w:p>
          <w:p w14:paraId="1B3DC781" w14:textId="77777777" w:rsidR="00B91736" w:rsidRPr="001E732F" w:rsidRDefault="00B91736" w:rsidP="00B91736">
            <w:pPr>
              <w:spacing w:line="240" w:lineRule="auto"/>
              <w:rPr>
                <w:sz w:val="18"/>
                <w:szCs w:val="18"/>
              </w:rPr>
            </w:pPr>
            <w:r w:rsidRPr="001E732F">
              <w:rPr>
                <w:iCs/>
                <w:sz w:val="18"/>
                <w:szCs w:val="18"/>
              </w:rPr>
              <w:t>Source: Golden Gate Regional Center</w:t>
            </w:r>
            <w:r>
              <w:rPr>
                <w:iCs/>
                <w:sz w:val="18"/>
                <w:szCs w:val="18"/>
              </w:rPr>
              <w:t>, 2013</w:t>
            </w:r>
          </w:p>
        </w:tc>
      </w:tr>
      <w:tr w:rsidR="00B91736" w:rsidRPr="002E5694" w14:paraId="30062DDF" w14:textId="77777777" w:rsidTr="00C37606">
        <w:trPr>
          <w:gridAfter w:val="1"/>
          <w:wAfter w:w="270" w:type="dxa"/>
          <w:trHeight w:val="333"/>
        </w:trPr>
        <w:tc>
          <w:tcPr>
            <w:tcW w:w="5955" w:type="dxa"/>
            <w:gridSpan w:val="2"/>
            <w:tcBorders>
              <w:top w:val="nil"/>
              <w:left w:val="nil"/>
              <w:bottom w:val="nil"/>
              <w:right w:val="nil"/>
            </w:tcBorders>
            <w:shd w:val="clear" w:color="auto" w:fill="auto"/>
            <w:noWrap/>
            <w:vAlign w:val="bottom"/>
          </w:tcPr>
          <w:p w14:paraId="2F7B80BA" w14:textId="77777777" w:rsidR="00B91736" w:rsidRPr="002E5694" w:rsidRDefault="00B91736" w:rsidP="00B91736">
            <w:r>
              <w:t xml:space="preserve"> </w:t>
            </w:r>
          </w:p>
        </w:tc>
      </w:tr>
    </w:tbl>
    <w:p w14:paraId="2F157228" w14:textId="400C9FCD" w:rsidR="00B91736" w:rsidRPr="002E5694" w:rsidRDefault="00B91736" w:rsidP="00B91736">
      <w:pPr>
        <w:pStyle w:val="21ElementsText"/>
      </w:pPr>
      <w:r w:rsidRPr="002E5694">
        <w:t>People with developmental disabilities tend to be younger than the general population.</w:t>
      </w:r>
      <w:r>
        <w:t xml:space="preserve"> </w:t>
      </w:r>
      <w:r w:rsidRPr="002E5694">
        <w:t>There are several reasons for this</w:t>
      </w:r>
      <w:r>
        <w:t>:</w:t>
      </w:r>
      <w:r w:rsidRPr="002E5694">
        <w:t xml:space="preserve"> </w:t>
      </w:r>
      <w:r>
        <w:t>f</w:t>
      </w:r>
      <w:r w:rsidRPr="002E5694">
        <w:t>or some diagnoses there is a shorter life expectancy</w:t>
      </w:r>
      <w:r>
        <w:t>;</w:t>
      </w:r>
      <w:r w:rsidRPr="002E5694">
        <w:t xml:space="preserve"> </w:t>
      </w:r>
      <w:r>
        <w:t>m</w:t>
      </w:r>
      <w:r w:rsidRPr="002E5694">
        <w:t xml:space="preserve">ore importantly, starting in </w:t>
      </w:r>
      <w:r>
        <w:t>the 1990s</w:t>
      </w:r>
      <w:r w:rsidRPr="002E5694">
        <w:t xml:space="preserve"> there was a</w:t>
      </w:r>
      <w:r>
        <w:t>n</w:t>
      </w:r>
      <w:r w:rsidRPr="002E5694">
        <w:t xml:space="preserve"> “autism wave” with many more young people being diagnosed with the disorder, for reasons that are still not well understood. The racial demographics of the developmentally disabled population mirror that of the population of the Bay Area.</w:t>
      </w:r>
      <w:r>
        <w:t xml:space="preserve"> </w:t>
      </w:r>
    </w:p>
    <w:tbl>
      <w:tblPr>
        <w:tblW w:w="7575" w:type="dxa"/>
        <w:tblInd w:w="93" w:type="dxa"/>
        <w:tblLayout w:type="fixed"/>
        <w:tblLook w:val="0000" w:firstRow="0" w:lastRow="0" w:firstColumn="0" w:lastColumn="0" w:noHBand="0" w:noVBand="0"/>
      </w:tblPr>
      <w:tblGrid>
        <w:gridCol w:w="1247"/>
        <w:gridCol w:w="4708"/>
        <w:gridCol w:w="1620"/>
      </w:tblGrid>
      <w:tr w:rsidR="00B91736" w:rsidRPr="005160D7" w14:paraId="1363BD78" w14:textId="77777777" w:rsidTr="00B91736">
        <w:trPr>
          <w:trHeight w:val="18"/>
        </w:trPr>
        <w:tc>
          <w:tcPr>
            <w:tcW w:w="7575" w:type="dxa"/>
            <w:gridSpan w:val="3"/>
            <w:tcBorders>
              <w:top w:val="nil"/>
              <w:left w:val="nil"/>
              <w:bottom w:val="nil"/>
              <w:right w:val="nil"/>
            </w:tcBorders>
            <w:shd w:val="clear" w:color="auto" w:fill="000000"/>
            <w:noWrap/>
            <w:vAlign w:val="bottom"/>
          </w:tcPr>
          <w:p w14:paraId="64C9237F" w14:textId="77777777" w:rsidR="00B91736" w:rsidRPr="005160D7" w:rsidRDefault="00B91736" w:rsidP="00B91736">
            <w:pPr>
              <w:rPr>
                <w:b/>
                <w:bCs/>
                <w:sz w:val="20"/>
                <w:szCs w:val="18"/>
              </w:rPr>
            </w:pPr>
            <w:bookmarkStart w:id="3" w:name="_Toc360608842"/>
            <w:r w:rsidRPr="005160D7">
              <w:rPr>
                <w:b/>
                <w:bCs/>
                <w:sz w:val="20"/>
                <w:szCs w:val="18"/>
              </w:rPr>
              <w:t>Age of People with Development Disabilities</w:t>
            </w:r>
            <w:bookmarkEnd w:id="3"/>
            <w:r w:rsidRPr="005160D7">
              <w:rPr>
                <w:b/>
                <w:bCs/>
                <w:sz w:val="20"/>
                <w:szCs w:val="18"/>
              </w:rPr>
              <w:t xml:space="preserve"> in San Mateo County</w:t>
            </w:r>
            <w:r>
              <w:rPr>
                <w:b/>
                <w:bCs/>
                <w:sz w:val="20"/>
                <w:szCs w:val="18"/>
              </w:rPr>
              <w:t xml:space="preserve"> (2013)</w:t>
            </w:r>
          </w:p>
        </w:tc>
      </w:tr>
      <w:tr w:rsidR="00B91736" w:rsidRPr="002E5694" w14:paraId="5333A3E1" w14:textId="77777777" w:rsidTr="00B91736">
        <w:trPr>
          <w:trHeight w:val="316"/>
        </w:trPr>
        <w:tc>
          <w:tcPr>
            <w:tcW w:w="1247" w:type="dxa"/>
            <w:tcBorders>
              <w:top w:val="nil"/>
              <w:left w:val="nil"/>
              <w:bottom w:val="single" w:sz="4" w:space="0" w:color="auto"/>
              <w:right w:val="nil"/>
            </w:tcBorders>
            <w:shd w:val="clear" w:color="auto" w:fill="auto"/>
            <w:noWrap/>
            <w:vAlign w:val="bottom"/>
          </w:tcPr>
          <w:p w14:paraId="74686182" w14:textId="77777777" w:rsidR="00B91736" w:rsidRPr="00CA1527" w:rsidRDefault="00B91736" w:rsidP="00B91736">
            <w:pPr>
              <w:spacing w:line="240" w:lineRule="auto"/>
              <w:rPr>
                <w:sz w:val="18"/>
                <w:szCs w:val="18"/>
              </w:rPr>
            </w:pPr>
          </w:p>
        </w:tc>
        <w:tc>
          <w:tcPr>
            <w:tcW w:w="6328" w:type="dxa"/>
            <w:gridSpan w:val="2"/>
            <w:tcBorders>
              <w:top w:val="nil"/>
              <w:left w:val="nil"/>
              <w:bottom w:val="single" w:sz="4" w:space="0" w:color="auto"/>
              <w:right w:val="nil"/>
            </w:tcBorders>
            <w:shd w:val="clear" w:color="auto" w:fill="auto"/>
            <w:noWrap/>
            <w:vAlign w:val="bottom"/>
          </w:tcPr>
          <w:p w14:paraId="6371ABEA" w14:textId="77777777" w:rsidR="00B91736" w:rsidRPr="00C979B6" w:rsidRDefault="00B91736" w:rsidP="00B91736">
            <w:pPr>
              <w:spacing w:line="240" w:lineRule="auto"/>
              <w:jc w:val="right"/>
              <w:rPr>
                <w:sz w:val="10"/>
                <w:szCs w:val="18"/>
              </w:rPr>
            </w:pPr>
          </w:p>
          <w:p w14:paraId="1ADD1B3C" w14:textId="77777777" w:rsidR="00B91736" w:rsidRDefault="00B91736" w:rsidP="00B91736">
            <w:pPr>
              <w:spacing w:line="240" w:lineRule="auto"/>
              <w:jc w:val="right"/>
              <w:rPr>
                <w:b/>
                <w:sz w:val="18"/>
                <w:szCs w:val="18"/>
              </w:rPr>
            </w:pPr>
            <w:r w:rsidRPr="00C979B6">
              <w:rPr>
                <w:b/>
                <w:sz w:val="18"/>
                <w:szCs w:val="18"/>
              </w:rPr>
              <w:t xml:space="preserve">San Mateo </w:t>
            </w:r>
          </w:p>
          <w:p w14:paraId="2F6A7D80" w14:textId="77777777" w:rsidR="00B91736" w:rsidRPr="00C979B6" w:rsidRDefault="00B91736" w:rsidP="00B91736">
            <w:pPr>
              <w:spacing w:line="240" w:lineRule="auto"/>
              <w:jc w:val="right"/>
              <w:rPr>
                <w:b/>
                <w:sz w:val="18"/>
                <w:szCs w:val="18"/>
              </w:rPr>
            </w:pPr>
            <w:r w:rsidRPr="00C979B6">
              <w:rPr>
                <w:b/>
                <w:sz w:val="18"/>
                <w:szCs w:val="18"/>
              </w:rPr>
              <w:t>County Percent</w:t>
            </w:r>
          </w:p>
          <w:p w14:paraId="235D73E3" w14:textId="77777777" w:rsidR="00B91736" w:rsidRPr="001E732F" w:rsidRDefault="00B91736" w:rsidP="00B91736">
            <w:pPr>
              <w:spacing w:line="240" w:lineRule="auto"/>
              <w:jc w:val="right"/>
              <w:rPr>
                <w:sz w:val="10"/>
                <w:szCs w:val="18"/>
              </w:rPr>
            </w:pPr>
          </w:p>
        </w:tc>
      </w:tr>
      <w:tr w:rsidR="00B91736" w:rsidRPr="002E5694" w14:paraId="77F4726B" w14:textId="77777777" w:rsidTr="00B91736">
        <w:trPr>
          <w:trHeight w:val="264"/>
        </w:trPr>
        <w:tc>
          <w:tcPr>
            <w:tcW w:w="1247" w:type="dxa"/>
            <w:tcBorders>
              <w:top w:val="nil"/>
              <w:left w:val="nil"/>
              <w:bottom w:val="single" w:sz="4" w:space="0" w:color="808080"/>
              <w:right w:val="nil"/>
            </w:tcBorders>
            <w:shd w:val="clear" w:color="auto" w:fill="auto"/>
            <w:noWrap/>
            <w:vAlign w:val="bottom"/>
          </w:tcPr>
          <w:p w14:paraId="7F22D576" w14:textId="77777777" w:rsidR="00B91736" w:rsidRPr="00CA1527" w:rsidRDefault="00B91736" w:rsidP="00B91736">
            <w:pPr>
              <w:rPr>
                <w:sz w:val="18"/>
                <w:szCs w:val="18"/>
              </w:rPr>
            </w:pPr>
            <w:r w:rsidRPr="00CA1527">
              <w:rPr>
                <w:sz w:val="18"/>
                <w:szCs w:val="18"/>
              </w:rPr>
              <w:t>0-5</w:t>
            </w:r>
          </w:p>
        </w:tc>
        <w:tc>
          <w:tcPr>
            <w:tcW w:w="6328" w:type="dxa"/>
            <w:gridSpan w:val="2"/>
            <w:tcBorders>
              <w:top w:val="nil"/>
              <w:left w:val="nil"/>
              <w:bottom w:val="single" w:sz="4" w:space="0" w:color="808080"/>
              <w:right w:val="nil"/>
            </w:tcBorders>
            <w:shd w:val="clear" w:color="auto" w:fill="auto"/>
            <w:noWrap/>
            <w:vAlign w:val="bottom"/>
          </w:tcPr>
          <w:p w14:paraId="76641131" w14:textId="77777777" w:rsidR="00B91736" w:rsidRPr="00CA1527" w:rsidRDefault="00B91736" w:rsidP="00B91736">
            <w:pPr>
              <w:jc w:val="right"/>
              <w:rPr>
                <w:sz w:val="18"/>
                <w:szCs w:val="18"/>
              </w:rPr>
            </w:pPr>
            <w:r>
              <w:rPr>
                <w:sz w:val="18"/>
                <w:szCs w:val="18"/>
              </w:rPr>
              <w:t>19</w:t>
            </w:r>
            <w:r w:rsidRPr="00CA1527">
              <w:rPr>
                <w:sz w:val="18"/>
                <w:szCs w:val="18"/>
              </w:rPr>
              <w:t>%</w:t>
            </w:r>
          </w:p>
        </w:tc>
      </w:tr>
      <w:tr w:rsidR="00B91736" w:rsidRPr="002E5694" w14:paraId="1E0B342C" w14:textId="77777777" w:rsidTr="00B91736">
        <w:trPr>
          <w:trHeight w:val="204"/>
        </w:trPr>
        <w:tc>
          <w:tcPr>
            <w:tcW w:w="1247" w:type="dxa"/>
            <w:tcBorders>
              <w:top w:val="nil"/>
              <w:left w:val="nil"/>
              <w:bottom w:val="single" w:sz="4" w:space="0" w:color="808080"/>
              <w:right w:val="nil"/>
            </w:tcBorders>
            <w:shd w:val="clear" w:color="auto" w:fill="auto"/>
            <w:noWrap/>
            <w:vAlign w:val="bottom"/>
          </w:tcPr>
          <w:p w14:paraId="77D6692E" w14:textId="77777777" w:rsidR="00B91736" w:rsidRPr="00CA1527" w:rsidRDefault="00B91736" w:rsidP="00B91736">
            <w:pPr>
              <w:rPr>
                <w:sz w:val="18"/>
                <w:szCs w:val="18"/>
              </w:rPr>
            </w:pPr>
            <w:r w:rsidRPr="00CA1527">
              <w:rPr>
                <w:sz w:val="18"/>
                <w:szCs w:val="18"/>
              </w:rPr>
              <w:t>6-21</w:t>
            </w:r>
          </w:p>
        </w:tc>
        <w:tc>
          <w:tcPr>
            <w:tcW w:w="6328" w:type="dxa"/>
            <w:gridSpan w:val="2"/>
            <w:tcBorders>
              <w:top w:val="nil"/>
              <w:left w:val="nil"/>
              <w:bottom w:val="single" w:sz="4" w:space="0" w:color="808080"/>
              <w:right w:val="nil"/>
            </w:tcBorders>
            <w:shd w:val="clear" w:color="auto" w:fill="auto"/>
            <w:noWrap/>
            <w:vAlign w:val="bottom"/>
          </w:tcPr>
          <w:p w14:paraId="778E02B8" w14:textId="77777777" w:rsidR="00B91736" w:rsidRPr="00CA1527" w:rsidRDefault="00B91736" w:rsidP="00B91736">
            <w:pPr>
              <w:jc w:val="right"/>
              <w:rPr>
                <w:sz w:val="18"/>
                <w:szCs w:val="18"/>
              </w:rPr>
            </w:pPr>
            <w:r>
              <w:rPr>
                <w:sz w:val="18"/>
                <w:szCs w:val="18"/>
              </w:rPr>
              <w:t> 30</w:t>
            </w:r>
            <w:r w:rsidRPr="00CA1527">
              <w:rPr>
                <w:sz w:val="18"/>
                <w:szCs w:val="18"/>
              </w:rPr>
              <w:t>%</w:t>
            </w:r>
          </w:p>
        </w:tc>
      </w:tr>
      <w:tr w:rsidR="00B91736" w:rsidRPr="002E5694" w14:paraId="78C98367" w14:textId="77777777" w:rsidTr="00B91736">
        <w:trPr>
          <w:trHeight w:val="18"/>
        </w:trPr>
        <w:tc>
          <w:tcPr>
            <w:tcW w:w="1247" w:type="dxa"/>
            <w:tcBorders>
              <w:top w:val="nil"/>
              <w:left w:val="nil"/>
              <w:bottom w:val="single" w:sz="4" w:space="0" w:color="808080"/>
              <w:right w:val="nil"/>
            </w:tcBorders>
            <w:shd w:val="clear" w:color="auto" w:fill="auto"/>
            <w:noWrap/>
            <w:vAlign w:val="bottom"/>
          </w:tcPr>
          <w:p w14:paraId="2EDD420B" w14:textId="77777777" w:rsidR="00B91736" w:rsidRPr="00CA1527" w:rsidRDefault="00B91736" w:rsidP="00B91736">
            <w:pPr>
              <w:rPr>
                <w:sz w:val="18"/>
                <w:szCs w:val="18"/>
              </w:rPr>
            </w:pPr>
            <w:r w:rsidRPr="00CA1527">
              <w:rPr>
                <w:sz w:val="18"/>
                <w:szCs w:val="18"/>
              </w:rPr>
              <w:t>22-51</w:t>
            </w:r>
          </w:p>
        </w:tc>
        <w:tc>
          <w:tcPr>
            <w:tcW w:w="6328" w:type="dxa"/>
            <w:gridSpan w:val="2"/>
            <w:tcBorders>
              <w:top w:val="nil"/>
              <w:left w:val="nil"/>
              <w:bottom w:val="single" w:sz="4" w:space="0" w:color="808080"/>
              <w:right w:val="nil"/>
            </w:tcBorders>
            <w:shd w:val="clear" w:color="auto" w:fill="auto"/>
            <w:noWrap/>
            <w:vAlign w:val="bottom"/>
          </w:tcPr>
          <w:p w14:paraId="793B7377" w14:textId="77777777" w:rsidR="00B91736" w:rsidRPr="00CA1527" w:rsidRDefault="00B91736" w:rsidP="00B91736">
            <w:pPr>
              <w:jc w:val="right"/>
              <w:rPr>
                <w:sz w:val="18"/>
                <w:szCs w:val="18"/>
              </w:rPr>
            </w:pPr>
            <w:r>
              <w:rPr>
                <w:sz w:val="18"/>
                <w:szCs w:val="18"/>
              </w:rPr>
              <w:t> 36</w:t>
            </w:r>
            <w:r w:rsidRPr="00CA1527">
              <w:rPr>
                <w:sz w:val="18"/>
                <w:szCs w:val="18"/>
              </w:rPr>
              <w:t>%</w:t>
            </w:r>
          </w:p>
        </w:tc>
      </w:tr>
      <w:tr w:rsidR="00B91736" w:rsidRPr="002E5694" w14:paraId="7889A7CD" w14:textId="77777777" w:rsidTr="00B91736">
        <w:trPr>
          <w:trHeight w:val="264"/>
        </w:trPr>
        <w:tc>
          <w:tcPr>
            <w:tcW w:w="1247" w:type="dxa"/>
            <w:tcBorders>
              <w:top w:val="nil"/>
              <w:left w:val="nil"/>
              <w:bottom w:val="single" w:sz="4" w:space="0" w:color="auto"/>
              <w:right w:val="nil"/>
            </w:tcBorders>
            <w:shd w:val="clear" w:color="auto" w:fill="auto"/>
            <w:noWrap/>
            <w:vAlign w:val="bottom"/>
          </w:tcPr>
          <w:p w14:paraId="65C30B44" w14:textId="77777777" w:rsidR="00B91736" w:rsidRPr="00CA1527" w:rsidRDefault="00B91736" w:rsidP="00B91736">
            <w:pPr>
              <w:rPr>
                <w:sz w:val="18"/>
                <w:szCs w:val="18"/>
              </w:rPr>
            </w:pPr>
            <w:r w:rsidRPr="00CA1527">
              <w:rPr>
                <w:sz w:val="18"/>
                <w:szCs w:val="18"/>
              </w:rPr>
              <w:t xml:space="preserve">52+ </w:t>
            </w:r>
          </w:p>
        </w:tc>
        <w:tc>
          <w:tcPr>
            <w:tcW w:w="6328" w:type="dxa"/>
            <w:gridSpan w:val="2"/>
            <w:tcBorders>
              <w:top w:val="nil"/>
              <w:left w:val="nil"/>
              <w:bottom w:val="single" w:sz="4" w:space="0" w:color="auto"/>
              <w:right w:val="nil"/>
            </w:tcBorders>
            <w:shd w:val="clear" w:color="auto" w:fill="auto"/>
            <w:noWrap/>
            <w:vAlign w:val="bottom"/>
          </w:tcPr>
          <w:p w14:paraId="06940B7E" w14:textId="77777777" w:rsidR="00B91736" w:rsidRPr="00CA1527" w:rsidRDefault="00B91736" w:rsidP="00B91736">
            <w:pPr>
              <w:jc w:val="right"/>
              <w:rPr>
                <w:sz w:val="18"/>
                <w:szCs w:val="18"/>
              </w:rPr>
            </w:pPr>
            <w:r>
              <w:rPr>
                <w:sz w:val="18"/>
                <w:szCs w:val="18"/>
              </w:rPr>
              <w:t> 15</w:t>
            </w:r>
            <w:r w:rsidRPr="00CA1527">
              <w:rPr>
                <w:sz w:val="18"/>
                <w:szCs w:val="18"/>
              </w:rPr>
              <w:t>%</w:t>
            </w:r>
          </w:p>
        </w:tc>
      </w:tr>
      <w:tr w:rsidR="00B91736" w:rsidRPr="002E5694" w14:paraId="3A3FC5A5" w14:textId="77777777" w:rsidTr="00B91736">
        <w:trPr>
          <w:trHeight w:val="18"/>
        </w:trPr>
        <w:tc>
          <w:tcPr>
            <w:tcW w:w="1247" w:type="dxa"/>
            <w:tcBorders>
              <w:top w:val="nil"/>
              <w:left w:val="nil"/>
              <w:bottom w:val="single" w:sz="4" w:space="0" w:color="auto"/>
              <w:right w:val="nil"/>
            </w:tcBorders>
            <w:shd w:val="clear" w:color="auto" w:fill="auto"/>
            <w:noWrap/>
            <w:vAlign w:val="bottom"/>
          </w:tcPr>
          <w:p w14:paraId="53F76B2B" w14:textId="77777777" w:rsidR="00B91736" w:rsidRPr="00CA1527" w:rsidRDefault="00B91736" w:rsidP="00B91736">
            <w:pPr>
              <w:rPr>
                <w:sz w:val="18"/>
                <w:szCs w:val="18"/>
              </w:rPr>
            </w:pPr>
            <w:r w:rsidRPr="00CA1527">
              <w:rPr>
                <w:sz w:val="18"/>
                <w:szCs w:val="18"/>
              </w:rPr>
              <w:t>Total</w:t>
            </w:r>
          </w:p>
        </w:tc>
        <w:tc>
          <w:tcPr>
            <w:tcW w:w="6328" w:type="dxa"/>
            <w:gridSpan w:val="2"/>
            <w:tcBorders>
              <w:top w:val="nil"/>
              <w:left w:val="nil"/>
              <w:bottom w:val="single" w:sz="4" w:space="0" w:color="auto"/>
              <w:right w:val="nil"/>
            </w:tcBorders>
            <w:shd w:val="clear" w:color="auto" w:fill="auto"/>
            <w:noWrap/>
            <w:vAlign w:val="bottom"/>
          </w:tcPr>
          <w:p w14:paraId="55D728A9" w14:textId="77777777" w:rsidR="00B91736" w:rsidRPr="00CA1527" w:rsidRDefault="00B91736" w:rsidP="00B91736">
            <w:pPr>
              <w:jc w:val="right"/>
              <w:rPr>
                <w:sz w:val="18"/>
                <w:szCs w:val="18"/>
              </w:rPr>
            </w:pPr>
            <w:r>
              <w:rPr>
                <w:sz w:val="18"/>
                <w:szCs w:val="18"/>
              </w:rPr>
              <w:t> 100</w:t>
            </w:r>
            <w:r w:rsidRPr="00CA1527">
              <w:rPr>
                <w:sz w:val="18"/>
                <w:szCs w:val="18"/>
              </w:rPr>
              <w:t>%</w:t>
            </w:r>
          </w:p>
        </w:tc>
      </w:tr>
      <w:tr w:rsidR="00B91736" w:rsidRPr="00C979B6" w14:paraId="41BF422E" w14:textId="77777777" w:rsidTr="00B91736">
        <w:trPr>
          <w:gridAfter w:val="1"/>
          <w:wAfter w:w="1620" w:type="dxa"/>
          <w:trHeight w:val="99"/>
        </w:trPr>
        <w:tc>
          <w:tcPr>
            <w:tcW w:w="5955" w:type="dxa"/>
            <w:gridSpan w:val="2"/>
            <w:tcBorders>
              <w:top w:val="nil"/>
              <w:left w:val="nil"/>
              <w:bottom w:val="nil"/>
              <w:right w:val="nil"/>
            </w:tcBorders>
            <w:shd w:val="clear" w:color="auto" w:fill="auto"/>
            <w:noWrap/>
            <w:vAlign w:val="bottom"/>
          </w:tcPr>
          <w:p w14:paraId="3B8E1426" w14:textId="77777777" w:rsidR="00B91736" w:rsidRPr="00C979B6" w:rsidRDefault="00B91736" w:rsidP="00B91736">
            <w:pPr>
              <w:spacing w:line="240" w:lineRule="auto"/>
              <w:rPr>
                <w:iCs/>
                <w:sz w:val="14"/>
                <w:szCs w:val="18"/>
              </w:rPr>
            </w:pPr>
          </w:p>
          <w:p w14:paraId="54A7BB0A" w14:textId="77777777" w:rsidR="00B91736" w:rsidRPr="00C979B6" w:rsidRDefault="00B91736" w:rsidP="00B91736">
            <w:pPr>
              <w:spacing w:line="240" w:lineRule="auto"/>
              <w:rPr>
                <w:sz w:val="18"/>
                <w:szCs w:val="18"/>
              </w:rPr>
            </w:pPr>
            <w:r w:rsidRPr="00C979B6">
              <w:rPr>
                <w:iCs/>
                <w:sz w:val="18"/>
                <w:szCs w:val="18"/>
              </w:rPr>
              <w:t>Source: Golden Gate Reg</w:t>
            </w:r>
            <w:r>
              <w:rPr>
                <w:iCs/>
                <w:sz w:val="18"/>
                <w:szCs w:val="18"/>
              </w:rPr>
              <w:t>ional Center, 2013</w:t>
            </w:r>
          </w:p>
        </w:tc>
      </w:tr>
    </w:tbl>
    <w:p w14:paraId="615AA67E" w14:textId="77777777" w:rsidR="00B91736" w:rsidRDefault="00B91736" w:rsidP="00B91736">
      <w:pPr>
        <w:pStyle w:val="21ElementsText"/>
      </w:pPr>
    </w:p>
    <w:p w14:paraId="3C9239D9" w14:textId="7AEF99C8" w:rsidR="00C8702E" w:rsidRPr="002E5694" w:rsidRDefault="00C8702E" w:rsidP="00B91736">
      <w:pPr>
        <w:spacing w:line="240" w:lineRule="auto"/>
      </w:pPr>
      <w:r w:rsidRPr="002E5694">
        <w:t>Many people with developmental disabilities are unable to secure long-term employment. This results in many people relying on Supplemental Security Income (SSI) and many earn 10-20 percent of the Area Median Income (AMI).</w:t>
      </w:r>
    </w:p>
    <w:p w14:paraId="50C21C49" w14:textId="77777777" w:rsidR="00C8702E" w:rsidRPr="002E5694" w:rsidRDefault="00C8702E" w:rsidP="00067077">
      <w:pPr>
        <w:pStyle w:val="21ElementsText"/>
      </w:pPr>
    </w:p>
    <w:p w14:paraId="3AE52D3E" w14:textId="473EF0A7" w:rsidR="00B91736" w:rsidRPr="002E5694" w:rsidRDefault="003C454C" w:rsidP="00CB4F22">
      <w:pPr>
        <w:pStyle w:val="21ElementsText"/>
      </w:pPr>
      <w:r w:rsidRPr="00C37606">
        <w:t>People with developmental disabilities have various housing needs and housing situations. Almost all (76 percent) of Hillsborough residents with disabilities live with a parent or legal guardian. An additional 13 percent live in small community care facilities,</w:t>
      </w:r>
      <w:r w:rsidR="00CB4F22">
        <w:rPr>
          <w:rStyle w:val="FootnoteReference"/>
        </w:rPr>
        <w:footnoteReference w:id="2"/>
      </w:r>
      <w:r w:rsidRPr="00C37606">
        <w:t xml:space="preserve"> while eight percent live independently or with some supportive assistance.</w:t>
      </w:r>
    </w:p>
    <w:tbl>
      <w:tblPr>
        <w:tblW w:w="9532" w:type="dxa"/>
        <w:tblInd w:w="-162" w:type="dxa"/>
        <w:tblLayout w:type="fixed"/>
        <w:tblLook w:val="04A0" w:firstRow="1" w:lastRow="0" w:firstColumn="1" w:lastColumn="0" w:noHBand="0" w:noVBand="1"/>
      </w:tblPr>
      <w:tblGrid>
        <w:gridCol w:w="4329"/>
        <w:gridCol w:w="1356"/>
        <w:gridCol w:w="1243"/>
        <w:gridCol w:w="1313"/>
        <w:gridCol w:w="54"/>
        <w:gridCol w:w="1237"/>
      </w:tblGrid>
      <w:tr w:rsidR="00B91736" w:rsidRPr="009B52F8" w14:paraId="3B1233B6" w14:textId="77777777" w:rsidTr="00B91736">
        <w:trPr>
          <w:trHeight w:val="300"/>
        </w:trPr>
        <w:tc>
          <w:tcPr>
            <w:tcW w:w="9532" w:type="dxa"/>
            <w:gridSpan w:val="6"/>
            <w:tcBorders>
              <w:top w:val="nil"/>
              <w:left w:val="nil"/>
              <w:bottom w:val="nil"/>
              <w:right w:val="nil"/>
            </w:tcBorders>
            <w:shd w:val="clear" w:color="000000" w:fill="000000"/>
            <w:noWrap/>
            <w:vAlign w:val="bottom"/>
            <w:hideMark/>
          </w:tcPr>
          <w:p w14:paraId="05056577" w14:textId="77777777" w:rsidR="00B91736" w:rsidRPr="009B52F8" w:rsidRDefault="00B91736" w:rsidP="00B91736">
            <w:pPr>
              <w:rPr>
                <w:rFonts w:eastAsia="Times New Roman" w:cs="Times New Roman"/>
                <w:b/>
                <w:bCs/>
                <w:color w:val="FFFFFF"/>
                <w:sz w:val="20"/>
                <w:szCs w:val="20"/>
              </w:rPr>
            </w:pPr>
            <w:r w:rsidRPr="009B52F8">
              <w:rPr>
                <w:rFonts w:eastAsia="Times New Roman" w:cs="Times New Roman"/>
                <w:b/>
                <w:bCs/>
                <w:color w:val="FFFFFF"/>
                <w:sz w:val="20"/>
                <w:szCs w:val="20"/>
              </w:rPr>
              <w:t>Living Arrangements of People with</w:t>
            </w:r>
            <w:r>
              <w:rPr>
                <w:rFonts w:eastAsia="Times New Roman" w:cs="Times New Roman"/>
                <w:b/>
                <w:bCs/>
                <w:color w:val="FFFFFF"/>
                <w:sz w:val="20"/>
                <w:szCs w:val="20"/>
              </w:rPr>
              <w:t xml:space="preserve"> Developmental</w:t>
            </w:r>
            <w:r w:rsidRPr="009B52F8">
              <w:rPr>
                <w:rFonts w:eastAsia="Times New Roman" w:cs="Times New Roman"/>
                <w:b/>
                <w:bCs/>
                <w:color w:val="FFFFFF"/>
                <w:sz w:val="20"/>
                <w:szCs w:val="20"/>
              </w:rPr>
              <w:t xml:space="preserve"> Disabilities</w:t>
            </w:r>
            <w:r>
              <w:rPr>
                <w:rFonts w:eastAsia="Times New Roman" w:cs="Times New Roman"/>
                <w:b/>
                <w:bCs/>
                <w:color w:val="FFFFFF"/>
                <w:sz w:val="20"/>
                <w:szCs w:val="20"/>
              </w:rPr>
              <w:t xml:space="preserve"> (2013)</w:t>
            </w:r>
          </w:p>
        </w:tc>
      </w:tr>
      <w:tr w:rsidR="00B91736" w:rsidRPr="009B52F8" w14:paraId="2649F0F3" w14:textId="77777777" w:rsidTr="00B91736">
        <w:trPr>
          <w:trHeight w:val="300"/>
        </w:trPr>
        <w:tc>
          <w:tcPr>
            <w:tcW w:w="4329" w:type="dxa"/>
            <w:tcBorders>
              <w:top w:val="nil"/>
              <w:left w:val="nil"/>
              <w:bottom w:val="nil"/>
              <w:right w:val="nil"/>
            </w:tcBorders>
            <w:shd w:val="clear" w:color="auto" w:fill="auto"/>
            <w:noWrap/>
            <w:vAlign w:val="bottom"/>
            <w:hideMark/>
          </w:tcPr>
          <w:p w14:paraId="4456B0C6" w14:textId="77777777" w:rsidR="00B91736" w:rsidRPr="009B52F8" w:rsidRDefault="00B91736" w:rsidP="00B91736">
            <w:pPr>
              <w:spacing w:line="240" w:lineRule="auto"/>
              <w:rPr>
                <w:rFonts w:eastAsia="Times New Roman" w:cs="Times New Roman"/>
                <w:color w:val="000000"/>
                <w:szCs w:val="22"/>
              </w:rPr>
            </w:pPr>
          </w:p>
        </w:tc>
        <w:tc>
          <w:tcPr>
            <w:tcW w:w="2599" w:type="dxa"/>
            <w:gridSpan w:val="2"/>
            <w:tcBorders>
              <w:top w:val="nil"/>
              <w:left w:val="nil"/>
              <w:bottom w:val="nil"/>
              <w:right w:val="nil"/>
            </w:tcBorders>
            <w:shd w:val="clear" w:color="auto" w:fill="auto"/>
            <w:noWrap/>
            <w:vAlign w:val="bottom"/>
            <w:hideMark/>
          </w:tcPr>
          <w:p w14:paraId="4CC865BC" w14:textId="77777777" w:rsidR="00B91736" w:rsidRPr="009B52F8" w:rsidRDefault="00B91736" w:rsidP="00B91736">
            <w:pPr>
              <w:spacing w:line="240" w:lineRule="auto"/>
              <w:jc w:val="center"/>
              <w:rPr>
                <w:rFonts w:eastAsia="Times New Roman" w:cs="Times New Roman"/>
                <w:b/>
                <w:bCs/>
                <w:color w:val="000000"/>
                <w:sz w:val="18"/>
                <w:szCs w:val="18"/>
              </w:rPr>
            </w:pPr>
            <w:r w:rsidRPr="009B52F8">
              <w:rPr>
                <w:rFonts w:eastAsia="Times New Roman" w:cs="Times New Roman"/>
                <w:b/>
                <w:bCs/>
                <w:color w:val="000000"/>
                <w:sz w:val="18"/>
                <w:szCs w:val="18"/>
              </w:rPr>
              <w:t>Number</w:t>
            </w:r>
          </w:p>
        </w:tc>
        <w:tc>
          <w:tcPr>
            <w:tcW w:w="2604" w:type="dxa"/>
            <w:gridSpan w:val="3"/>
            <w:tcBorders>
              <w:top w:val="nil"/>
              <w:left w:val="nil"/>
              <w:bottom w:val="nil"/>
              <w:right w:val="nil"/>
            </w:tcBorders>
            <w:shd w:val="clear" w:color="auto" w:fill="auto"/>
            <w:noWrap/>
            <w:vAlign w:val="bottom"/>
            <w:hideMark/>
          </w:tcPr>
          <w:p w14:paraId="3EF3B3EA" w14:textId="77777777" w:rsidR="00B91736" w:rsidRPr="009B52F8" w:rsidRDefault="00B91736" w:rsidP="00B91736">
            <w:pPr>
              <w:spacing w:line="240" w:lineRule="auto"/>
              <w:jc w:val="center"/>
              <w:rPr>
                <w:rFonts w:eastAsia="Times New Roman" w:cs="Times New Roman"/>
                <w:b/>
                <w:bCs/>
                <w:color w:val="000000"/>
                <w:sz w:val="18"/>
                <w:szCs w:val="18"/>
              </w:rPr>
            </w:pPr>
            <w:r w:rsidRPr="009B52F8">
              <w:rPr>
                <w:rFonts w:eastAsia="Times New Roman" w:cs="Times New Roman"/>
                <w:b/>
                <w:bCs/>
                <w:color w:val="000000"/>
                <w:sz w:val="18"/>
                <w:szCs w:val="18"/>
              </w:rPr>
              <w:t>Percent</w:t>
            </w:r>
          </w:p>
        </w:tc>
      </w:tr>
      <w:tr w:rsidR="00B91736" w:rsidRPr="009B52F8" w14:paraId="66BB89A9" w14:textId="77777777" w:rsidTr="00B91736">
        <w:trPr>
          <w:trHeight w:val="320"/>
        </w:trPr>
        <w:tc>
          <w:tcPr>
            <w:tcW w:w="4329" w:type="dxa"/>
            <w:tcBorders>
              <w:top w:val="nil"/>
              <w:left w:val="nil"/>
              <w:bottom w:val="single" w:sz="8" w:space="0" w:color="auto"/>
              <w:right w:val="nil"/>
            </w:tcBorders>
            <w:shd w:val="clear" w:color="auto" w:fill="auto"/>
            <w:noWrap/>
            <w:vAlign w:val="bottom"/>
            <w:hideMark/>
          </w:tcPr>
          <w:p w14:paraId="7DAD650D" w14:textId="77777777" w:rsidR="00B91736" w:rsidRPr="009B52F8" w:rsidRDefault="00B91736" w:rsidP="00B91736">
            <w:pPr>
              <w:spacing w:line="240" w:lineRule="auto"/>
              <w:rPr>
                <w:rFonts w:eastAsia="Times New Roman" w:cs="Times New Roman"/>
                <w:b/>
                <w:bCs/>
                <w:color w:val="000000"/>
                <w:sz w:val="18"/>
                <w:szCs w:val="18"/>
              </w:rPr>
            </w:pPr>
            <w:r w:rsidRPr="009B52F8">
              <w:rPr>
                <w:rFonts w:eastAsia="Times New Roman" w:cs="Times New Roman"/>
                <w:b/>
                <w:bCs/>
                <w:color w:val="000000"/>
                <w:sz w:val="18"/>
                <w:szCs w:val="18"/>
              </w:rPr>
              <w:t>Lives with</w:t>
            </w:r>
          </w:p>
        </w:tc>
        <w:tc>
          <w:tcPr>
            <w:tcW w:w="1356" w:type="dxa"/>
            <w:tcBorders>
              <w:top w:val="nil"/>
              <w:left w:val="nil"/>
              <w:bottom w:val="single" w:sz="8" w:space="0" w:color="auto"/>
              <w:right w:val="nil"/>
            </w:tcBorders>
            <w:shd w:val="clear" w:color="auto" w:fill="auto"/>
            <w:noWrap/>
            <w:vAlign w:val="bottom"/>
            <w:hideMark/>
          </w:tcPr>
          <w:p w14:paraId="000AAE92" w14:textId="7C80E22D" w:rsidR="00B91736" w:rsidRDefault="00B91736" w:rsidP="00B91736">
            <w:pPr>
              <w:spacing w:line="240" w:lineRule="auto"/>
              <w:jc w:val="right"/>
              <w:rPr>
                <w:rFonts w:eastAsia="Times New Roman" w:cs="Times New Roman"/>
                <w:color w:val="000000"/>
                <w:sz w:val="18"/>
                <w:szCs w:val="18"/>
              </w:rPr>
            </w:pPr>
            <w:r>
              <w:rPr>
                <w:rFonts w:eastAsia="Times New Roman" w:cs="Times New Roman"/>
                <w:color w:val="000000"/>
                <w:sz w:val="18"/>
                <w:szCs w:val="18"/>
              </w:rPr>
              <w:t>Town of Hillsborough</w:t>
            </w:r>
          </w:p>
          <w:p w14:paraId="34D7BA7B" w14:textId="77777777" w:rsidR="00B91736" w:rsidRPr="00C979B6" w:rsidRDefault="00B91736" w:rsidP="00B91736">
            <w:pPr>
              <w:spacing w:line="240" w:lineRule="auto"/>
              <w:jc w:val="right"/>
              <w:rPr>
                <w:rFonts w:eastAsia="Times New Roman" w:cs="Times New Roman"/>
                <w:color w:val="000000"/>
                <w:sz w:val="10"/>
                <w:szCs w:val="18"/>
              </w:rPr>
            </w:pPr>
          </w:p>
        </w:tc>
        <w:tc>
          <w:tcPr>
            <w:tcW w:w="1243" w:type="dxa"/>
            <w:tcBorders>
              <w:top w:val="nil"/>
              <w:left w:val="nil"/>
              <w:bottom w:val="single" w:sz="8" w:space="0" w:color="auto"/>
              <w:right w:val="nil"/>
            </w:tcBorders>
            <w:shd w:val="clear" w:color="auto" w:fill="auto"/>
            <w:noWrap/>
            <w:vAlign w:val="bottom"/>
            <w:hideMark/>
          </w:tcPr>
          <w:p w14:paraId="5319D74D" w14:textId="77777777" w:rsidR="00B91736" w:rsidRDefault="00B91736" w:rsidP="00B91736">
            <w:pPr>
              <w:spacing w:line="240" w:lineRule="auto"/>
              <w:jc w:val="right"/>
              <w:rPr>
                <w:rFonts w:eastAsia="Times New Roman" w:cs="Times New Roman"/>
                <w:color w:val="000000"/>
                <w:sz w:val="18"/>
                <w:szCs w:val="18"/>
              </w:rPr>
            </w:pPr>
            <w:r>
              <w:rPr>
                <w:rFonts w:eastAsia="Times New Roman" w:cs="Times New Roman"/>
                <w:color w:val="000000"/>
                <w:sz w:val="18"/>
                <w:szCs w:val="18"/>
              </w:rPr>
              <w:t xml:space="preserve">San Mateo </w:t>
            </w:r>
            <w:r w:rsidRPr="009B52F8">
              <w:rPr>
                <w:rFonts w:eastAsia="Times New Roman" w:cs="Times New Roman"/>
                <w:color w:val="000000"/>
                <w:sz w:val="18"/>
                <w:szCs w:val="18"/>
              </w:rPr>
              <w:t>County</w:t>
            </w:r>
          </w:p>
          <w:p w14:paraId="21658B8D" w14:textId="77777777" w:rsidR="00B91736" w:rsidRPr="00C979B6" w:rsidRDefault="00B91736" w:rsidP="00B91736">
            <w:pPr>
              <w:spacing w:line="240" w:lineRule="auto"/>
              <w:jc w:val="right"/>
              <w:rPr>
                <w:rFonts w:eastAsia="Times New Roman" w:cs="Times New Roman"/>
                <w:color w:val="000000"/>
                <w:sz w:val="10"/>
                <w:szCs w:val="18"/>
              </w:rPr>
            </w:pPr>
          </w:p>
        </w:tc>
        <w:tc>
          <w:tcPr>
            <w:tcW w:w="1367" w:type="dxa"/>
            <w:gridSpan w:val="2"/>
            <w:tcBorders>
              <w:top w:val="nil"/>
              <w:left w:val="nil"/>
              <w:bottom w:val="single" w:sz="8" w:space="0" w:color="auto"/>
              <w:right w:val="nil"/>
            </w:tcBorders>
            <w:shd w:val="clear" w:color="auto" w:fill="auto"/>
            <w:noWrap/>
            <w:vAlign w:val="bottom"/>
            <w:hideMark/>
          </w:tcPr>
          <w:p w14:paraId="64375A48" w14:textId="77777777" w:rsidR="00B91736" w:rsidRDefault="00B91736" w:rsidP="00B91736">
            <w:pPr>
              <w:spacing w:line="240" w:lineRule="auto"/>
              <w:jc w:val="right"/>
              <w:rPr>
                <w:rFonts w:eastAsia="Times New Roman" w:cs="Times New Roman"/>
                <w:color w:val="000000"/>
                <w:sz w:val="18"/>
                <w:szCs w:val="18"/>
              </w:rPr>
            </w:pPr>
            <w:r>
              <w:rPr>
                <w:rFonts w:eastAsia="Times New Roman" w:cs="Times New Roman"/>
                <w:color w:val="000000"/>
                <w:sz w:val="18"/>
                <w:szCs w:val="18"/>
              </w:rPr>
              <w:t>Town of Hillsborough</w:t>
            </w:r>
          </w:p>
          <w:p w14:paraId="6516FF99" w14:textId="77777777" w:rsidR="00B91736" w:rsidRPr="00C979B6" w:rsidRDefault="00B91736" w:rsidP="00B91736">
            <w:pPr>
              <w:spacing w:line="240" w:lineRule="auto"/>
              <w:jc w:val="right"/>
              <w:rPr>
                <w:rFonts w:eastAsia="Times New Roman" w:cs="Times New Roman"/>
                <w:color w:val="000000"/>
                <w:sz w:val="10"/>
                <w:szCs w:val="18"/>
              </w:rPr>
            </w:pPr>
          </w:p>
        </w:tc>
        <w:tc>
          <w:tcPr>
            <w:tcW w:w="1237" w:type="dxa"/>
            <w:tcBorders>
              <w:top w:val="nil"/>
              <w:left w:val="nil"/>
              <w:bottom w:val="single" w:sz="8" w:space="0" w:color="auto"/>
              <w:right w:val="nil"/>
            </w:tcBorders>
            <w:shd w:val="clear" w:color="auto" w:fill="auto"/>
            <w:noWrap/>
            <w:vAlign w:val="bottom"/>
            <w:hideMark/>
          </w:tcPr>
          <w:p w14:paraId="3E587822" w14:textId="77777777" w:rsidR="00B91736" w:rsidRDefault="00B91736" w:rsidP="00B91736">
            <w:pPr>
              <w:spacing w:line="240" w:lineRule="auto"/>
              <w:jc w:val="right"/>
              <w:rPr>
                <w:rFonts w:eastAsia="Times New Roman" w:cs="Times New Roman"/>
                <w:color w:val="000000"/>
                <w:sz w:val="18"/>
                <w:szCs w:val="18"/>
              </w:rPr>
            </w:pPr>
            <w:r>
              <w:rPr>
                <w:rFonts w:eastAsia="Times New Roman" w:cs="Times New Roman"/>
                <w:color w:val="000000"/>
                <w:sz w:val="18"/>
                <w:szCs w:val="18"/>
              </w:rPr>
              <w:t xml:space="preserve">San Mateo </w:t>
            </w:r>
            <w:r w:rsidRPr="009B52F8">
              <w:rPr>
                <w:rFonts w:eastAsia="Times New Roman" w:cs="Times New Roman"/>
                <w:color w:val="000000"/>
                <w:sz w:val="18"/>
                <w:szCs w:val="18"/>
              </w:rPr>
              <w:t>County</w:t>
            </w:r>
          </w:p>
          <w:p w14:paraId="63058B3D" w14:textId="77777777" w:rsidR="00B91736" w:rsidRPr="00C979B6" w:rsidRDefault="00B91736" w:rsidP="00B91736">
            <w:pPr>
              <w:spacing w:line="240" w:lineRule="auto"/>
              <w:jc w:val="right"/>
              <w:rPr>
                <w:rFonts w:eastAsia="Times New Roman" w:cs="Times New Roman"/>
                <w:color w:val="000000"/>
                <w:sz w:val="10"/>
                <w:szCs w:val="18"/>
              </w:rPr>
            </w:pPr>
          </w:p>
        </w:tc>
      </w:tr>
      <w:tr w:rsidR="00B91736" w:rsidRPr="009B52F8" w14:paraId="29AB813E" w14:textId="77777777" w:rsidTr="00B91736">
        <w:trPr>
          <w:trHeight w:val="330"/>
        </w:trPr>
        <w:tc>
          <w:tcPr>
            <w:tcW w:w="4329" w:type="dxa"/>
            <w:tcBorders>
              <w:top w:val="nil"/>
              <w:left w:val="nil"/>
              <w:bottom w:val="single" w:sz="4" w:space="0" w:color="808080"/>
              <w:right w:val="nil"/>
            </w:tcBorders>
            <w:shd w:val="clear" w:color="auto" w:fill="auto"/>
            <w:noWrap/>
            <w:vAlign w:val="bottom"/>
            <w:hideMark/>
          </w:tcPr>
          <w:p w14:paraId="439D04D1" w14:textId="77777777" w:rsidR="00B91736" w:rsidRPr="009B52F8" w:rsidRDefault="00B91736" w:rsidP="00B91736">
            <w:pPr>
              <w:rPr>
                <w:rFonts w:eastAsia="Times New Roman" w:cs="Times New Roman"/>
                <w:color w:val="000000"/>
                <w:sz w:val="18"/>
                <w:szCs w:val="18"/>
              </w:rPr>
            </w:pPr>
            <w:r w:rsidRPr="009B52F8">
              <w:rPr>
                <w:rFonts w:eastAsia="Times New Roman" w:cs="Times New Roman"/>
                <w:color w:val="000000"/>
                <w:sz w:val="18"/>
                <w:szCs w:val="18"/>
              </w:rPr>
              <w:t>Parents/Legal Guardian</w:t>
            </w:r>
          </w:p>
        </w:tc>
        <w:tc>
          <w:tcPr>
            <w:tcW w:w="1356" w:type="dxa"/>
            <w:tcBorders>
              <w:top w:val="nil"/>
              <w:left w:val="nil"/>
              <w:bottom w:val="single" w:sz="4" w:space="0" w:color="808080"/>
              <w:right w:val="nil"/>
            </w:tcBorders>
            <w:shd w:val="clear" w:color="auto" w:fill="auto"/>
            <w:noWrap/>
            <w:vAlign w:val="bottom"/>
            <w:hideMark/>
          </w:tcPr>
          <w:p w14:paraId="79CE9965" w14:textId="397A53CC"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105</w:t>
            </w:r>
          </w:p>
        </w:tc>
        <w:tc>
          <w:tcPr>
            <w:tcW w:w="1243" w:type="dxa"/>
            <w:tcBorders>
              <w:top w:val="nil"/>
              <w:left w:val="nil"/>
              <w:bottom w:val="single" w:sz="4" w:space="0" w:color="808080"/>
              <w:right w:val="nil"/>
            </w:tcBorders>
            <w:shd w:val="clear" w:color="auto" w:fill="auto"/>
            <w:noWrap/>
            <w:vAlign w:val="bottom"/>
            <w:hideMark/>
          </w:tcPr>
          <w:p w14:paraId="05DF9EDF" w14:textId="77777777" w:rsidR="00B91736" w:rsidRPr="009B52F8" w:rsidRDefault="00B91736" w:rsidP="00B91736">
            <w:pPr>
              <w:jc w:val="right"/>
              <w:rPr>
                <w:rFonts w:eastAsia="Times New Roman" w:cs="Times New Roman"/>
                <w:color w:val="000000"/>
                <w:sz w:val="18"/>
                <w:szCs w:val="18"/>
              </w:rPr>
            </w:pPr>
            <w:r w:rsidRPr="0095144B">
              <w:rPr>
                <w:rFonts w:eastAsia="Times New Roman" w:cs="Times New Roman"/>
                <w:color w:val="000000"/>
                <w:sz w:val="18"/>
                <w:szCs w:val="18"/>
              </w:rPr>
              <w:t xml:space="preserve"> 2,289 </w:t>
            </w:r>
          </w:p>
        </w:tc>
        <w:tc>
          <w:tcPr>
            <w:tcW w:w="1367" w:type="dxa"/>
            <w:gridSpan w:val="2"/>
            <w:tcBorders>
              <w:top w:val="nil"/>
              <w:left w:val="nil"/>
              <w:bottom w:val="single" w:sz="4" w:space="0" w:color="808080"/>
              <w:right w:val="nil"/>
            </w:tcBorders>
            <w:shd w:val="clear" w:color="auto" w:fill="auto"/>
            <w:noWrap/>
            <w:vAlign w:val="bottom"/>
            <w:hideMark/>
          </w:tcPr>
          <w:p w14:paraId="6EDE8921" w14:textId="7531735C"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76%</w:t>
            </w:r>
          </w:p>
        </w:tc>
        <w:tc>
          <w:tcPr>
            <w:tcW w:w="1237" w:type="dxa"/>
            <w:tcBorders>
              <w:top w:val="nil"/>
              <w:left w:val="nil"/>
              <w:bottom w:val="single" w:sz="4" w:space="0" w:color="808080"/>
              <w:right w:val="nil"/>
            </w:tcBorders>
            <w:shd w:val="clear" w:color="auto" w:fill="auto"/>
            <w:noWrap/>
            <w:vAlign w:val="bottom"/>
            <w:hideMark/>
          </w:tcPr>
          <w:p w14:paraId="6A3FB910" w14:textId="77777777" w:rsidR="00B91736" w:rsidRPr="009B52F8" w:rsidRDefault="00B91736" w:rsidP="00B91736">
            <w:pPr>
              <w:jc w:val="right"/>
              <w:rPr>
                <w:rFonts w:eastAsia="Times New Roman" w:cs="Times New Roman"/>
                <w:color w:val="000000"/>
                <w:sz w:val="18"/>
                <w:szCs w:val="18"/>
              </w:rPr>
            </w:pPr>
            <w:r w:rsidRPr="009B52F8">
              <w:rPr>
                <w:rFonts w:eastAsia="Times New Roman" w:cs="Times New Roman"/>
                <w:color w:val="000000"/>
                <w:sz w:val="18"/>
                <w:szCs w:val="18"/>
              </w:rPr>
              <w:t>66%</w:t>
            </w:r>
          </w:p>
        </w:tc>
      </w:tr>
      <w:tr w:rsidR="00B91736" w:rsidRPr="009B52F8" w14:paraId="00BA3682" w14:textId="77777777" w:rsidTr="00B91736">
        <w:trPr>
          <w:trHeight w:val="330"/>
        </w:trPr>
        <w:tc>
          <w:tcPr>
            <w:tcW w:w="4329" w:type="dxa"/>
            <w:tcBorders>
              <w:top w:val="nil"/>
              <w:left w:val="nil"/>
              <w:bottom w:val="single" w:sz="4" w:space="0" w:color="808080"/>
              <w:right w:val="nil"/>
            </w:tcBorders>
            <w:shd w:val="clear" w:color="auto" w:fill="auto"/>
            <w:noWrap/>
            <w:vAlign w:val="bottom"/>
            <w:hideMark/>
          </w:tcPr>
          <w:p w14:paraId="3389E69D" w14:textId="77777777" w:rsidR="00B91736" w:rsidRPr="009B52F8" w:rsidRDefault="00B91736" w:rsidP="00B91736">
            <w:pPr>
              <w:rPr>
                <w:rFonts w:eastAsia="Times New Roman" w:cs="Times New Roman"/>
                <w:color w:val="000000"/>
                <w:sz w:val="18"/>
                <w:szCs w:val="18"/>
              </w:rPr>
            </w:pPr>
            <w:r w:rsidRPr="009B52F8">
              <w:rPr>
                <w:rFonts w:eastAsia="Times New Roman" w:cs="Times New Roman"/>
                <w:color w:val="000000"/>
                <w:sz w:val="18"/>
                <w:szCs w:val="18"/>
              </w:rPr>
              <w:t>Community Care Facility (1-6 Beds)</w:t>
            </w:r>
          </w:p>
        </w:tc>
        <w:tc>
          <w:tcPr>
            <w:tcW w:w="1356" w:type="dxa"/>
            <w:tcBorders>
              <w:top w:val="nil"/>
              <w:left w:val="nil"/>
              <w:bottom w:val="single" w:sz="4" w:space="0" w:color="808080"/>
              <w:right w:val="nil"/>
            </w:tcBorders>
            <w:shd w:val="clear" w:color="auto" w:fill="auto"/>
            <w:noWrap/>
            <w:vAlign w:val="bottom"/>
            <w:hideMark/>
          </w:tcPr>
          <w:p w14:paraId="4C60ECA0" w14:textId="463A27D5"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18</w:t>
            </w:r>
          </w:p>
        </w:tc>
        <w:tc>
          <w:tcPr>
            <w:tcW w:w="1243" w:type="dxa"/>
            <w:tcBorders>
              <w:top w:val="nil"/>
              <w:left w:val="nil"/>
              <w:bottom w:val="single" w:sz="4" w:space="0" w:color="808080"/>
              <w:right w:val="nil"/>
            </w:tcBorders>
            <w:shd w:val="clear" w:color="auto" w:fill="auto"/>
            <w:noWrap/>
            <w:vAlign w:val="bottom"/>
            <w:hideMark/>
          </w:tcPr>
          <w:p w14:paraId="3D629CED" w14:textId="77777777" w:rsidR="00B91736" w:rsidRPr="009B52F8" w:rsidRDefault="00B91736" w:rsidP="00B91736">
            <w:pPr>
              <w:jc w:val="right"/>
              <w:rPr>
                <w:rFonts w:eastAsia="Times New Roman" w:cs="Times New Roman"/>
                <w:color w:val="000000"/>
                <w:sz w:val="18"/>
                <w:szCs w:val="18"/>
              </w:rPr>
            </w:pPr>
            <w:r w:rsidRPr="0095144B">
              <w:rPr>
                <w:rFonts w:eastAsia="Times New Roman" w:cs="Times New Roman"/>
                <w:color w:val="000000"/>
                <w:sz w:val="18"/>
                <w:szCs w:val="18"/>
              </w:rPr>
              <w:t xml:space="preserve"> 532 </w:t>
            </w:r>
          </w:p>
        </w:tc>
        <w:tc>
          <w:tcPr>
            <w:tcW w:w="1367" w:type="dxa"/>
            <w:gridSpan w:val="2"/>
            <w:tcBorders>
              <w:top w:val="nil"/>
              <w:left w:val="nil"/>
              <w:bottom w:val="single" w:sz="4" w:space="0" w:color="808080"/>
              <w:right w:val="nil"/>
            </w:tcBorders>
            <w:shd w:val="clear" w:color="auto" w:fill="auto"/>
            <w:noWrap/>
            <w:vAlign w:val="bottom"/>
            <w:hideMark/>
          </w:tcPr>
          <w:p w14:paraId="0B2B1208" w14:textId="3C42CBFB"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13%</w:t>
            </w:r>
          </w:p>
        </w:tc>
        <w:tc>
          <w:tcPr>
            <w:tcW w:w="1237" w:type="dxa"/>
            <w:tcBorders>
              <w:top w:val="nil"/>
              <w:left w:val="nil"/>
              <w:bottom w:val="single" w:sz="4" w:space="0" w:color="808080"/>
              <w:right w:val="nil"/>
            </w:tcBorders>
            <w:shd w:val="clear" w:color="auto" w:fill="auto"/>
            <w:noWrap/>
            <w:vAlign w:val="bottom"/>
            <w:hideMark/>
          </w:tcPr>
          <w:p w14:paraId="0E5F7FE5" w14:textId="77777777" w:rsidR="00B91736" w:rsidRPr="009B52F8" w:rsidRDefault="00B91736" w:rsidP="00B91736">
            <w:pPr>
              <w:jc w:val="right"/>
              <w:rPr>
                <w:rFonts w:eastAsia="Times New Roman" w:cs="Times New Roman"/>
                <w:color w:val="000000"/>
                <w:sz w:val="18"/>
                <w:szCs w:val="18"/>
              </w:rPr>
            </w:pPr>
            <w:r w:rsidRPr="009B52F8">
              <w:rPr>
                <w:rFonts w:eastAsia="Times New Roman" w:cs="Times New Roman"/>
                <w:color w:val="000000"/>
                <w:sz w:val="18"/>
                <w:szCs w:val="18"/>
              </w:rPr>
              <w:t>15%</w:t>
            </w:r>
          </w:p>
        </w:tc>
      </w:tr>
      <w:tr w:rsidR="00B91736" w:rsidRPr="009B52F8" w14:paraId="0BF09139" w14:textId="77777777" w:rsidTr="00B91736">
        <w:trPr>
          <w:trHeight w:val="330"/>
        </w:trPr>
        <w:tc>
          <w:tcPr>
            <w:tcW w:w="4329" w:type="dxa"/>
            <w:tcBorders>
              <w:top w:val="nil"/>
              <w:left w:val="nil"/>
              <w:bottom w:val="single" w:sz="4" w:space="0" w:color="808080"/>
              <w:right w:val="nil"/>
            </w:tcBorders>
            <w:shd w:val="clear" w:color="auto" w:fill="auto"/>
            <w:noWrap/>
            <w:vAlign w:val="bottom"/>
            <w:hideMark/>
          </w:tcPr>
          <w:p w14:paraId="02C9C331" w14:textId="77777777" w:rsidR="00B91736" w:rsidRPr="009B52F8" w:rsidRDefault="00B91736" w:rsidP="00B91736">
            <w:pPr>
              <w:rPr>
                <w:rFonts w:eastAsia="Times New Roman" w:cs="Times New Roman"/>
                <w:color w:val="000000"/>
                <w:sz w:val="18"/>
                <w:szCs w:val="18"/>
              </w:rPr>
            </w:pPr>
            <w:r w:rsidRPr="009B52F8">
              <w:rPr>
                <w:rFonts w:eastAsia="Times New Roman" w:cs="Times New Roman"/>
                <w:color w:val="000000"/>
                <w:sz w:val="18"/>
                <w:szCs w:val="18"/>
              </w:rPr>
              <w:t>Community Care Facility (7+ Beds)</w:t>
            </w:r>
          </w:p>
        </w:tc>
        <w:tc>
          <w:tcPr>
            <w:tcW w:w="1356" w:type="dxa"/>
            <w:tcBorders>
              <w:top w:val="nil"/>
              <w:left w:val="nil"/>
              <w:bottom w:val="single" w:sz="4" w:space="0" w:color="808080"/>
              <w:right w:val="nil"/>
            </w:tcBorders>
            <w:shd w:val="clear" w:color="auto" w:fill="auto"/>
            <w:noWrap/>
            <w:vAlign w:val="bottom"/>
            <w:hideMark/>
          </w:tcPr>
          <w:p w14:paraId="1151D77E" w14:textId="4BCDDD39"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0</w:t>
            </w:r>
          </w:p>
        </w:tc>
        <w:tc>
          <w:tcPr>
            <w:tcW w:w="1243" w:type="dxa"/>
            <w:tcBorders>
              <w:top w:val="nil"/>
              <w:left w:val="nil"/>
              <w:bottom w:val="single" w:sz="4" w:space="0" w:color="808080"/>
              <w:right w:val="nil"/>
            </w:tcBorders>
            <w:shd w:val="clear" w:color="auto" w:fill="auto"/>
            <w:noWrap/>
            <w:vAlign w:val="bottom"/>
            <w:hideMark/>
          </w:tcPr>
          <w:p w14:paraId="0BC4AD97" w14:textId="77777777" w:rsidR="00B91736" w:rsidRPr="009B52F8" w:rsidRDefault="00B91736" w:rsidP="00B91736">
            <w:pPr>
              <w:jc w:val="right"/>
              <w:rPr>
                <w:rFonts w:eastAsia="Times New Roman" w:cs="Times New Roman"/>
                <w:color w:val="000000"/>
                <w:sz w:val="18"/>
                <w:szCs w:val="18"/>
              </w:rPr>
            </w:pPr>
            <w:r w:rsidRPr="0095144B">
              <w:rPr>
                <w:rFonts w:eastAsia="Times New Roman" w:cs="Times New Roman"/>
                <w:color w:val="000000"/>
                <w:sz w:val="18"/>
                <w:szCs w:val="18"/>
              </w:rPr>
              <w:t xml:space="preserve"> 73 </w:t>
            </w:r>
          </w:p>
        </w:tc>
        <w:tc>
          <w:tcPr>
            <w:tcW w:w="1367" w:type="dxa"/>
            <w:gridSpan w:val="2"/>
            <w:tcBorders>
              <w:top w:val="nil"/>
              <w:left w:val="nil"/>
              <w:bottom w:val="single" w:sz="4" w:space="0" w:color="808080"/>
              <w:right w:val="nil"/>
            </w:tcBorders>
            <w:shd w:val="clear" w:color="auto" w:fill="auto"/>
            <w:noWrap/>
            <w:vAlign w:val="bottom"/>
            <w:hideMark/>
          </w:tcPr>
          <w:p w14:paraId="13443683" w14:textId="101DED31"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0%</w:t>
            </w:r>
          </w:p>
        </w:tc>
        <w:tc>
          <w:tcPr>
            <w:tcW w:w="1237" w:type="dxa"/>
            <w:tcBorders>
              <w:top w:val="nil"/>
              <w:left w:val="nil"/>
              <w:bottom w:val="single" w:sz="4" w:space="0" w:color="808080"/>
              <w:right w:val="nil"/>
            </w:tcBorders>
            <w:shd w:val="clear" w:color="auto" w:fill="auto"/>
            <w:noWrap/>
            <w:vAlign w:val="bottom"/>
            <w:hideMark/>
          </w:tcPr>
          <w:p w14:paraId="3AEC07B5" w14:textId="77777777" w:rsidR="00B91736" w:rsidRPr="009B52F8" w:rsidRDefault="00B91736" w:rsidP="00B91736">
            <w:pPr>
              <w:jc w:val="right"/>
              <w:rPr>
                <w:rFonts w:eastAsia="Times New Roman" w:cs="Times New Roman"/>
                <w:color w:val="000000"/>
                <w:sz w:val="18"/>
                <w:szCs w:val="18"/>
              </w:rPr>
            </w:pPr>
            <w:r w:rsidRPr="009B52F8">
              <w:rPr>
                <w:rFonts w:eastAsia="Times New Roman" w:cs="Times New Roman"/>
                <w:color w:val="000000"/>
                <w:sz w:val="18"/>
                <w:szCs w:val="18"/>
              </w:rPr>
              <w:t>2%</w:t>
            </w:r>
          </w:p>
        </w:tc>
      </w:tr>
      <w:tr w:rsidR="00B91736" w:rsidRPr="009B52F8" w14:paraId="23F8D3AA" w14:textId="77777777" w:rsidTr="00B91736">
        <w:trPr>
          <w:trHeight w:val="330"/>
        </w:trPr>
        <w:tc>
          <w:tcPr>
            <w:tcW w:w="4329" w:type="dxa"/>
            <w:tcBorders>
              <w:top w:val="nil"/>
              <w:left w:val="nil"/>
              <w:bottom w:val="single" w:sz="4" w:space="0" w:color="808080"/>
              <w:right w:val="nil"/>
            </w:tcBorders>
            <w:shd w:val="clear" w:color="auto" w:fill="auto"/>
            <w:noWrap/>
            <w:vAlign w:val="bottom"/>
            <w:hideMark/>
          </w:tcPr>
          <w:p w14:paraId="26FFE710" w14:textId="77777777" w:rsidR="00B91736" w:rsidRPr="009B52F8" w:rsidRDefault="00B91736" w:rsidP="00B91736">
            <w:pPr>
              <w:rPr>
                <w:rFonts w:eastAsia="Times New Roman" w:cs="Times New Roman"/>
                <w:color w:val="000000"/>
                <w:sz w:val="18"/>
                <w:szCs w:val="18"/>
              </w:rPr>
            </w:pPr>
            <w:r w:rsidRPr="009B52F8">
              <w:rPr>
                <w:rFonts w:eastAsia="Times New Roman" w:cs="Times New Roman"/>
                <w:color w:val="000000"/>
                <w:sz w:val="18"/>
                <w:szCs w:val="18"/>
              </w:rPr>
              <w:t>Independent/Supportive Living</w:t>
            </w:r>
          </w:p>
        </w:tc>
        <w:tc>
          <w:tcPr>
            <w:tcW w:w="1356" w:type="dxa"/>
            <w:tcBorders>
              <w:top w:val="nil"/>
              <w:left w:val="nil"/>
              <w:bottom w:val="single" w:sz="4" w:space="0" w:color="808080"/>
              <w:right w:val="nil"/>
            </w:tcBorders>
            <w:shd w:val="clear" w:color="auto" w:fill="auto"/>
            <w:noWrap/>
            <w:vAlign w:val="bottom"/>
            <w:hideMark/>
          </w:tcPr>
          <w:p w14:paraId="425022DC" w14:textId="00B8FA7C"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12</w:t>
            </w:r>
          </w:p>
        </w:tc>
        <w:tc>
          <w:tcPr>
            <w:tcW w:w="1243" w:type="dxa"/>
            <w:tcBorders>
              <w:top w:val="nil"/>
              <w:left w:val="nil"/>
              <w:bottom w:val="single" w:sz="4" w:space="0" w:color="808080"/>
              <w:right w:val="nil"/>
            </w:tcBorders>
            <w:shd w:val="clear" w:color="auto" w:fill="auto"/>
            <w:noWrap/>
            <w:vAlign w:val="bottom"/>
            <w:hideMark/>
          </w:tcPr>
          <w:p w14:paraId="175627CB" w14:textId="77777777" w:rsidR="00B91736" w:rsidRPr="009B52F8" w:rsidRDefault="00B91736" w:rsidP="00B91736">
            <w:pPr>
              <w:jc w:val="right"/>
              <w:rPr>
                <w:rFonts w:eastAsia="Times New Roman" w:cs="Times New Roman"/>
                <w:color w:val="000000"/>
                <w:sz w:val="18"/>
                <w:szCs w:val="18"/>
              </w:rPr>
            </w:pPr>
            <w:r w:rsidRPr="0095144B">
              <w:rPr>
                <w:rFonts w:eastAsia="Times New Roman" w:cs="Times New Roman"/>
                <w:color w:val="000000"/>
                <w:sz w:val="18"/>
                <w:szCs w:val="18"/>
              </w:rPr>
              <w:t xml:space="preserve"> 349 </w:t>
            </w:r>
          </w:p>
        </w:tc>
        <w:tc>
          <w:tcPr>
            <w:tcW w:w="1367" w:type="dxa"/>
            <w:gridSpan w:val="2"/>
            <w:tcBorders>
              <w:top w:val="nil"/>
              <w:left w:val="nil"/>
              <w:bottom w:val="single" w:sz="4" w:space="0" w:color="808080"/>
              <w:right w:val="nil"/>
            </w:tcBorders>
            <w:shd w:val="clear" w:color="auto" w:fill="auto"/>
            <w:noWrap/>
            <w:vAlign w:val="bottom"/>
            <w:hideMark/>
          </w:tcPr>
          <w:p w14:paraId="5F41505D" w14:textId="7C45F74D"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9%</w:t>
            </w:r>
          </w:p>
        </w:tc>
        <w:tc>
          <w:tcPr>
            <w:tcW w:w="1237" w:type="dxa"/>
            <w:tcBorders>
              <w:top w:val="nil"/>
              <w:left w:val="nil"/>
              <w:bottom w:val="single" w:sz="4" w:space="0" w:color="808080"/>
              <w:right w:val="nil"/>
            </w:tcBorders>
            <w:shd w:val="clear" w:color="auto" w:fill="auto"/>
            <w:noWrap/>
            <w:vAlign w:val="bottom"/>
            <w:hideMark/>
          </w:tcPr>
          <w:p w14:paraId="67B4F3C6" w14:textId="77777777" w:rsidR="00B91736" w:rsidRPr="009B52F8" w:rsidRDefault="00B91736" w:rsidP="00B91736">
            <w:pPr>
              <w:jc w:val="right"/>
              <w:rPr>
                <w:rFonts w:eastAsia="Times New Roman" w:cs="Times New Roman"/>
                <w:color w:val="000000"/>
                <w:sz w:val="18"/>
                <w:szCs w:val="18"/>
              </w:rPr>
            </w:pPr>
            <w:r w:rsidRPr="009B52F8">
              <w:rPr>
                <w:rFonts w:eastAsia="Times New Roman" w:cs="Times New Roman"/>
                <w:color w:val="000000"/>
                <w:sz w:val="18"/>
                <w:szCs w:val="18"/>
              </w:rPr>
              <w:t>10%</w:t>
            </w:r>
          </w:p>
        </w:tc>
      </w:tr>
      <w:tr w:rsidR="00B91736" w:rsidRPr="009B52F8" w14:paraId="6F4D25D7" w14:textId="77777777" w:rsidTr="00B91736">
        <w:trPr>
          <w:trHeight w:val="330"/>
        </w:trPr>
        <w:tc>
          <w:tcPr>
            <w:tcW w:w="4329" w:type="dxa"/>
            <w:tcBorders>
              <w:top w:val="nil"/>
              <w:left w:val="nil"/>
              <w:bottom w:val="single" w:sz="4" w:space="0" w:color="808080"/>
              <w:right w:val="nil"/>
            </w:tcBorders>
            <w:shd w:val="clear" w:color="auto" w:fill="auto"/>
            <w:noWrap/>
            <w:vAlign w:val="bottom"/>
            <w:hideMark/>
          </w:tcPr>
          <w:p w14:paraId="1BDCE758" w14:textId="77777777" w:rsidR="00B91736" w:rsidRPr="009B52F8" w:rsidRDefault="00B91736" w:rsidP="00B91736">
            <w:pPr>
              <w:rPr>
                <w:rFonts w:eastAsia="Times New Roman" w:cs="Times New Roman"/>
                <w:color w:val="000000"/>
                <w:sz w:val="18"/>
                <w:szCs w:val="18"/>
              </w:rPr>
            </w:pPr>
            <w:r w:rsidRPr="009B52F8">
              <w:rPr>
                <w:rFonts w:eastAsia="Times New Roman" w:cs="Times New Roman"/>
                <w:color w:val="000000"/>
                <w:sz w:val="18"/>
                <w:szCs w:val="18"/>
              </w:rPr>
              <w:t>Intermediate Care Facility</w:t>
            </w:r>
          </w:p>
        </w:tc>
        <w:tc>
          <w:tcPr>
            <w:tcW w:w="1356" w:type="dxa"/>
            <w:tcBorders>
              <w:top w:val="nil"/>
              <w:left w:val="nil"/>
              <w:bottom w:val="single" w:sz="4" w:space="0" w:color="808080"/>
              <w:right w:val="nil"/>
            </w:tcBorders>
            <w:shd w:val="clear" w:color="auto" w:fill="auto"/>
            <w:noWrap/>
            <w:vAlign w:val="bottom"/>
            <w:hideMark/>
          </w:tcPr>
          <w:p w14:paraId="04A3D27F" w14:textId="443B3E7D"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0</w:t>
            </w:r>
          </w:p>
        </w:tc>
        <w:tc>
          <w:tcPr>
            <w:tcW w:w="1243" w:type="dxa"/>
            <w:tcBorders>
              <w:top w:val="nil"/>
              <w:left w:val="nil"/>
              <w:bottom w:val="single" w:sz="4" w:space="0" w:color="808080"/>
              <w:right w:val="nil"/>
            </w:tcBorders>
            <w:shd w:val="clear" w:color="auto" w:fill="auto"/>
            <w:noWrap/>
            <w:vAlign w:val="bottom"/>
            <w:hideMark/>
          </w:tcPr>
          <w:p w14:paraId="1BCEF61B" w14:textId="77777777" w:rsidR="00B91736" w:rsidRPr="009B52F8" w:rsidRDefault="00B91736" w:rsidP="00B91736">
            <w:pPr>
              <w:jc w:val="right"/>
              <w:rPr>
                <w:rFonts w:eastAsia="Times New Roman" w:cs="Times New Roman"/>
                <w:color w:val="000000"/>
                <w:sz w:val="18"/>
                <w:szCs w:val="18"/>
              </w:rPr>
            </w:pPr>
            <w:r w:rsidRPr="0095144B">
              <w:rPr>
                <w:rFonts w:eastAsia="Times New Roman" w:cs="Times New Roman"/>
                <w:color w:val="000000"/>
                <w:sz w:val="18"/>
                <w:szCs w:val="18"/>
              </w:rPr>
              <w:t xml:space="preserve"> 191 </w:t>
            </w:r>
          </w:p>
        </w:tc>
        <w:tc>
          <w:tcPr>
            <w:tcW w:w="1367" w:type="dxa"/>
            <w:gridSpan w:val="2"/>
            <w:tcBorders>
              <w:top w:val="nil"/>
              <w:left w:val="nil"/>
              <w:bottom w:val="single" w:sz="4" w:space="0" w:color="808080"/>
              <w:right w:val="nil"/>
            </w:tcBorders>
            <w:shd w:val="clear" w:color="auto" w:fill="auto"/>
            <w:noWrap/>
            <w:vAlign w:val="bottom"/>
            <w:hideMark/>
          </w:tcPr>
          <w:p w14:paraId="6DC4247A" w14:textId="17C9E372"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0%</w:t>
            </w:r>
          </w:p>
        </w:tc>
        <w:tc>
          <w:tcPr>
            <w:tcW w:w="1237" w:type="dxa"/>
            <w:tcBorders>
              <w:top w:val="nil"/>
              <w:left w:val="nil"/>
              <w:bottom w:val="single" w:sz="4" w:space="0" w:color="808080"/>
              <w:right w:val="nil"/>
            </w:tcBorders>
            <w:shd w:val="clear" w:color="auto" w:fill="auto"/>
            <w:noWrap/>
            <w:vAlign w:val="bottom"/>
            <w:hideMark/>
          </w:tcPr>
          <w:p w14:paraId="18B83EC7" w14:textId="77777777" w:rsidR="00B91736" w:rsidRPr="009B52F8" w:rsidRDefault="00B91736" w:rsidP="00B91736">
            <w:pPr>
              <w:jc w:val="right"/>
              <w:rPr>
                <w:rFonts w:eastAsia="Times New Roman" w:cs="Times New Roman"/>
                <w:color w:val="000000"/>
                <w:sz w:val="18"/>
                <w:szCs w:val="18"/>
              </w:rPr>
            </w:pPr>
            <w:r w:rsidRPr="009B52F8">
              <w:rPr>
                <w:rFonts w:eastAsia="Times New Roman" w:cs="Times New Roman"/>
                <w:color w:val="000000"/>
                <w:sz w:val="18"/>
                <w:szCs w:val="18"/>
              </w:rPr>
              <w:t>5%</w:t>
            </w:r>
          </w:p>
        </w:tc>
      </w:tr>
      <w:tr w:rsidR="00B91736" w:rsidRPr="009B52F8" w14:paraId="1E05732E" w14:textId="77777777" w:rsidTr="00B91736">
        <w:trPr>
          <w:trHeight w:val="330"/>
        </w:trPr>
        <w:tc>
          <w:tcPr>
            <w:tcW w:w="4329" w:type="dxa"/>
            <w:tcBorders>
              <w:top w:val="nil"/>
              <w:left w:val="nil"/>
              <w:bottom w:val="single" w:sz="4" w:space="0" w:color="auto"/>
              <w:right w:val="nil"/>
            </w:tcBorders>
            <w:shd w:val="clear" w:color="auto" w:fill="auto"/>
            <w:noWrap/>
            <w:vAlign w:val="bottom"/>
            <w:hideMark/>
          </w:tcPr>
          <w:p w14:paraId="7DB1A93B" w14:textId="77777777" w:rsidR="00B91736" w:rsidRPr="009B52F8" w:rsidRDefault="00B91736" w:rsidP="00B91736">
            <w:pPr>
              <w:rPr>
                <w:rFonts w:eastAsia="Times New Roman" w:cs="Times New Roman"/>
                <w:color w:val="000000"/>
                <w:sz w:val="18"/>
                <w:szCs w:val="18"/>
              </w:rPr>
            </w:pPr>
            <w:r w:rsidRPr="009B52F8">
              <w:rPr>
                <w:rFonts w:eastAsia="Times New Roman" w:cs="Times New Roman"/>
                <w:color w:val="000000"/>
                <w:sz w:val="18"/>
                <w:szCs w:val="18"/>
              </w:rPr>
              <w:t>All Others</w:t>
            </w:r>
          </w:p>
        </w:tc>
        <w:tc>
          <w:tcPr>
            <w:tcW w:w="1356" w:type="dxa"/>
            <w:tcBorders>
              <w:top w:val="nil"/>
              <w:left w:val="nil"/>
              <w:bottom w:val="single" w:sz="4" w:space="0" w:color="808080"/>
              <w:right w:val="nil"/>
            </w:tcBorders>
            <w:shd w:val="clear" w:color="auto" w:fill="auto"/>
            <w:noWrap/>
            <w:vAlign w:val="bottom"/>
            <w:hideMark/>
          </w:tcPr>
          <w:p w14:paraId="23B62DA7" w14:textId="35D4E4FC"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3</w:t>
            </w:r>
          </w:p>
        </w:tc>
        <w:tc>
          <w:tcPr>
            <w:tcW w:w="1243" w:type="dxa"/>
            <w:tcBorders>
              <w:top w:val="nil"/>
              <w:left w:val="nil"/>
              <w:bottom w:val="single" w:sz="4" w:space="0" w:color="auto"/>
              <w:right w:val="nil"/>
            </w:tcBorders>
            <w:shd w:val="clear" w:color="auto" w:fill="auto"/>
            <w:noWrap/>
            <w:vAlign w:val="bottom"/>
            <w:hideMark/>
          </w:tcPr>
          <w:p w14:paraId="1F0224D4" w14:textId="77777777" w:rsidR="00B91736" w:rsidRPr="009B52F8" w:rsidRDefault="00B91736" w:rsidP="00B91736">
            <w:pPr>
              <w:jc w:val="right"/>
              <w:rPr>
                <w:rFonts w:eastAsia="Times New Roman" w:cs="Times New Roman"/>
                <w:color w:val="000000"/>
                <w:sz w:val="18"/>
                <w:szCs w:val="18"/>
              </w:rPr>
            </w:pPr>
            <w:r w:rsidRPr="0095144B">
              <w:rPr>
                <w:rFonts w:eastAsia="Times New Roman" w:cs="Times New Roman"/>
                <w:color w:val="000000"/>
                <w:sz w:val="18"/>
                <w:szCs w:val="18"/>
              </w:rPr>
              <w:t xml:space="preserve"> 60 </w:t>
            </w:r>
          </w:p>
        </w:tc>
        <w:tc>
          <w:tcPr>
            <w:tcW w:w="1367" w:type="dxa"/>
            <w:gridSpan w:val="2"/>
            <w:tcBorders>
              <w:top w:val="nil"/>
              <w:left w:val="nil"/>
              <w:bottom w:val="single" w:sz="4" w:space="0" w:color="808080"/>
              <w:right w:val="nil"/>
            </w:tcBorders>
            <w:shd w:val="clear" w:color="auto" w:fill="auto"/>
            <w:noWrap/>
            <w:vAlign w:val="bottom"/>
            <w:hideMark/>
          </w:tcPr>
          <w:p w14:paraId="304BA598" w14:textId="76BF8B86"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2%</w:t>
            </w:r>
          </w:p>
        </w:tc>
        <w:tc>
          <w:tcPr>
            <w:tcW w:w="1237" w:type="dxa"/>
            <w:tcBorders>
              <w:top w:val="nil"/>
              <w:left w:val="nil"/>
              <w:bottom w:val="single" w:sz="4" w:space="0" w:color="auto"/>
              <w:right w:val="nil"/>
            </w:tcBorders>
            <w:shd w:val="clear" w:color="auto" w:fill="auto"/>
            <w:noWrap/>
            <w:vAlign w:val="bottom"/>
            <w:hideMark/>
          </w:tcPr>
          <w:p w14:paraId="611C841F" w14:textId="77777777" w:rsidR="00B91736" w:rsidRPr="009B52F8" w:rsidRDefault="00B91736" w:rsidP="00B91736">
            <w:pPr>
              <w:jc w:val="right"/>
              <w:rPr>
                <w:rFonts w:eastAsia="Times New Roman" w:cs="Times New Roman"/>
                <w:color w:val="000000"/>
                <w:sz w:val="18"/>
                <w:szCs w:val="18"/>
              </w:rPr>
            </w:pPr>
            <w:r w:rsidRPr="009B52F8">
              <w:rPr>
                <w:rFonts w:eastAsia="Times New Roman" w:cs="Times New Roman"/>
                <w:color w:val="000000"/>
                <w:sz w:val="18"/>
                <w:szCs w:val="18"/>
              </w:rPr>
              <w:t>2%</w:t>
            </w:r>
          </w:p>
        </w:tc>
      </w:tr>
      <w:tr w:rsidR="00B91736" w:rsidRPr="009B52F8" w14:paraId="077725F1" w14:textId="77777777" w:rsidTr="00B91736">
        <w:trPr>
          <w:trHeight w:val="300"/>
        </w:trPr>
        <w:tc>
          <w:tcPr>
            <w:tcW w:w="4329" w:type="dxa"/>
            <w:tcBorders>
              <w:top w:val="nil"/>
              <w:left w:val="nil"/>
              <w:bottom w:val="single" w:sz="4" w:space="0" w:color="auto"/>
              <w:right w:val="nil"/>
            </w:tcBorders>
            <w:shd w:val="clear" w:color="auto" w:fill="auto"/>
            <w:noWrap/>
            <w:vAlign w:val="bottom"/>
            <w:hideMark/>
          </w:tcPr>
          <w:p w14:paraId="52205DFD" w14:textId="77777777" w:rsidR="00B91736" w:rsidRPr="009B52F8" w:rsidRDefault="00B91736" w:rsidP="00B91736">
            <w:pPr>
              <w:rPr>
                <w:rFonts w:eastAsia="Times New Roman" w:cs="Times New Roman"/>
                <w:color w:val="000000"/>
                <w:sz w:val="18"/>
                <w:szCs w:val="18"/>
              </w:rPr>
            </w:pPr>
            <w:r>
              <w:rPr>
                <w:rFonts w:eastAsia="Times New Roman" w:cs="Times New Roman"/>
                <w:color w:val="000000"/>
                <w:sz w:val="18"/>
                <w:szCs w:val="18"/>
              </w:rPr>
              <w:t>Total</w:t>
            </w:r>
          </w:p>
        </w:tc>
        <w:tc>
          <w:tcPr>
            <w:tcW w:w="1356" w:type="dxa"/>
            <w:tcBorders>
              <w:top w:val="single" w:sz="4" w:space="0" w:color="auto"/>
              <w:left w:val="nil"/>
              <w:bottom w:val="single" w:sz="4" w:space="0" w:color="auto"/>
              <w:right w:val="nil"/>
            </w:tcBorders>
            <w:shd w:val="clear" w:color="auto" w:fill="auto"/>
            <w:noWrap/>
            <w:vAlign w:val="bottom"/>
            <w:hideMark/>
          </w:tcPr>
          <w:p w14:paraId="3EC2882E" w14:textId="0B591F60"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138</w:t>
            </w:r>
          </w:p>
        </w:tc>
        <w:tc>
          <w:tcPr>
            <w:tcW w:w="1243" w:type="dxa"/>
            <w:tcBorders>
              <w:top w:val="nil"/>
              <w:left w:val="nil"/>
              <w:bottom w:val="single" w:sz="4" w:space="0" w:color="auto"/>
              <w:right w:val="nil"/>
            </w:tcBorders>
            <w:shd w:val="clear" w:color="auto" w:fill="auto"/>
            <w:noWrap/>
            <w:vAlign w:val="bottom"/>
            <w:hideMark/>
          </w:tcPr>
          <w:p w14:paraId="47EF1B50" w14:textId="77777777" w:rsidR="00B91736" w:rsidRPr="009B52F8" w:rsidRDefault="00B91736" w:rsidP="00B91736">
            <w:pPr>
              <w:jc w:val="right"/>
              <w:rPr>
                <w:rFonts w:eastAsia="Times New Roman" w:cs="Times New Roman"/>
                <w:color w:val="000000"/>
                <w:sz w:val="18"/>
                <w:szCs w:val="18"/>
              </w:rPr>
            </w:pPr>
            <w:r w:rsidRPr="0095144B">
              <w:rPr>
                <w:rFonts w:eastAsia="Times New Roman" w:cs="Times New Roman"/>
                <w:color w:val="000000"/>
                <w:sz w:val="18"/>
                <w:szCs w:val="18"/>
              </w:rPr>
              <w:t xml:space="preserve"> 3,494 </w:t>
            </w:r>
          </w:p>
        </w:tc>
        <w:tc>
          <w:tcPr>
            <w:tcW w:w="1367" w:type="dxa"/>
            <w:gridSpan w:val="2"/>
            <w:tcBorders>
              <w:top w:val="single" w:sz="4" w:space="0" w:color="auto"/>
              <w:left w:val="nil"/>
              <w:bottom w:val="single" w:sz="4" w:space="0" w:color="auto"/>
              <w:right w:val="nil"/>
            </w:tcBorders>
            <w:shd w:val="clear" w:color="auto" w:fill="auto"/>
            <w:noWrap/>
            <w:vAlign w:val="bottom"/>
            <w:hideMark/>
          </w:tcPr>
          <w:p w14:paraId="3AF7944B" w14:textId="3A0E7832" w:rsidR="00B91736" w:rsidRPr="001D1AA9" w:rsidRDefault="00B91736" w:rsidP="00B91736">
            <w:pPr>
              <w:jc w:val="right"/>
              <w:rPr>
                <w:rFonts w:eastAsia="Times New Roman" w:cs="Times New Roman"/>
                <w:color w:val="000000"/>
                <w:sz w:val="18"/>
                <w:szCs w:val="18"/>
                <w:highlight w:val="yellow"/>
              </w:rPr>
            </w:pPr>
            <w:r w:rsidRPr="005946CE">
              <w:rPr>
                <w:rFonts w:eastAsia="Times New Roman" w:cs="Times New Roman"/>
                <w:color w:val="000000"/>
                <w:sz w:val="18"/>
                <w:szCs w:val="18"/>
              </w:rPr>
              <w:t>100%</w:t>
            </w:r>
          </w:p>
        </w:tc>
        <w:tc>
          <w:tcPr>
            <w:tcW w:w="1237" w:type="dxa"/>
            <w:tcBorders>
              <w:top w:val="nil"/>
              <w:left w:val="nil"/>
              <w:bottom w:val="single" w:sz="4" w:space="0" w:color="auto"/>
              <w:right w:val="nil"/>
            </w:tcBorders>
            <w:shd w:val="clear" w:color="auto" w:fill="auto"/>
            <w:noWrap/>
            <w:vAlign w:val="bottom"/>
            <w:hideMark/>
          </w:tcPr>
          <w:p w14:paraId="4700DEFB" w14:textId="77777777" w:rsidR="00B91736" w:rsidRPr="009B52F8" w:rsidRDefault="00B91736" w:rsidP="00B91736">
            <w:pPr>
              <w:jc w:val="right"/>
              <w:rPr>
                <w:rFonts w:eastAsia="Times New Roman" w:cs="Times New Roman"/>
                <w:color w:val="000000"/>
                <w:sz w:val="18"/>
                <w:szCs w:val="18"/>
              </w:rPr>
            </w:pPr>
            <w:r w:rsidRPr="009B52F8">
              <w:rPr>
                <w:rFonts w:eastAsia="Times New Roman" w:cs="Times New Roman"/>
                <w:color w:val="000000"/>
                <w:sz w:val="18"/>
                <w:szCs w:val="18"/>
              </w:rPr>
              <w:t>100%</w:t>
            </w:r>
          </w:p>
        </w:tc>
      </w:tr>
      <w:tr w:rsidR="00B91736" w:rsidRPr="009B52F8" w14:paraId="4698C4D9" w14:textId="77777777" w:rsidTr="00B91736">
        <w:trPr>
          <w:gridAfter w:val="2"/>
          <w:wAfter w:w="1291" w:type="dxa"/>
          <w:trHeight w:val="300"/>
        </w:trPr>
        <w:tc>
          <w:tcPr>
            <w:tcW w:w="8241" w:type="dxa"/>
            <w:gridSpan w:val="4"/>
            <w:tcBorders>
              <w:top w:val="single" w:sz="4" w:space="0" w:color="auto"/>
              <w:left w:val="nil"/>
              <w:bottom w:val="nil"/>
              <w:right w:val="nil"/>
            </w:tcBorders>
            <w:shd w:val="clear" w:color="auto" w:fill="auto"/>
            <w:noWrap/>
            <w:vAlign w:val="bottom"/>
            <w:hideMark/>
          </w:tcPr>
          <w:p w14:paraId="00F75177" w14:textId="77777777" w:rsidR="00B91736" w:rsidRPr="00C979B6" w:rsidRDefault="00B91736" w:rsidP="00B91736">
            <w:pPr>
              <w:spacing w:line="240" w:lineRule="auto"/>
              <w:rPr>
                <w:rFonts w:eastAsia="Times New Roman" w:cs="Times New Roman"/>
                <w:iCs/>
                <w:sz w:val="12"/>
                <w:szCs w:val="16"/>
              </w:rPr>
            </w:pPr>
          </w:p>
          <w:p w14:paraId="2AFCFD93" w14:textId="77777777" w:rsidR="00B91736" w:rsidRPr="00C979B6" w:rsidRDefault="00B91736" w:rsidP="00B91736">
            <w:pPr>
              <w:spacing w:line="240" w:lineRule="auto"/>
              <w:rPr>
                <w:rFonts w:eastAsia="Times New Roman" w:cs="Times New Roman"/>
                <w:iCs/>
                <w:sz w:val="18"/>
                <w:szCs w:val="16"/>
              </w:rPr>
            </w:pPr>
            <w:r w:rsidRPr="00C979B6">
              <w:rPr>
                <w:rFonts w:eastAsia="Times New Roman" w:cs="Times New Roman"/>
                <w:iCs/>
                <w:sz w:val="18"/>
                <w:szCs w:val="16"/>
              </w:rPr>
              <w:t>Source: Golden Gate Regional Center</w:t>
            </w:r>
            <w:r>
              <w:rPr>
                <w:rFonts w:eastAsia="Times New Roman" w:cs="Times New Roman"/>
                <w:iCs/>
                <w:sz w:val="18"/>
                <w:szCs w:val="16"/>
              </w:rPr>
              <w:t xml:space="preserve">, 2013.  </w:t>
            </w:r>
            <w:r w:rsidRPr="00C979B6">
              <w:rPr>
                <w:rFonts w:eastAsia="Times New Roman" w:cs="Times New Roman"/>
                <w:iCs/>
                <w:sz w:val="18"/>
                <w:szCs w:val="16"/>
              </w:rPr>
              <w:t>Counts based on zip</w:t>
            </w:r>
            <w:r>
              <w:rPr>
                <w:rFonts w:eastAsia="Times New Roman" w:cs="Times New Roman"/>
                <w:iCs/>
                <w:sz w:val="18"/>
                <w:szCs w:val="16"/>
              </w:rPr>
              <w:t xml:space="preserve"> </w:t>
            </w:r>
            <w:r w:rsidRPr="00C979B6">
              <w:rPr>
                <w:rFonts w:eastAsia="Times New Roman" w:cs="Times New Roman"/>
                <w:iCs/>
                <w:sz w:val="18"/>
                <w:szCs w:val="16"/>
              </w:rPr>
              <w:t xml:space="preserve">code and may include </w:t>
            </w:r>
            <w:r>
              <w:rPr>
                <w:rFonts w:eastAsia="Times New Roman" w:cs="Times New Roman"/>
                <w:iCs/>
                <w:sz w:val="18"/>
                <w:szCs w:val="16"/>
              </w:rPr>
              <w:t xml:space="preserve">small </w:t>
            </w:r>
            <w:r w:rsidRPr="00C979B6">
              <w:rPr>
                <w:rFonts w:eastAsia="Times New Roman" w:cs="Times New Roman"/>
                <w:iCs/>
                <w:sz w:val="18"/>
                <w:szCs w:val="16"/>
              </w:rPr>
              <w:t>areas outside of jurisdictional borders.</w:t>
            </w:r>
          </w:p>
        </w:tc>
      </w:tr>
    </w:tbl>
    <w:p w14:paraId="6DC49301" w14:textId="77777777" w:rsidR="00B91736" w:rsidRPr="002E5694" w:rsidRDefault="00B91736" w:rsidP="00B91736">
      <w:pPr>
        <w:rPr>
          <w:b/>
        </w:rPr>
      </w:pPr>
    </w:p>
    <w:p w14:paraId="78652A4E" w14:textId="1CC9BF98" w:rsidR="002F20B5" w:rsidRPr="002E5694" w:rsidRDefault="00C979B6" w:rsidP="00067077">
      <w:pPr>
        <w:pStyle w:val="21ElementsText"/>
      </w:pPr>
      <w:r>
        <w:t>According to the Golden Gate Regional Center (GGRC), t</w:t>
      </w:r>
      <w:r w:rsidR="002F20B5" w:rsidRPr="002E5694">
        <w:t>rends that are affecting people with developmental disabilities include California’s moves to reduce institutionalization, ageing family caregivers not being able to continue providing in-house care and the growing wave of people with autism.</w:t>
      </w:r>
    </w:p>
    <w:p w14:paraId="5C14EC51" w14:textId="77777777" w:rsidR="002F20B5" w:rsidRPr="002E5694" w:rsidRDefault="002F20B5" w:rsidP="00067077">
      <w:pPr>
        <w:pStyle w:val="21ElementsText"/>
      </w:pPr>
    </w:p>
    <w:p w14:paraId="29BAD48A" w14:textId="77777777" w:rsidR="002F20B5" w:rsidRPr="002E5694" w:rsidRDefault="002F20B5" w:rsidP="00067077">
      <w:pPr>
        <w:pStyle w:val="21ElementsText"/>
      </w:pPr>
      <w:r w:rsidRPr="002E5694">
        <w:rPr>
          <w:b/>
        </w:rPr>
        <w:t xml:space="preserve">Deinstitutionalization – </w:t>
      </w:r>
      <w:r w:rsidRPr="002E5694">
        <w:t xml:space="preserve">In 1977, California passed the Lanterman Developmentally Disabled Services Act, to minimize the institutionalization of developmentally disabled people, help them remain in their communities, and to allow them to live their lives as similar to non-disabled people as possible. To accomplish this end the </w:t>
      </w:r>
      <w:r>
        <w:t>S</w:t>
      </w:r>
      <w:r w:rsidRPr="002E5694">
        <w:t>tate has been closing large institutional care facilities, resulting in more people with disabilities being integrated into the community.</w:t>
      </w:r>
      <w:r>
        <w:t xml:space="preserve"> </w:t>
      </w:r>
      <w:r w:rsidRPr="002E5694">
        <w:t>However, this has increased the demand for community</w:t>
      </w:r>
      <w:r>
        <w:t>-</w:t>
      </w:r>
      <w:r w:rsidRPr="002E5694">
        <w:t xml:space="preserve">based independent living options to serve the needs of the developmentally disabled. </w:t>
      </w:r>
    </w:p>
    <w:p w14:paraId="7F78884C" w14:textId="77777777" w:rsidR="002F20B5" w:rsidRPr="002E5694" w:rsidRDefault="002F20B5" w:rsidP="00067077">
      <w:pPr>
        <w:pStyle w:val="21ElementsText"/>
      </w:pPr>
    </w:p>
    <w:p w14:paraId="2794D495" w14:textId="77777777" w:rsidR="00D44C9E" w:rsidRPr="002E5694" w:rsidRDefault="00D44C9E" w:rsidP="00D44C9E">
      <w:pPr>
        <w:pStyle w:val="21ElementsText"/>
      </w:pPr>
      <w:r w:rsidRPr="002E5694">
        <w:rPr>
          <w:b/>
        </w:rPr>
        <w:t xml:space="preserve">Aging Baby Boomers Unable to Care for </w:t>
      </w:r>
      <w:r>
        <w:rPr>
          <w:b/>
        </w:rPr>
        <w:t>t</w:t>
      </w:r>
      <w:r w:rsidRPr="002E5694">
        <w:rPr>
          <w:b/>
        </w:rPr>
        <w:t>heir Children with Developmental Disabilities</w:t>
      </w:r>
      <w:r>
        <w:t xml:space="preserve"> – As displayed in the table below, a</w:t>
      </w:r>
      <w:r w:rsidRPr="002E5694">
        <w:t>lmost three quarters of people with developmental disabilities live with a parent or caregiver, and many of these caregivers are baby boomers. As these caregivers age their ability to continue to care for their developmentally disabled children will decrease to the point where it is no longer possible. This trend is also going to be a factor in the increased need for community</w:t>
      </w:r>
      <w:r>
        <w:t>-</w:t>
      </w:r>
      <w:r w:rsidRPr="002E5694">
        <w:t xml:space="preserve">based independent living options for the developmentally disabled. Many service delivery systems and communities are not prepared to meet the increasing need. </w:t>
      </w:r>
    </w:p>
    <w:p w14:paraId="1B1E03D0" w14:textId="77777777" w:rsidR="002F20B5" w:rsidRPr="002E5694" w:rsidRDefault="002F20B5" w:rsidP="00067077">
      <w:pPr>
        <w:pStyle w:val="21ElementsText"/>
      </w:pPr>
    </w:p>
    <w:p w14:paraId="69850565" w14:textId="77777777" w:rsidR="002F20B5" w:rsidRDefault="002F20B5" w:rsidP="00067077">
      <w:pPr>
        <w:pStyle w:val="21ElementsText"/>
      </w:pPr>
      <w:r w:rsidRPr="002E5694">
        <w:rPr>
          <w:b/>
        </w:rPr>
        <w:t xml:space="preserve">Increasing Numbers of People with Autism - </w:t>
      </w:r>
      <w:r>
        <w:t>A</w:t>
      </w:r>
      <w:r w:rsidRPr="002E5694">
        <w:t xml:space="preserve"> large number of people with developmental disabilities have autism. They have been brought up as independent members of the community and want to remain independent and involved in the community. There is a coming need to supply community</w:t>
      </w:r>
      <w:r>
        <w:t>-</w:t>
      </w:r>
      <w:r w:rsidRPr="002E5694">
        <w:t>based independent living options for these individuals.</w:t>
      </w:r>
    </w:p>
    <w:p w14:paraId="554A1844" w14:textId="77777777" w:rsidR="00D44C9E" w:rsidRDefault="00D44C9E" w:rsidP="00067077">
      <w:pPr>
        <w:pStyle w:val="21ElementsText"/>
      </w:pPr>
    </w:p>
    <w:p w14:paraId="1691CD69" w14:textId="77777777" w:rsidR="00D44C9E" w:rsidRDefault="00D44C9E" w:rsidP="00067077">
      <w:pPr>
        <w:pStyle w:val="21ElementsText"/>
      </w:pPr>
    </w:p>
    <w:p w14:paraId="7281ED6A" w14:textId="77777777" w:rsidR="00D44C9E" w:rsidRDefault="00D44C9E" w:rsidP="00067077">
      <w:pPr>
        <w:pStyle w:val="21ElementsText"/>
      </w:pPr>
    </w:p>
    <w:p w14:paraId="7D7DE527" w14:textId="77777777" w:rsidR="00D44C9E" w:rsidRDefault="00D44C9E" w:rsidP="00067077">
      <w:pPr>
        <w:pStyle w:val="21ElementsText"/>
      </w:pPr>
    </w:p>
    <w:p w14:paraId="61CD0DDD" w14:textId="77777777" w:rsidR="00D44C9E" w:rsidRDefault="00D44C9E" w:rsidP="00067077">
      <w:pPr>
        <w:pStyle w:val="21ElementsText"/>
      </w:pPr>
    </w:p>
    <w:p w14:paraId="1299CB81" w14:textId="77777777" w:rsidR="00D44C9E" w:rsidRDefault="00D44C9E" w:rsidP="00067077">
      <w:pPr>
        <w:pStyle w:val="21ElementsText"/>
      </w:pPr>
    </w:p>
    <w:p w14:paraId="3120BCC6" w14:textId="77777777" w:rsidR="00D44C9E" w:rsidRDefault="00D44C9E" w:rsidP="00067077">
      <w:pPr>
        <w:pStyle w:val="21ElementsText"/>
      </w:pPr>
    </w:p>
    <w:p w14:paraId="4FF6D883" w14:textId="77777777" w:rsidR="00D44C9E" w:rsidRDefault="00D44C9E" w:rsidP="00067077">
      <w:pPr>
        <w:pStyle w:val="21ElementsText"/>
      </w:pPr>
    </w:p>
    <w:p w14:paraId="4BDCF899" w14:textId="77777777" w:rsidR="00D44C9E" w:rsidRPr="002E5694" w:rsidRDefault="00D44C9E" w:rsidP="00067077">
      <w:pPr>
        <w:pStyle w:val="21ElementsText"/>
      </w:pPr>
    </w:p>
    <w:tbl>
      <w:tblPr>
        <w:tblW w:w="9049" w:type="dxa"/>
        <w:tblInd w:w="93" w:type="dxa"/>
        <w:tblLook w:val="04A0" w:firstRow="1" w:lastRow="0" w:firstColumn="1" w:lastColumn="0" w:noHBand="0" w:noVBand="1"/>
      </w:tblPr>
      <w:tblGrid>
        <w:gridCol w:w="1072"/>
        <w:gridCol w:w="1041"/>
        <w:gridCol w:w="739"/>
        <w:gridCol w:w="991"/>
        <w:gridCol w:w="1145"/>
        <w:gridCol w:w="949"/>
        <w:gridCol w:w="1055"/>
        <w:gridCol w:w="937"/>
        <w:gridCol w:w="1120"/>
      </w:tblGrid>
      <w:tr w:rsidR="00D44C9E" w:rsidRPr="00790BEA" w14:paraId="4EDE5A94" w14:textId="77777777" w:rsidTr="007D6861">
        <w:trPr>
          <w:trHeight w:val="269"/>
        </w:trPr>
        <w:tc>
          <w:tcPr>
            <w:tcW w:w="9049" w:type="dxa"/>
            <w:gridSpan w:val="9"/>
            <w:tcBorders>
              <w:top w:val="single" w:sz="8" w:space="0" w:color="808080"/>
              <w:left w:val="nil"/>
              <w:bottom w:val="nil"/>
              <w:right w:val="nil"/>
            </w:tcBorders>
            <w:shd w:val="clear" w:color="000000" w:fill="000000"/>
            <w:noWrap/>
            <w:vAlign w:val="center"/>
            <w:hideMark/>
          </w:tcPr>
          <w:p w14:paraId="2B0DE386" w14:textId="77777777" w:rsidR="00D44C9E" w:rsidRPr="00790BEA" w:rsidRDefault="00D44C9E" w:rsidP="007D6861">
            <w:pPr>
              <w:spacing w:line="240" w:lineRule="auto"/>
              <w:rPr>
                <w:rFonts w:eastAsia="Times New Roman" w:cs="Times New Roman"/>
                <w:b/>
                <w:bCs/>
                <w:color w:val="FFFFFF"/>
                <w:sz w:val="18"/>
                <w:szCs w:val="18"/>
              </w:rPr>
            </w:pPr>
            <w:r w:rsidRPr="00790BEA">
              <w:rPr>
                <w:rFonts w:eastAsia="Times New Roman" w:cs="Times New Roman"/>
                <w:b/>
                <w:bCs/>
                <w:color w:val="FFFFFF"/>
                <w:sz w:val="18"/>
                <w:szCs w:val="18"/>
              </w:rPr>
              <w:t>Living Arrangements of People with Developmental Disabilities in San Mateo County (2014)</w:t>
            </w:r>
          </w:p>
        </w:tc>
      </w:tr>
      <w:tr w:rsidR="00D44C9E" w:rsidRPr="00790BEA" w14:paraId="4EE76A7D" w14:textId="77777777" w:rsidTr="007D6861">
        <w:trPr>
          <w:trHeight w:val="358"/>
        </w:trPr>
        <w:tc>
          <w:tcPr>
            <w:tcW w:w="1072" w:type="dxa"/>
            <w:tcBorders>
              <w:top w:val="nil"/>
              <w:left w:val="nil"/>
              <w:bottom w:val="nil"/>
              <w:right w:val="nil"/>
            </w:tcBorders>
            <w:shd w:val="clear" w:color="auto" w:fill="auto"/>
            <w:vAlign w:val="center"/>
            <w:hideMark/>
          </w:tcPr>
          <w:p w14:paraId="4345C3DF" w14:textId="77777777" w:rsidR="00D44C9E" w:rsidRPr="00790BEA" w:rsidRDefault="00D44C9E" w:rsidP="007D6861">
            <w:pPr>
              <w:spacing w:line="240" w:lineRule="auto"/>
              <w:rPr>
                <w:rFonts w:eastAsia="Times New Roman" w:cs="Times New Roman"/>
                <w:b/>
                <w:bCs/>
                <w:color w:val="000000"/>
                <w:sz w:val="12"/>
                <w:szCs w:val="12"/>
              </w:rPr>
            </w:pPr>
          </w:p>
        </w:tc>
        <w:tc>
          <w:tcPr>
            <w:tcW w:w="1041" w:type="dxa"/>
            <w:vMerge w:val="restart"/>
            <w:tcBorders>
              <w:top w:val="nil"/>
              <w:left w:val="nil"/>
              <w:bottom w:val="single" w:sz="8" w:space="0" w:color="808080"/>
              <w:right w:val="nil"/>
            </w:tcBorders>
            <w:shd w:val="clear" w:color="auto" w:fill="auto"/>
            <w:vAlign w:val="center"/>
            <w:hideMark/>
          </w:tcPr>
          <w:p w14:paraId="66780F43" w14:textId="77777777" w:rsidR="00D44C9E" w:rsidRPr="00790BEA" w:rsidRDefault="00D44C9E" w:rsidP="007D6861">
            <w:pPr>
              <w:spacing w:line="240" w:lineRule="auto"/>
              <w:jc w:val="right"/>
              <w:rPr>
                <w:rFonts w:eastAsia="Times New Roman" w:cs="Times New Roman"/>
                <w:b/>
                <w:bCs/>
                <w:color w:val="000000"/>
                <w:sz w:val="18"/>
                <w:szCs w:val="18"/>
              </w:rPr>
            </w:pPr>
            <w:r w:rsidRPr="00790BEA">
              <w:rPr>
                <w:rFonts w:eastAsia="Times New Roman" w:cs="Times New Roman"/>
                <w:b/>
                <w:bCs/>
                <w:color w:val="000000"/>
                <w:sz w:val="18"/>
                <w:szCs w:val="18"/>
              </w:rPr>
              <w:t>Home of Parent or Guardian</w:t>
            </w:r>
          </w:p>
        </w:tc>
        <w:tc>
          <w:tcPr>
            <w:tcW w:w="739" w:type="dxa"/>
            <w:vMerge w:val="restart"/>
            <w:tcBorders>
              <w:top w:val="nil"/>
              <w:left w:val="nil"/>
              <w:bottom w:val="single" w:sz="8" w:space="0" w:color="808080"/>
              <w:right w:val="nil"/>
            </w:tcBorders>
            <w:shd w:val="clear" w:color="auto" w:fill="auto"/>
            <w:vAlign w:val="center"/>
            <w:hideMark/>
          </w:tcPr>
          <w:p w14:paraId="26EE6199" w14:textId="77777777" w:rsidR="00D44C9E" w:rsidRPr="00790BEA" w:rsidRDefault="00D44C9E" w:rsidP="007D6861">
            <w:pPr>
              <w:spacing w:line="240" w:lineRule="auto"/>
              <w:jc w:val="right"/>
              <w:rPr>
                <w:rFonts w:eastAsia="Times New Roman" w:cs="Times New Roman"/>
                <w:b/>
                <w:bCs/>
                <w:color w:val="000000"/>
                <w:sz w:val="18"/>
                <w:szCs w:val="18"/>
              </w:rPr>
            </w:pPr>
            <w:r w:rsidRPr="00790BEA">
              <w:rPr>
                <w:rFonts w:eastAsia="Times New Roman" w:cs="Times New Roman"/>
                <w:b/>
                <w:bCs/>
                <w:color w:val="000000"/>
                <w:sz w:val="18"/>
                <w:szCs w:val="18"/>
              </w:rPr>
              <w:t>Own Home</w:t>
            </w:r>
          </w:p>
        </w:tc>
        <w:tc>
          <w:tcPr>
            <w:tcW w:w="991" w:type="dxa"/>
            <w:vMerge w:val="restart"/>
            <w:tcBorders>
              <w:top w:val="nil"/>
              <w:left w:val="nil"/>
              <w:bottom w:val="single" w:sz="8" w:space="0" w:color="808080"/>
              <w:right w:val="nil"/>
            </w:tcBorders>
            <w:shd w:val="clear" w:color="auto" w:fill="auto"/>
            <w:vAlign w:val="center"/>
            <w:hideMark/>
          </w:tcPr>
          <w:p w14:paraId="2222DF69" w14:textId="77777777" w:rsidR="00D44C9E" w:rsidRPr="00790BEA" w:rsidRDefault="00D44C9E" w:rsidP="007D6861">
            <w:pPr>
              <w:spacing w:line="240" w:lineRule="auto"/>
              <w:jc w:val="right"/>
              <w:rPr>
                <w:rFonts w:eastAsia="Times New Roman" w:cs="Times New Roman"/>
                <w:b/>
                <w:bCs/>
                <w:color w:val="000000"/>
                <w:sz w:val="18"/>
                <w:szCs w:val="18"/>
              </w:rPr>
            </w:pPr>
            <w:r w:rsidRPr="00790BEA">
              <w:rPr>
                <w:rFonts w:eastAsia="Times New Roman" w:cs="Times New Roman"/>
                <w:b/>
                <w:bCs/>
                <w:color w:val="000000"/>
                <w:sz w:val="18"/>
                <w:szCs w:val="18"/>
              </w:rPr>
              <w:t>Licensed Group Home</w:t>
            </w:r>
          </w:p>
        </w:tc>
        <w:tc>
          <w:tcPr>
            <w:tcW w:w="1145" w:type="dxa"/>
            <w:vMerge w:val="restart"/>
            <w:tcBorders>
              <w:top w:val="nil"/>
              <w:left w:val="nil"/>
              <w:bottom w:val="single" w:sz="8" w:space="0" w:color="808080"/>
              <w:right w:val="nil"/>
            </w:tcBorders>
            <w:shd w:val="clear" w:color="auto" w:fill="auto"/>
            <w:vAlign w:val="center"/>
            <w:hideMark/>
          </w:tcPr>
          <w:p w14:paraId="2EE174CB" w14:textId="77777777" w:rsidR="00D44C9E" w:rsidRPr="00790BEA" w:rsidRDefault="00D44C9E" w:rsidP="007D6861">
            <w:pPr>
              <w:spacing w:line="240" w:lineRule="auto"/>
              <w:jc w:val="center"/>
              <w:rPr>
                <w:rFonts w:eastAsia="Times New Roman" w:cs="Times New Roman"/>
                <w:b/>
                <w:bCs/>
                <w:color w:val="000000"/>
                <w:sz w:val="18"/>
                <w:szCs w:val="18"/>
              </w:rPr>
            </w:pPr>
            <w:r w:rsidRPr="00790BEA">
              <w:rPr>
                <w:rFonts w:eastAsia="Times New Roman" w:cs="Times New Roman"/>
                <w:b/>
                <w:bCs/>
                <w:color w:val="000000"/>
                <w:sz w:val="18"/>
                <w:szCs w:val="18"/>
              </w:rPr>
              <w:t>Licensed Health Care Facility</w:t>
            </w:r>
          </w:p>
        </w:tc>
        <w:tc>
          <w:tcPr>
            <w:tcW w:w="949" w:type="dxa"/>
            <w:vMerge w:val="restart"/>
            <w:tcBorders>
              <w:top w:val="nil"/>
              <w:left w:val="nil"/>
              <w:bottom w:val="single" w:sz="8" w:space="0" w:color="808080"/>
              <w:right w:val="nil"/>
            </w:tcBorders>
            <w:shd w:val="clear" w:color="auto" w:fill="auto"/>
            <w:vAlign w:val="center"/>
            <w:hideMark/>
          </w:tcPr>
          <w:p w14:paraId="1A4A6BB0" w14:textId="77777777" w:rsidR="00D44C9E" w:rsidRPr="00790BEA" w:rsidRDefault="00D44C9E" w:rsidP="007D6861">
            <w:pPr>
              <w:spacing w:line="240" w:lineRule="auto"/>
              <w:jc w:val="center"/>
              <w:rPr>
                <w:rFonts w:eastAsia="Times New Roman" w:cs="Times New Roman"/>
                <w:b/>
                <w:bCs/>
                <w:color w:val="000000"/>
                <w:sz w:val="18"/>
                <w:szCs w:val="18"/>
              </w:rPr>
            </w:pPr>
            <w:r w:rsidRPr="00790BEA">
              <w:rPr>
                <w:rFonts w:eastAsia="Times New Roman" w:cs="Times New Roman"/>
                <w:b/>
                <w:bCs/>
                <w:color w:val="000000"/>
                <w:sz w:val="18"/>
                <w:szCs w:val="18"/>
              </w:rPr>
              <w:t>Foster-Type Care</w:t>
            </w:r>
          </w:p>
        </w:tc>
        <w:tc>
          <w:tcPr>
            <w:tcW w:w="1055" w:type="dxa"/>
            <w:vMerge w:val="restart"/>
            <w:tcBorders>
              <w:top w:val="nil"/>
              <w:left w:val="nil"/>
              <w:bottom w:val="single" w:sz="8" w:space="0" w:color="808080"/>
              <w:right w:val="nil"/>
            </w:tcBorders>
            <w:shd w:val="clear" w:color="auto" w:fill="auto"/>
            <w:vAlign w:val="center"/>
            <w:hideMark/>
          </w:tcPr>
          <w:p w14:paraId="3411ED8B" w14:textId="77777777" w:rsidR="00D44C9E" w:rsidRPr="00790BEA" w:rsidRDefault="00D44C9E" w:rsidP="007D6861">
            <w:pPr>
              <w:spacing w:line="240" w:lineRule="auto"/>
              <w:jc w:val="right"/>
              <w:rPr>
                <w:rFonts w:eastAsia="Times New Roman" w:cs="Times New Roman"/>
                <w:b/>
                <w:bCs/>
                <w:color w:val="000000"/>
                <w:sz w:val="18"/>
                <w:szCs w:val="18"/>
              </w:rPr>
            </w:pPr>
            <w:r w:rsidRPr="00790BEA">
              <w:rPr>
                <w:rFonts w:eastAsia="Times New Roman" w:cs="Times New Roman"/>
                <w:b/>
                <w:bCs/>
                <w:color w:val="000000"/>
                <w:sz w:val="18"/>
                <w:szCs w:val="18"/>
              </w:rPr>
              <w:t>Homeless</w:t>
            </w:r>
          </w:p>
        </w:tc>
        <w:tc>
          <w:tcPr>
            <w:tcW w:w="937" w:type="dxa"/>
            <w:vMerge w:val="restart"/>
            <w:tcBorders>
              <w:top w:val="nil"/>
              <w:left w:val="nil"/>
              <w:bottom w:val="single" w:sz="8" w:space="0" w:color="808080"/>
              <w:right w:val="nil"/>
            </w:tcBorders>
            <w:shd w:val="clear" w:color="auto" w:fill="auto"/>
            <w:vAlign w:val="center"/>
            <w:hideMark/>
          </w:tcPr>
          <w:p w14:paraId="2ED2C696"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Subtotal of Autism Only</w:t>
            </w:r>
          </w:p>
        </w:tc>
        <w:tc>
          <w:tcPr>
            <w:tcW w:w="1120" w:type="dxa"/>
            <w:vMerge w:val="restart"/>
            <w:tcBorders>
              <w:top w:val="nil"/>
              <w:left w:val="nil"/>
              <w:bottom w:val="single" w:sz="8" w:space="0" w:color="808080"/>
              <w:right w:val="nil"/>
            </w:tcBorders>
            <w:shd w:val="clear" w:color="auto" w:fill="auto"/>
            <w:vAlign w:val="center"/>
            <w:hideMark/>
          </w:tcPr>
          <w:p w14:paraId="67194135" w14:textId="77777777" w:rsidR="00D44C9E" w:rsidRPr="00790BEA" w:rsidRDefault="00D44C9E" w:rsidP="007D6861">
            <w:pPr>
              <w:spacing w:line="240" w:lineRule="auto"/>
              <w:jc w:val="right"/>
              <w:rPr>
                <w:rFonts w:eastAsia="Times New Roman" w:cs="Times New Roman"/>
                <w:b/>
                <w:bCs/>
                <w:color w:val="000000"/>
                <w:sz w:val="18"/>
                <w:szCs w:val="18"/>
              </w:rPr>
            </w:pPr>
            <w:r w:rsidRPr="00790BEA">
              <w:rPr>
                <w:rFonts w:eastAsia="Times New Roman" w:cs="Times New Roman"/>
                <w:b/>
                <w:bCs/>
                <w:color w:val="000000"/>
                <w:sz w:val="18"/>
                <w:szCs w:val="18"/>
              </w:rPr>
              <w:t>Total Number for All Diagnoses</w:t>
            </w:r>
          </w:p>
        </w:tc>
      </w:tr>
      <w:tr w:rsidR="00D44C9E" w:rsidRPr="00790BEA" w14:paraId="74B6719E" w14:textId="77777777" w:rsidTr="007D6861">
        <w:trPr>
          <w:trHeight w:val="287"/>
        </w:trPr>
        <w:tc>
          <w:tcPr>
            <w:tcW w:w="1072" w:type="dxa"/>
            <w:tcBorders>
              <w:top w:val="nil"/>
              <w:left w:val="nil"/>
              <w:bottom w:val="single" w:sz="8" w:space="0" w:color="808080"/>
              <w:right w:val="nil"/>
            </w:tcBorders>
            <w:shd w:val="clear" w:color="auto" w:fill="auto"/>
            <w:vAlign w:val="center"/>
            <w:hideMark/>
          </w:tcPr>
          <w:p w14:paraId="1EED2E41" w14:textId="77777777" w:rsidR="00D44C9E" w:rsidRPr="00790BEA" w:rsidRDefault="00D44C9E" w:rsidP="007D6861">
            <w:pPr>
              <w:spacing w:line="240" w:lineRule="auto"/>
              <w:rPr>
                <w:rFonts w:eastAsia="Times New Roman" w:cs="Times New Roman"/>
                <w:b/>
                <w:bCs/>
                <w:color w:val="000000"/>
                <w:sz w:val="18"/>
                <w:szCs w:val="18"/>
              </w:rPr>
            </w:pPr>
            <w:r w:rsidRPr="00790BEA">
              <w:rPr>
                <w:rFonts w:eastAsia="Times New Roman" w:cs="Times New Roman"/>
                <w:b/>
                <w:bCs/>
                <w:color w:val="000000"/>
                <w:sz w:val="18"/>
                <w:szCs w:val="18"/>
              </w:rPr>
              <w:t>Age</w:t>
            </w:r>
          </w:p>
        </w:tc>
        <w:tc>
          <w:tcPr>
            <w:tcW w:w="1041" w:type="dxa"/>
            <w:vMerge/>
            <w:tcBorders>
              <w:top w:val="nil"/>
              <w:left w:val="nil"/>
              <w:bottom w:val="single" w:sz="8" w:space="0" w:color="808080"/>
              <w:right w:val="nil"/>
            </w:tcBorders>
            <w:vAlign w:val="center"/>
            <w:hideMark/>
          </w:tcPr>
          <w:p w14:paraId="0C143C39" w14:textId="77777777" w:rsidR="00D44C9E" w:rsidRPr="00790BEA" w:rsidRDefault="00D44C9E" w:rsidP="007D6861">
            <w:pPr>
              <w:spacing w:line="240" w:lineRule="auto"/>
              <w:rPr>
                <w:rFonts w:eastAsia="Times New Roman" w:cs="Times New Roman"/>
                <w:b/>
                <w:bCs/>
                <w:color w:val="000000"/>
                <w:sz w:val="18"/>
                <w:szCs w:val="18"/>
              </w:rPr>
            </w:pPr>
          </w:p>
        </w:tc>
        <w:tc>
          <w:tcPr>
            <w:tcW w:w="739" w:type="dxa"/>
            <w:vMerge/>
            <w:tcBorders>
              <w:top w:val="nil"/>
              <w:left w:val="nil"/>
              <w:bottom w:val="single" w:sz="8" w:space="0" w:color="808080"/>
              <w:right w:val="nil"/>
            </w:tcBorders>
            <w:vAlign w:val="center"/>
            <w:hideMark/>
          </w:tcPr>
          <w:p w14:paraId="7F570A8E" w14:textId="77777777" w:rsidR="00D44C9E" w:rsidRPr="00790BEA" w:rsidRDefault="00D44C9E" w:rsidP="007D6861">
            <w:pPr>
              <w:spacing w:line="240" w:lineRule="auto"/>
              <w:rPr>
                <w:rFonts w:eastAsia="Times New Roman" w:cs="Times New Roman"/>
                <w:b/>
                <w:bCs/>
                <w:color w:val="000000"/>
                <w:sz w:val="18"/>
                <w:szCs w:val="18"/>
              </w:rPr>
            </w:pPr>
          </w:p>
        </w:tc>
        <w:tc>
          <w:tcPr>
            <w:tcW w:w="991" w:type="dxa"/>
            <w:vMerge/>
            <w:tcBorders>
              <w:top w:val="nil"/>
              <w:left w:val="nil"/>
              <w:bottom w:val="single" w:sz="8" w:space="0" w:color="808080"/>
              <w:right w:val="nil"/>
            </w:tcBorders>
            <w:vAlign w:val="center"/>
            <w:hideMark/>
          </w:tcPr>
          <w:p w14:paraId="493CDE19" w14:textId="77777777" w:rsidR="00D44C9E" w:rsidRPr="00790BEA" w:rsidRDefault="00D44C9E" w:rsidP="007D6861">
            <w:pPr>
              <w:spacing w:line="240" w:lineRule="auto"/>
              <w:rPr>
                <w:rFonts w:eastAsia="Times New Roman" w:cs="Times New Roman"/>
                <w:b/>
                <w:bCs/>
                <w:color w:val="000000"/>
                <w:sz w:val="18"/>
                <w:szCs w:val="18"/>
              </w:rPr>
            </w:pPr>
          </w:p>
        </w:tc>
        <w:tc>
          <w:tcPr>
            <w:tcW w:w="1145" w:type="dxa"/>
            <w:vMerge/>
            <w:tcBorders>
              <w:top w:val="nil"/>
              <w:left w:val="nil"/>
              <w:bottom w:val="single" w:sz="8" w:space="0" w:color="808080"/>
              <w:right w:val="nil"/>
            </w:tcBorders>
            <w:vAlign w:val="center"/>
            <w:hideMark/>
          </w:tcPr>
          <w:p w14:paraId="3F21504E" w14:textId="77777777" w:rsidR="00D44C9E" w:rsidRPr="00790BEA" w:rsidRDefault="00D44C9E" w:rsidP="007D6861">
            <w:pPr>
              <w:spacing w:line="240" w:lineRule="auto"/>
              <w:rPr>
                <w:rFonts w:eastAsia="Times New Roman" w:cs="Times New Roman"/>
                <w:b/>
                <w:bCs/>
                <w:color w:val="000000"/>
                <w:sz w:val="18"/>
                <w:szCs w:val="18"/>
              </w:rPr>
            </w:pPr>
          </w:p>
        </w:tc>
        <w:tc>
          <w:tcPr>
            <w:tcW w:w="949" w:type="dxa"/>
            <w:vMerge/>
            <w:tcBorders>
              <w:top w:val="nil"/>
              <w:left w:val="nil"/>
              <w:bottom w:val="single" w:sz="8" w:space="0" w:color="808080"/>
              <w:right w:val="nil"/>
            </w:tcBorders>
            <w:vAlign w:val="center"/>
            <w:hideMark/>
          </w:tcPr>
          <w:p w14:paraId="7C129766" w14:textId="77777777" w:rsidR="00D44C9E" w:rsidRPr="00790BEA" w:rsidRDefault="00D44C9E" w:rsidP="007D6861">
            <w:pPr>
              <w:spacing w:line="240" w:lineRule="auto"/>
              <w:rPr>
                <w:rFonts w:eastAsia="Times New Roman" w:cs="Times New Roman"/>
                <w:b/>
                <w:bCs/>
                <w:color w:val="000000"/>
                <w:sz w:val="18"/>
                <w:szCs w:val="18"/>
              </w:rPr>
            </w:pPr>
          </w:p>
        </w:tc>
        <w:tc>
          <w:tcPr>
            <w:tcW w:w="1055" w:type="dxa"/>
            <w:vMerge/>
            <w:tcBorders>
              <w:top w:val="nil"/>
              <w:left w:val="nil"/>
              <w:bottom w:val="single" w:sz="8" w:space="0" w:color="808080"/>
              <w:right w:val="nil"/>
            </w:tcBorders>
            <w:vAlign w:val="center"/>
            <w:hideMark/>
          </w:tcPr>
          <w:p w14:paraId="704726CD" w14:textId="77777777" w:rsidR="00D44C9E" w:rsidRPr="00790BEA" w:rsidRDefault="00D44C9E" w:rsidP="007D6861">
            <w:pPr>
              <w:spacing w:line="240" w:lineRule="auto"/>
              <w:rPr>
                <w:rFonts w:eastAsia="Times New Roman" w:cs="Times New Roman"/>
                <w:b/>
                <w:bCs/>
                <w:color w:val="000000"/>
                <w:sz w:val="18"/>
                <w:szCs w:val="18"/>
              </w:rPr>
            </w:pPr>
          </w:p>
        </w:tc>
        <w:tc>
          <w:tcPr>
            <w:tcW w:w="937" w:type="dxa"/>
            <w:vMerge/>
            <w:tcBorders>
              <w:top w:val="nil"/>
              <w:left w:val="nil"/>
              <w:bottom w:val="single" w:sz="8" w:space="0" w:color="808080"/>
              <w:right w:val="nil"/>
            </w:tcBorders>
            <w:vAlign w:val="center"/>
            <w:hideMark/>
          </w:tcPr>
          <w:p w14:paraId="74A88553" w14:textId="77777777" w:rsidR="00D44C9E" w:rsidRPr="00790BEA" w:rsidRDefault="00D44C9E" w:rsidP="007D6861">
            <w:pPr>
              <w:spacing w:line="240" w:lineRule="auto"/>
              <w:rPr>
                <w:rFonts w:eastAsia="Times New Roman" w:cs="Times New Roman"/>
                <w:i/>
                <w:iCs/>
                <w:color w:val="000000"/>
                <w:sz w:val="18"/>
                <w:szCs w:val="18"/>
              </w:rPr>
            </w:pPr>
          </w:p>
        </w:tc>
        <w:tc>
          <w:tcPr>
            <w:tcW w:w="1120" w:type="dxa"/>
            <w:vMerge/>
            <w:tcBorders>
              <w:top w:val="nil"/>
              <w:left w:val="nil"/>
              <w:bottom w:val="single" w:sz="8" w:space="0" w:color="808080"/>
              <w:right w:val="nil"/>
            </w:tcBorders>
            <w:vAlign w:val="center"/>
            <w:hideMark/>
          </w:tcPr>
          <w:p w14:paraId="000FAEED" w14:textId="77777777" w:rsidR="00D44C9E" w:rsidRPr="00790BEA" w:rsidRDefault="00D44C9E" w:rsidP="007D6861">
            <w:pPr>
              <w:spacing w:line="240" w:lineRule="auto"/>
              <w:rPr>
                <w:rFonts w:eastAsia="Times New Roman" w:cs="Times New Roman"/>
                <w:b/>
                <w:bCs/>
                <w:color w:val="000000"/>
                <w:sz w:val="18"/>
                <w:szCs w:val="18"/>
              </w:rPr>
            </w:pPr>
          </w:p>
        </w:tc>
      </w:tr>
      <w:tr w:rsidR="00D44C9E" w:rsidRPr="00790BEA" w14:paraId="515D9622" w14:textId="77777777" w:rsidTr="007D6861">
        <w:trPr>
          <w:trHeight w:val="269"/>
        </w:trPr>
        <w:tc>
          <w:tcPr>
            <w:tcW w:w="1072" w:type="dxa"/>
            <w:tcBorders>
              <w:top w:val="single" w:sz="8" w:space="0" w:color="808080"/>
              <w:left w:val="nil"/>
              <w:bottom w:val="nil"/>
              <w:right w:val="nil"/>
            </w:tcBorders>
            <w:shd w:val="clear" w:color="auto" w:fill="auto"/>
            <w:noWrap/>
            <w:vAlign w:val="center"/>
            <w:hideMark/>
          </w:tcPr>
          <w:p w14:paraId="1631AB18"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0-3</w:t>
            </w:r>
          </w:p>
        </w:tc>
        <w:tc>
          <w:tcPr>
            <w:tcW w:w="1041" w:type="dxa"/>
            <w:tcBorders>
              <w:top w:val="nil"/>
              <w:left w:val="nil"/>
              <w:bottom w:val="nil"/>
              <w:right w:val="nil"/>
            </w:tcBorders>
            <w:shd w:val="clear" w:color="auto" w:fill="auto"/>
            <w:noWrap/>
            <w:vAlign w:val="center"/>
            <w:hideMark/>
          </w:tcPr>
          <w:p w14:paraId="0A7D802E"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609</w:t>
            </w:r>
          </w:p>
        </w:tc>
        <w:tc>
          <w:tcPr>
            <w:tcW w:w="739" w:type="dxa"/>
            <w:tcBorders>
              <w:top w:val="nil"/>
              <w:left w:val="nil"/>
              <w:bottom w:val="nil"/>
              <w:right w:val="nil"/>
            </w:tcBorders>
            <w:shd w:val="clear" w:color="auto" w:fill="auto"/>
            <w:noWrap/>
            <w:vAlign w:val="center"/>
            <w:hideMark/>
          </w:tcPr>
          <w:p w14:paraId="0BAB0AA1"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91" w:type="dxa"/>
            <w:tcBorders>
              <w:top w:val="nil"/>
              <w:left w:val="nil"/>
              <w:bottom w:val="nil"/>
              <w:right w:val="nil"/>
            </w:tcBorders>
            <w:shd w:val="clear" w:color="auto" w:fill="auto"/>
            <w:noWrap/>
            <w:vAlign w:val="center"/>
            <w:hideMark/>
          </w:tcPr>
          <w:p w14:paraId="3BC37285"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1145" w:type="dxa"/>
            <w:tcBorders>
              <w:top w:val="nil"/>
              <w:left w:val="nil"/>
              <w:bottom w:val="nil"/>
              <w:right w:val="nil"/>
            </w:tcBorders>
            <w:shd w:val="clear" w:color="auto" w:fill="auto"/>
            <w:noWrap/>
            <w:vAlign w:val="center"/>
            <w:hideMark/>
          </w:tcPr>
          <w:p w14:paraId="540D1C5A"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49" w:type="dxa"/>
            <w:tcBorders>
              <w:top w:val="nil"/>
              <w:left w:val="nil"/>
              <w:bottom w:val="nil"/>
              <w:right w:val="nil"/>
            </w:tcBorders>
            <w:shd w:val="clear" w:color="auto" w:fill="auto"/>
            <w:noWrap/>
            <w:vAlign w:val="center"/>
            <w:hideMark/>
          </w:tcPr>
          <w:p w14:paraId="16057FD7"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11</w:t>
            </w:r>
          </w:p>
        </w:tc>
        <w:tc>
          <w:tcPr>
            <w:tcW w:w="1055" w:type="dxa"/>
            <w:tcBorders>
              <w:top w:val="nil"/>
              <w:left w:val="nil"/>
              <w:bottom w:val="nil"/>
              <w:right w:val="nil"/>
            </w:tcBorders>
            <w:shd w:val="clear" w:color="auto" w:fill="auto"/>
            <w:noWrap/>
            <w:vAlign w:val="center"/>
            <w:hideMark/>
          </w:tcPr>
          <w:p w14:paraId="6C061818"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37" w:type="dxa"/>
            <w:tcBorders>
              <w:top w:val="nil"/>
              <w:left w:val="nil"/>
              <w:bottom w:val="nil"/>
              <w:right w:val="nil"/>
            </w:tcBorders>
            <w:shd w:val="clear" w:color="auto" w:fill="auto"/>
            <w:noWrap/>
            <w:vAlign w:val="center"/>
            <w:hideMark/>
          </w:tcPr>
          <w:p w14:paraId="40D74B60"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w:t>
            </w:r>
          </w:p>
        </w:tc>
        <w:tc>
          <w:tcPr>
            <w:tcW w:w="1120" w:type="dxa"/>
            <w:tcBorders>
              <w:top w:val="nil"/>
              <w:left w:val="nil"/>
              <w:bottom w:val="nil"/>
              <w:right w:val="nil"/>
            </w:tcBorders>
            <w:shd w:val="clear" w:color="auto" w:fill="auto"/>
            <w:noWrap/>
            <w:vAlign w:val="center"/>
            <w:hideMark/>
          </w:tcPr>
          <w:p w14:paraId="1E73890E"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620</w:t>
            </w:r>
          </w:p>
        </w:tc>
      </w:tr>
      <w:tr w:rsidR="00D44C9E" w:rsidRPr="00790BEA" w14:paraId="3D00A46E" w14:textId="77777777" w:rsidTr="007D6861">
        <w:trPr>
          <w:trHeight w:val="269"/>
        </w:trPr>
        <w:tc>
          <w:tcPr>
            <w:tcW w:w="1072" w:type="dxa"/>
            <w:tcBorders>
              <w:top w:val="nil"/>
              <w:left w:val="nil"/>
              <w:bottom w:val="nil"/>
              <w:right w:val="nil"/>
            </w:tcBorders>
            <w:shd w:val="clear" w:color="auto" w:fill="auto"/>
            <w:noWrap/>
            <w:vAlign w:val="center"/>
            <w:hideMark/>
          </w:tcPr>
          <w:p w14:paraId="0E556B19"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4-12</w:t>
            </w:r>
          </w:p>
        </w:tc>
        <w:tc>
          <w:tcPr>
            <w:tcW w:w="1041" w:type="dxa"/>
            <w:tcBorders>
              <w:top w:val="nil"/>
              <w:left w:val="nil"/>
              <w:bottom w:val="nil"/>
              <w:right w:val="nil"/>
            </w:tcBorders>
            <w:shd w:val="clear" w:color="auto" w:fill="auto"/>
            <w:noWrap/>
            <w:vAlign w:val="center"/>
            <w:hideMark/>
          </w:tcPr>
          <w:p w14:paraId="7DFA6243"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930</w:t>
            </w:r>
          </w:p>
        </w:tc>
        <w:tc>
          <w:tcPr>
            <w:tcW w:w="739" w:type="dxa"/>
            <w:tcBorders>
              <w:top w:val="nil"/>
              <w:left w:val="nil"/>
              <w:bottom w:val="nil"/>
              <w:right w:val="nil"/>
            </w:tcBorders>
            <w:shd w:val="clear" w:color="auto" w:fill="auto"/>
            <w:noWrap/>
            <w:vAlign w:val="center"/>
            <w:hideMark/>
          </w:tcPr>
          <w:p w14:paraId="0998AFC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91" w:type="dxa"/>
            <w:tcBorders>
              <w:top w:val="nil"/>
              <w:left w:val="nil"/>
              <w:bottom w:val="nil"/>
              <w:right w:val="nil"/>
            </w:tcBorders>
            <w:shd w:val="clear" w:color="auto" w:fill="auto"/>
            <w:noWrap/>
            <w:vAlign w:val="center"/>
            <w:hideMark/>
          </w:tcPr>
          <w:p w14:paraId="419C66D8"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11</w:t>
            </w:r>
          </w:p>
        </w:tc>
        <w:tc>
          <w:tcPr>
            <w:tcW w:w="1145" w:type="dxa"/>
            <w:tcBorders>
              <w:top w:val="nil"/>
              <w:left w:val="nil"/>
              <w:bottom w:val="nil"/>
              <w:right w:val="nil"/>
            </w:tcBorders>
            <w:shd w:val="clear" w:color="auto" w:fill="auto"/>
            <w:noWrap/>
            <w:vAlign w:val="center"/>
            <w:hideMark/>
          </w:tcPr>
          <w:p w14:paraId="2822487C"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49" w:type="dxa"/>
            <w:tcBorders>
              <w:top w:val="nil"/>
              <w:left w:val="nil"/>
              <w:bottom w:val="nil"/>
              <w:right w:val="nil"/>
            </w:tcBorders>
            <w:shd w:val="clear" w:color="auto" w:fill="auto"/>
            <w:noWrap/>
            <w:vAlign w:val="center"/>
            <w:hideMark/>
          </w:tcPr>
          <w:p w14:paraId="4643729F"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w:t>
            </w:r>
          </w:p>
        </w:tc>
        <w:tc>
          <w:tcPr>
            <w:tcW w:w="1055" w:type="dxa"/>
            <w:tcBorders>
              <w:top w:val="nil"/>
              <w:left w:val="nil"/>
              <w:bottom w:val="nil"/>
              <w:right w:val="nil"/>
            </w:tcBorders>
            <w:shd w:val="clear" w:color="auto" w:fill="auto"/>
            <w:noWrap/>
            <w:vAlign w:val="center"/>
            <w:hideMark/>
          </w:tcPr>
          <w:p w14:paraId="249112BB"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w:t>
            </w:r>
          </w:p>
        </w:tc>
        <w:tc>
          <w:tcPr>
            <w:tcW w:w="937" w:type="dxa"/>
            <w:tcBorders>
              <w:top w:val="nil"/>
              <w:left w:val="nil"/>
              <w:bottom w:val="nil"/>
              <w:right w:val="nil"/>
            </w:tcBorders>
            <w:shd w:val="clear" w:color="auto" w:fill="auto"/>
            <w:noWrap/>
            <w:vAlign w:val="center"/>
            <w:hideMark/>
          </w:tcPr>
          <w:p w14:paraId="6C886905"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329</w:t>
            </w:r>
          </w:p>
        </w:tc>
        <w:tc>
          <w:tcPr>
            <w:tcW w:w="1120" w:type="dxa"/>
            <w:tcBorders>
              <w:top w:val="nil"/>
              <w:left w:val="nil"/>
              <w:bottom w:val="nil"/>
              <w:right w:val="nil"/>
            </w:tcBorders>
            <w:shd w:val="clear" w:color="auto" w:fill="auto"/>
            <w:noWrap/>
            <w:vAlign w:val="center"/>
            <w:hideMark/>
          </w:tcPr>
          <w:p w14:paraId="4831E3E5"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943</w:t>
            </w:r>
          </w:p>
        </w:tc>
      </w:tr>
      <w:tr w:rsidR="00D44C9E" w:rsidRPr="00790BEA" w14:paraId="4EDE7850" w14:textId="77777777" w:rsidTr="007D6861">
        <w:trPr>
          <w:trHeight w:val="269"/>
        </w:trPr>
        <w:tc>
          <w:tcPr>
            <w:tcW w:w="1072" w:type="dxa"/>
            <w:tcBorders>
              <w:top w:val="nil"/>
              <w:left w:val="nil"/>
              <w:bottom w:val="nil"/>
              <w:right w:val="nil"/>
            </w:tcBorders>
            <w:shd w:val="clear" w:color="auto" w:fill="auto"/>
            <w:noWrap/>
            <w:vAlign w:val="center"/>
            <w:hideMark/>
          </w:tcPr>
          <w:p w14:paraId="5CB0DA70"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15-29</w:t>
            </w:r>
          </w:p>
        </w:tc>
        <w:tc>
          <w:tcPr>
            <w:tcW w:w="1041" w:type="dxa"/>
            <w:tcBorders>
              <w:top w:val="nil"/>
              <w:left w:val="nil"/>
              <w:bottom w:val="nil"/>
              <w:right w:val="nil"/>
            </w:tcBorders>
            <w:shd w:val="clear" w:color="auto" w:fill="auto"/>
            <w:noWrap/>
            <w:vAlign w:val="center"/>
            <w:hideMark/>
          </w:tcPr>
          <w:p w14:paraId="07B8E9A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908</w:t>
            </w:r>
          </w:p>
        </w:tc>
        <w:tc>
          <w:tcPr>
            <w:tcW w:w="739" w:type="dxa"/>
            <w:tcBorders>
              <w:top w:val="nil"/>
              <w:left w:val="nil"/>
              <w:bottom w:val="nil"/>
              <w:right w:val="nil"/>
            </w:tcBorders>
            <w:shd w:val="clear" w:color="auto" w:fill="auto"/>
            <w:noWrap/>
            <w:vAlign w:val="center"/>
            <w:hideMark/>
          </w:tcPr>
          <w:p w14:paraId="5BE8AC3E"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47</w:t>
            </w:r>
          </w:p>
        </w:tc>
        <w:tc>
          <w:tcPr>
            <w:tcW w:w="991" w:type="dxa"/>
            <w:tcBorders>
              <w:top w:val="nil"/>
              <w:left w:val="nil"/>
              <w:bottom w:val="nil"/>
              <w:right w:val="nil"/>
            </w:tcBorders>
            <w:shd w:val="clear" w:color="auto" w:fill="auto"/>
            <w:noWrap/>
            <w:vAlign w:val="center"/>
            <w:hideMark/>
          </w:tcPr>
          <w:p w14:paraId="0824BB0A"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113</w:t>
            </w:r>
          </w:p>
        </w:tc>
        <w:tc>
          <w:tcPr>
            <w:tcW w:w="1145" w:type="dxa"/>
            <w:tcBorders>
              <w:top w:val="nil"/>
              <w:left w:val="nil"/>
              <w:bottom w:val="nil"/>
              <w:right w:val="nil"/>
            </w:tcBorders>
            <w:shd w:val="clear" w:color="auto" w:fill="auto"/>
            <w:noWrap/>
            <w:vAlign w:val="center"/>
            <w:hideMark/>
          </w:tcPr>
          <w:p w14:paraId="0428336C"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17</w:t>
            </w:r>
          </w:p>
        </w:tc>
        <w:tc>
          <w:tcPr>
            <w:tcW w:w="949" w:type="dxa"/>
            <w:tcBorders>
              <w:top w:val="nil"/>
              <w:left w:val="nil"/>
              <w:bottom w:val="nil"/>
              <w:right w:val="nil"/>
            </w:tcBorders>
            <w:shd w:val="clear" w:color="auto" w:fill="auto"/>
            <w:noWrap/>
            <w:vAlign w:val="center"/>
            <w:hideMark/>
          </w:tcPr>
          <w:p w14:paraId="15495FF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13</w:t>
            </w:r>
          </w:p>
        </w:tc>
        <w:tc>
          <w:tcPr>
            <w:tcW w:w="1055" w:type="dxa"/>
            <w:tcBorders>
              <w:top w:val="nil"/>
              <w:left w:val="nil"/>
              <w:bottom w:val="nil"/>
              <w:right w:val="nil"/>
            </w:tcBorders>
            <w:shd w:val="clear" w:color="auto" w:fill="auto"/>
            <w:noWrap/>
            <w:vAlign w:val="center"/>
            <w:hideMark/>
          </w:tcPr>
          <w:p w14:paraId="3AF38D9A"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2</w:t>
            </w:r>
          </w:p>
        </w:tc>
        <w:tc>
          <w:tcPr>
            <w:tcW w:w="937" w:type="dxa"/>
            <w:tcBorders>
              <w:top w:val="nil"/>
              <w:left w:val="nil"/>
              <w:bottom w:val="nil"/>
              <w:right w:val="nil"/>
            </w:tcBorders>
            <w:shd w:val="clear" w:color="auto" w:fill="auto"/>
            <w:noWrap/>
            <w:vAlign w:val="center"/>
            <w:hideMark/>
          </w:tcPr>
          <w:p w14:paraId="2C8C24FD"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212</w:t>
            </w:r>
          </w:p>
        </w:tc>
        <w:tc>
          <w:tcPr>
            <w:tcW w:w="1120" w:type="dxa"/>
            <w:tcBorders>
              <w:top w:val="nil"/>
              <w:left w:val="nil"/>
              <w:bottom w:val="nil"/>
              <w:right w:val="nil"/>
            </w:tcBorders>
            <w:shd w:val="clear" w:color="auto" w:fill="auto"/>
            <w:noWrap/>
            <w:vAlign w:val="center"/>
            <w:hideMark/>
          </w:tcPr>
          <w:p w14:paraId="1773C1CC"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1,100</w:t>
            </w:r>
          </w:p>
        </w:tc>
      </w:tr>
      <w:tr w:rsidR="00D44C9E" w:rsidRPr="00790BEA" w14:paraId="78A8F023" w14:textId="77777777" w:rsidTr="007D6861">
        <w:trPr>
          <w:trHeight w:val="269"/>
        </w:trPr>
        <w:tc>
          <w:tcPr>
            <w:tcW w:w="1072" w:type="dxa"/>
            <w:tcBorders>
              <w:top w:val="nil"/>
              <w:left w:val="nil"/>
              <w:bottom w:val="nil"/>
              <w:right w:val="nil"/>
            </w:tcBorders>
            <w:shd w:val="clear" w:color="auto" w:fill="auto"/>
            <w:noWrap/>
            <w:vAlign w:val="center"/>
            <w:hideMark/>
          </w:tcPr>
          <w:p w14:paraId="47BA80A9"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30-44</w:t>
            </w:r>
          </w:p>
        </w:tc>
        <w:tc>
          <w:tcPr>
            <w:tcW w:w="1041" w:type="dxa"/>
            <w:tcBorders>
              <w:top w:val="nil"/>
              <w:left w:val="nil"/>
              <w:bottom w:val="nil"/>
              <w:right w:val="nil"/>
            </w:tcBorders>
            <w:shd w:val="clear" w:color="auto" w:fill="auto"/>
            <w:noWrap/>
            <w:vAlign w:val="center"/>
            <w:hideMark/>
          </w:tcPr>
          <w:p w14:paraId="58E6A6F0"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294</w:t>
            </w:r>
          </w:p>
        </w:tc>
        <w:tc>
          <w:tcPr>
            <w:tcW w:w="739" w:type="dxa"/>
            <w:tcBorders>
              <w:top w:val="nil"/>
              <w:left w:val="nil"/>
              <w:bottom w:val="nil"/>
              <w:right w:val="nil"/>
            </w:tcBorders>
            <w:shd w:val="clear" w:color="auto" w:fill="auto"/>
            <w:noWrap/>
            <w:vAlign w:val="center"/>
            <w:hideMark/>
          </w:tcPr>
          <w:p w14:paraId="239F3356"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103</w:t>
            </w:r>
          </w:p>
        </w:tc>
        <w:tc>
          <w:tcPr>
            <w:tcW w:w="991" w:type="dxa"/>
            <w:tcBorders>
              <w:top w:val="nil"/>
              <w:left w:val="nil"/>
              <w:bottom w:val="nil"/>
              <w:right w:val="nil"/>
            </w:tcBorders>
            <w:shd w:val="clear" w:color="auto" w:fill="auto"/>
            <w:noWrap/>
            <w:vAlign w:val="center"/>
            <w:hideMark/>
          </w:tcPr>
          <w:p w14:paraId="2D811E2B"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135</w:t>
            </w:r>
          </w:p>
        </w:tc>
        <w:tc>
          <w:tcPr>
            <w:tcW w:w="1145" w:type="dxa"/>
            <w:tcBorders>
              <w:top w:val="nil"/>
              <w:left w:val="nil"/>
              <w:bottom w:val="nil"/>
              <w:right w:val="nil"/>
            </w:tcBorders>
            <w:shd w:val="clear" w:color="auto" w:fill="auto"/>
            <w:noWrap/>
            <w:vAlign w:val="center"/>
            <w:hideMark/>
          </w:tcPr>
          <w:p w14:paraId="4D6F2CBD"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35</w:t>
            </w:r>
          </w:p>
        </w:tc>
        <w:tc>
          <w:tcPr>
            <w:tcW w:w="949" w:type="dxa"/>
            <w:tcBorders>
              <w:top w:val="nil"/>
              <w:left w:val="nil"/>
              <w:bottom w:val="nil"/>
              <w:right w:val="nil"/>
            </w:tcBorders>
            <w:shd w:val="clear" w:color="auto" w:fill="auto"/>
            <w:noWrap/>
            <w:vAlign w:val="center"/>
            <w:hideMark/>
          </w:tcPr>
          <w:p w14:paraId="3D1435B0"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12</w:t>
            </w:r>
          </w:p>
        </w:tc>
        <w:tc>
          <w:tcPr>
            <w:tcW w:w="1055" w:type="dxa"/>
            <w:tcBorders>
              <w:top w:val="nil"/>
              <w:left w:val="nil"/>
              <w:bottom w:val="nil"/>
              <w:right w:val="nil"/>
            </w:tcBorders>
            <w:shd w:val="clear" w:color="auto" w:fill="auto"/>
            <w:noWrap/>
            <w:vAlign w:val="center"/>
            <w:hideMark/>
          </w:tcPr>
          <w:p w14:paraId="4B5C716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37" w:type="dxa"/>
            <w:tcBorders>
              <w:top w:val="nil"/>
              <w:left w:val="nil"/>
              <w:bottom w:val="nil"/>
              <w:right w:val="nil"/>
            </w:tcBorders>
            <w:shd w:val="clear" w:color="auto" w:fill="auto"/>
            <w:noWrap/>
            <w:vAlign w:val="center"/>
            <w:hideMark/>
          </w:tcPr>
          <w:p w14:paraId="3477A622"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34</w:t>
            </w:r>
          </w:p>
        </w:tc>
        <w:tc>
          <w:tcPr>
            <w:tcW w:w="1120" w:type="dxa"/>
            <w:tcBorders>
              <w:top w:val="nil"/>
              <w:left w:val="nil"/>
              <w:bottom w:val="nil"/>
              <w:right w:val="nil"/>
            </w:tcBorders>
            <w:shd w:val="clear" w:color="auto" w:fill="auto"/>
            <w:noWrap/>
            <w:vAlign w:val="center"/>
            <w:hideMark/>
          </w:tcPr>
          <w:p w14:paraId="6D2D29C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579</w:t>
            </w:r>
          </w:p>
        </w:tc>
      </w:tr>
      <w:tr w:rsidR="00D44C9E" w:rsidRPr="00790BEA" w14:paraId="3C47A5D8" w14:textId="77777777" w:rsidTr="007D6861">
        <w:trPr>
          <w:trHeight w:val="269"/>
        </w:trPr>
        <w:tc>
          <w:tcPr>
            <w:tcW w:w="1072" w:type="dxa"/>
            <w:tcBorders>
              <w:top w:val="nil"/>
              <w:left w:val="nil"/>
              <w:bottom w:val="nil"/>
              <w:right w:val="nil"/>
            </w:tcBorders>
            <w:shd w:val="clear" w:color="auto" w:fill="auto"/>
            <w:noWrap/>
            <w:vAlign w:val="center"/>
            <w:hideMark/>
          </w:tcPr>
          <w:p w14:paraId="0411731E"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45-59</w:t>
            </w:r>
          </w:p>
        </w:tc>
        <w:tc>
          <w:tcPr>
            <w:tcW w:w="1041" w:type="dxa"/>
            <w:tcBorders>
              <w:top w:val="nil"/>
              <w:left w:val="nil"/>
              <w:bottom w:val="nil"/>
              <w:right w:val="nil"/>
            </w:tcBorders>
            <w:shd w:val="clear" w:color="auto" w:fill="auto"/>
            <w:noWrap/>
            <w:vAlign w:val="center"/>
            <w:hideMark/>
          </w:tcPr>
          <w:p w14:paraId="2C79F7E1"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156</w:t>
            </w:r>
          </w:p>
        </w:tc>
        <w:tc>
          <w:tcPr>
            <w:tcW w:w="739" w:type="dxa"/>
            <w:tcBorders>
              <w:top w:val="nil"/>
              <w:left w:val="nil"/>
              <w:bottom w:val="nil"/>
              <w:right w:val="nil"/>
            </w:tcBorders>
            <w:shd w:val="clear" w:color="auto" w:fill="auto"/>
            <w:noWrap/>
            <w:vAlign w:val="center"/>
            <w:hideMark/>
          </w:tcPr>
          <w:p w14:paraId="5E272C22"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109</w:t>
            </w:r>
          </w:p>
        </w:tc>
        <w:tc>
          <w:tcPr>
            <w:tcW w:w="991" w:type="dxa"/>
            <w:tcBorders>
              <w:top w:val="nil"/>
              <w:left w:val="nil"/>
              <w:bottom w:val="nil"/>
              <w:right w:val="nil"/>
            </w:tcBorders>
            <w:shd w:val="clear" w:color="auto" w:fill="auto"/>
            <w:noWrap/>
            <w:vAlign w:val="center"/>
            <w:hideMark/>
          </w:tcPr>
          <w:p w14:paraId="1FD4F370"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245</w:t>
            </w:r>
          </w:p>
        </w:tc>
        <w:tc>
          <w:tcPr>
            <w:tcW w:w="1145" w:type="dxa"/>
            <w:tcBorders>
              <w:top w:val="nil"/>
              <w:left w:val="nil"/>
              <w:bottom w:val="nil"/>
              <w:right w:val="nil"/>
            </w:tcBorders>
            <w:shd w:val="clear" w:color="auto" w:fill="auto"/>
            <w:noWrap/>
            <w:vAlign w:val="center"/>
            <w:hideMark/>
          </w:tcPr>
          <w:p w14:paraId="478BD66B"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71</w:t>
            </w:r>
          </w:p>
        </w:tc>
        <w:tc>
          <w:tcPr>
            <w:tcW w:w="949" w:type="dxa"/>
            <w:tcBorders>
              <w:top w:val="nil"/>
              <w:left w:val="nil"/>
              <w:bottom w:val="nil"/>
              <w:right w:val="nil"/>
            </w:tcBorders>
            <w:shd w:val="clear" w:color="auto" w:fill="auto"/>
            <w:noWrap/>
            <w:vAlign w:val="center"/>
            <w:hideMark/>
          </w:tcPr>
          <w:p w14:paraId="5AADB2B1"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11</w:t>
            </w:r>
          </w:p>
        </w:tc>
        <w:tc>
          <w:tcPr>
            <w:tcW w:w="1055" w:type="dxa"/>
            <w:tcBorders>
              <w:top w:val="nil"/>
              <w:left w:val="nil"/>
              <w:bottom w:val="nil"/>
              <w:right w:val="nil"/>
            </w:tcBorders>
            <w:shd w:val="clear" w:color="auto" w:fill="auto"/>
            <w:noWrap/>
            <w:vAlign w:val="center"/>
            <w:hideMark/>
          </w:tcPr>
          <w:p w14:paraId="54AD18C0"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w:t>
            </w:r>
          </w:p>
        </w:tc>
        <w:tc>
          <w:tcPr>
            <w:tcW w:w="937" w:type="dxa"/>
            <w:tcBorders>
              <w:top w:val="nil"/>
              <w:left w:val="nil"/>
              <w:bottom w:val="nil"/>
              <w:right w:val="nil"/>
            </w:tcBorders>
            <w:shd w:val="clear" w:color="auto" w:fill="auto"/>
            <w:noWrap/>
            <w:vAlign w:val="center"/>
            <w:hideMark/>
          </w:tcPr>
          <w:p w14:paraId="0F9B5F89"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52</w:t>
            </w:r>
          </w:p>
        </w:tc>
        <w:tc>
          <w:tcPr>
            <w:tcW w:w="1120" w:type="dxa"/>
            <w:tcBorders>
              <w:top w:val="nil"/>
              <w:left w:val="nil"/>
              <w:bottom w:val="nil"/>
              <w:right w:val="nil"/>
            </w:tcBorders>
            <w:shd w:val="clear" w:color="auto" w:fill="auto"/>
            <w:noWrap/>
            <w:vAlign w:val="center"/>
            <w:hideMark/>
          </w:tcPr>
          <w:p w14:paraId="56ACBFD1"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593</w:t>
            </w:r>
          </w:p>
        </w:tc>
      </w:tr>
      <w:tr w:rsidR="00D44C9E" w:rsidRPr="00790BEA" w14:paraId="0CAADAFE" w14:textId="77777777" w:rsidTr="007D6861">
        <w:trPr>
          <w:trHeight w:val="269"/>
        </w:trPr>
        <w:tc>
          <w:tcPr>
            <w:tcW w:w="1072" w:type="dxa"/>
            <w:tcBorders>
              <w:top w:val="nil"/>
              <w:left w:val="nil"/>
              <w:bottom w:val="nil"/>
              <w:right w:val="nil"/>
            </w:tcBorders>
            <w:shd w:val="clear" w:color="auto" w:fill="auto"/>
            <w:noWrap/>
            <w:vAlign w:val="center"/>
            <w:hideMark/>
          </w:tcPr>
          <w:p w14:paraId="23B21F0B"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60-74</w:t>
            </w:r>
          </w:p>
        </w:tc>
        <w:tc>
          <w:tcPr>
            <w:tcW w:w="1041" w:type="dxa"/>
            <w:tcBorders>
              <w:top w:val="nil"/>
              <w:left w:val="nil"/>
              <w:bottom w:val="nil"/>
              <w:right w:val="nil"/>
            </w:tcBorders>
            <w:shd w:val="clear" w:color="auto" w:fill="auto"/>
            <w:noWrap/>
            <w:vAlign w:val="center"/>
            <w:hideMark/>
          </w:tcPr>
          <w:p w14:paraId="035DBF18"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35</w:t>
            </w:r>
          </w:p>
        </w:tc>
        <w:tc>
          <w:tcPr>
            <w:tcW w:w="739" w:type="dxa"/>
            <w:tcBorders>
              <w:top w:val="nil"/>
              <w:left w:val="nil"/>
              <w:bottom w:val="nil"/>
              <w:right w:val="nil"/>
            </w:tcBorders>
            <w:shd w:val="clear" w:color="auto" w:fill="auto"/>
            <w:noWrap/>
            <w:vAlign w:val="center"/>
            <w:hideMark/>
          </w:tcPr>
          <w:p w14:paraId="3E78A3E1"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53</w:t>
            </w:r>
          </w:p>
        </w:tc>
        <w:tc>
          <w:tcPr>
            <w:tcW w:w="991" w:type="dxa"/>
            <w:tcBorders>
              <w:top w:val="nil"/>
              <w:left w:val="nil"/>
              <w:bottom w:val="nil"/>
              <w:right w:val="nil"/>
            </w:tcBorders>
            <w:shd w:val="clear" w:color="auto" w:fill="auto"/>
            <w:noWrap/>
            <w:vAlign w:val="center"/>
            <w:hideMark/>
          </w:tcPr>
          <w:p w14:paraId="3533D65D"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122</w:t>
            </w:r>
          </w:p>
        </w:tc>
        <w:tc>
          <w:tcPr>
            <w:tcW w:w="1145" w:type="dxa"/>
            <w:tcBorders>
              <w:top w:val="nil"/>
              <w:left w:val="nil"/>
              <w:bottom w:val="nil"/>
              <w:right w:val="nil"/>
            </w:tcBorders>
            <w:shd w:val="clear" w:color="auto" w:fill="auto"/>
            <w:noWrap/>
            <w:vAlign w:val="center"/>
            <w:hideMark/>
          </w:tcPr>
          <w:p w14:paraId="20B38FA5"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91</w:t>
            </w:r>
          </w:p>
        </w:tc>
        <w:tc>
          <w:tcPr>
            <w:tcW w:w="949" w:type="dxa"/>
            <w:tcBorders>
              <w:top w:val="nil"/>
              <w:left w:val="nil"/>
              <w:bottom w:val="nil"/>
              <w:right w:val="nil"/>
            </w:tcBorders>
            <w:shd w:val="clear" w:color="auto" w:fill="auto"/>
            <w:noWrap/>
            <w:vAlign w:val="center"/>
            <w:hideMark/>
          </w:tcPr>
          <w:p w14:paraId="239A68F6"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6</w:t>
            </w:r>
          </w:p>
        </w:tc>
        <w:tc>
          <w:tcPr>
            <w:tcW w:w="1055" w:type="dxa"/>
            <w:tcBorders>
              <w:top w:val="nil"/>
              <w:left w:val="nil"/>
              <w:bottom w:val="nil"/>
              <w:right w:val="nil"/>
            </w:tcBorders>
            <w:shd w:val="clear" w:color="auto" w:fill="auto"/>
            <w:noWrap/>
            <w:vAlign w:val="center"/>
            <w:hideMark/>
          </w:tcPr>
          <w:p w14:paraId="75B96BCC"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37" w:type="dxa"/>
            <w:tcBorders>
              <w:top w:val="nil"/>
              <w:left w:val="nil"/>
              <w:bottom w:val="nil"/>
              <w:right w:val="nil"/>
            </w:tcBorders>
            <w:shd w:val="clear" w:color="auto" w:fill="auto"/>
            <w:noWrap/>
            <w:vAlign w:val="center"/>
            <w:hideMark/>
          </w:tcPr>
          <w:p w14:paraId="6569676B"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10</w:t>
            </w:r>
          </w:p>
        </w:tc>
        <w:tc>
          <w:tcPr>
            <w:tcW w:w="1120" w:type="dxa"/>
            <w:tcBorders>
              <w:top w:val="nil"/>
              <w:left w:val="nil"/>
              <w:bottom w:val="nil"/>
              <w:right w:val="nil"/>
            </w:tcBorders>
            <w:shd w:val="clear" w:color="auto" w:fill="auto"/>
            <w:noWrap/>
            <w:vAlign w:val="center"/>
            <w:hideMark/>
          </w:tcPr>
          <w:p w14:paraId="17B16CE2"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307</w:t>
            </w:r>
          </w:p>
        </w:tc>
      </w:tr>
      <w:tr w:rsidR="00D44C9E" w:rsidRPr="00790BEA" w14:paraId="62E2BEAD" w14:textId="77777777" w:rsidTr="007D6861">
        <w:trPr>
          <w:trHeight w:val="269"/>
        </w:trPr>
        <w:tc>
          <w:tcPr>
            <w:tcW w:w="1072" w:type="dxa"/>
            <w:tcBorders>
              <w:top w:val="nil"/>
              <w:left w:val="nil"/>
              <w:bottom w:val="nil"/>
              <w:right w:val="nil"/>
            </w:tcBorders>
            <w:shd w:val="clear" w:color="auto" w:fill="auto"/>
            <w:noWrap/>
            <w:vAlign w:val="center"/>
            <w:hideMark/>
          </w:tcPr>
          <w:p w14:paraId="11A0014B"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75-89</w:t>
            </w:r>
          </w:p>
        </w:tc>
        <w:tc>
          <w:tcPr>
            <w:tcW w:w="1041" w:type="dxa"/>
            <w:tcBorders>
              <w:top w:val="nil"/>
              <w:left w:val="nil"/>
              <w:bottom w:val="nil"/>
              <w:right w:val="nil"/>
            </w:tcBorders>
            <w:shd w:val="clear" w:color="auto" w:fill="auto"/>
            <w:noWrap/>
            <w:vAlign w:val="center"/>
            <w:hideMark/>
          </w:tcPr>
          <w:p w14:paraId="425E4481"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3</w:t>
            </w:r>
          </w:p>
        </w:tc>
        <w:tc>
          <w:tcPr>
            <w:tcW w:w="739" w:type="dxa"/>
            <w:tcBorders>
              <w:top w:val="nil"/>
              <w:left w:val="nil"/>
              <w:bottom w:val="nil"/>
              <w:right w:val="nil"/>
            </w:tcBorders>
            <w:shd w:val="clear" w:color="auto" w:fill="auto"/>
            <w:noWrap/>
            <w:vAlign w:val="center"/>
            <w:hideMark/>
          </w:tcPr>
          <w:p w14:paraId="3576F3C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5</w:t>
            </w:r>
          </w:p>
        </w:tc>
        <w:tc>
          <w:tcPr>
            <w:tcW w:w="991" w:type="dxa"/>
            <w:tcBorders>
              <w:top w:val="nil"/>
              <w:left w:val="nil"/>
              <w:bottom w:val="nil"/>
              <w:right w:val="nil"/>
            </w:tcBorders>
            <w:shd w:val="clear" w:color="auto" w:fill="auto"/>
            <w:noWrap/>
            <w:vAlign w:val="center"/>
            <w:hideMark/>
          </w:tcPr>
          <w:p w14:paraId="2F734794"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20</w:t>
            </w:r>
          </w:p>
        </w:tc>
        <w:tc>
          <w:tcPr>
            <w:tcW w:w="1145" w:type="dxa"/>
            <w:tcBorders>
              <w:top w:val="nil"/>
              <w:left w:val="nil"/>
              <w:bottom w:val="nil"/>
              <w:right w:val="nil"/>
            </w:tcBorders>
            <w:shd w:val="clear" w:color="auto" w:fill="auto"/>
            <w:noWrap/>
            <w:vAlign w:val="center"/>
            <w:hideMark/>
          </w:tcPr>
          <w:p w14:paraId="748DBF45"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17</w:t>
            </w:r>
          </w:p>
        </w:tc>
        <w:tc>
          <w:tcPr>
            <w:tcW w:w="949" w:type="dxa"/>
            <w:tcBorders>
              <w:top w:val="nil"/>
              <w:left w:val="nil"/>
              <w:bottom w:val="nil"/>
              <w:right w:val="nil"/>
            </w:tcBorders>
            <w:shd w:val="clear" w:color="auto" w:fill="auto"/>
            <w:noWrap/>
            <w:vAlign w:val="center"/>
            <w:hideMark/>
          </w:tcPr>
          <w:p w14:paraId="7CEFB758"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1055" w:type="dxa"/>
            <w:tcBorders>
              <w:top w:val="nil"/>
              <w:left w:val="nil"/>
              <w:bottom w:val="nil"/>
              <w:right w:val="nil"/>
            </w:tcBorders>
            <w:shd w:val="clear" w:color="auto" w:fill="auto"/>
            <w:noWrap/>
            <w:vAlign w:val="center"/>
            <w:hideMark/>
          </w:tcPr>
          <w:p w14:paraId="13599FC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37" w:type="dxa"/>
            <w:tcBorders>
              <w:top w:val="nil"/>
              <w:left w:val="nil"/>
              <w:bottom w:val="nil"/>
              <w:right w:val="nil"/>
            </w:tcBorders>
            <w:shd w:val="clear" w:color="auto" w:fill="auto"/>
            <w:noWrap/>
            <w:vAlign w:val="center"/>
            <w:hideMark/>
          </w:tcPr>
          <w:p w14:paraId="70539C63"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0</w:t>
            </w:r>
          </w:p>
        </w:tc>
        <w:tc>
          <w:tcPr>
            <w:tcW w:w="1120" w:type="dxa"/>
            <w:tcBorders>
              <w:top w:val="nil"/>
              <w:left w:val="nil"/>
              <w:bottom w:val="nil"/>
              <w:right w:val="nil"/>
            </w:tcBorders>
            <w:shd w:val="clear" w:color="auto" w:fill="auto"/>
            <w:noWrap/>
            <w:vAlign w:val="center"/>
            <w:hideMark/>
          </w:tcPr>
          <w:p w14:paraId="52A36EE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45</w:t>
            </w:r>
          </w:p>
        </w:tc>
      </w:tr>
      <w:tr w:rsidR="00D44C9E" w:rsidRPr="00790BEA" w14:paraId="16CD443F" w14:textId="77777777" w:rsidTr="007D6861">
        <w:trPr>
          <w:trHeight w:val="269"/>
        </w:trPr>
        <w:tc>
          <w:tcPr>
            <w:tcW w:w="1072" w:type="dxa"/>
            <w:tcBorders>
              <w:top w:val="nil"/>
              <w:left w:val="nil"/>
              <w:bottom w:val="nil"/>
              <w:right w:val="nil"/>
            </w:tcBorders>
            <w:shd w:val="clear" w:color="auto" w:fill="auto"/>
            <w:noWrap/>
            <w:vAlign w:val="center"/>
            <w:hideMark/>
          </w:tcPr>
          <w:p w14:paraId="2FB9F17A"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90-104</w:t>
            </w:r>
          </w:p>
        </w:tc>
        <w:tc>
          <w:tcPr>
            <w:tcW w:w="1041" w:type="dxa"/>
            <w:tcBorders>
              <w:top w:val="nil"/>
              <w:left w:val="nil"/>
              <w:bottom w:val="nil"/>
              <w:right w:val="nil"/>
            </w:tcBorders>
            <w:shd w:val="clear" w:color="auto" w:fill="auto"/>
            <w:noWrap/>
            <w:vAlign w:val="center"/>
            <w:hideMark/>
          </w:tcPr>
          <w:p w14:paraId="0B71AE1D"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739" w:type="dxa"/>
            <w:tcBorders>
              <w:top w:val="nil"/>
              <w:left w:val="nil"/>
              <w:bottom w:val="nil"/>
              <w:right w:val="nil"/>
            </w:tcBorders>
            <w:shd w:val="clear" w:color="auto" w:fill="auto"/>
            <w:noWrap/>
            <w:vAlign w:val="center"/>
            <w:hideMark/>
          </w:tcPr>
          <w:p w14:paraId="23314B61"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91" w:type="dxa"/>
            <w:tcBorders>
              <w:top w:val="nil"/>
              <w:left w:val="nil"/>
              <w:bottom w:val="nil"/>
              <w:right w:val="nil"/>
            </w:tcBorders>
            <w:shd w:val="clear" w:color="auto" w:fill="auto"/>
            <w:noWrap/>
            <w:vAlign w:val="center"/>
            <w:hideMark/>
          </w:tcPr>
          <w:p w14:paraId="35258E9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4</w:t>
            </w:r>
          </w:p>
        </w:tc>
        <w:tc>
          <w:tcPr>
            <w:tcW w:w="1145" w:type="dxa"/>
            <w:tcBorders>
              <w:top w:val="nil"/>
              <w:left w:val="nil"/>
              <w:bottom w:val="nil"/>
              <w:right w:val="nil"/>
            </w:tcBorders>
            <w:shd w:val="clear" w:color="auto" w:fill="auto"/>
            <w:noWrap/>
            <w:vAlign w:val="center"/>
            <w:hideMark/>
          </w:tcPr>
          <w:p w14:paraId="7CDC4C8F"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1</w:t>
            </w:r>
          </w:p>
        </w:tc>
        <w:tc>
          <w:tcPr>
            <w:tcW w:w="949" w:type="dxa"/>
            <w:tcBorders>
              <w:top w:val="nil"/>
              <w:left w:val="nil"/>
              <w:bottom w:val="nil"/>
              <w:right w:val="nil"/>
            </w:tcBorders>
            <w:shd w:val="clear" w:color="auto" w:fill="auto"/>
            <w:noWrap/>
            <w:vAlign w:val="center"/>
            <w:hideMark/>
          </w:tcPr>
          <w:p w14:paraId="2A720702"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1055" w:type="dxa"/>
            <w:tcBorders>
              <w:top w:val="nil"/>
              <w:left w:val="nil"/>
              <w:bottom w:val="nil"/>
              <w:right w:val="nil"/>
            </w:tcBorders>
            <w:shd w:val="clear" w:color="auto" w:fill="auto"/>
            <w:noWrap/>
            <w:vAlign w:val="center"/>
            <w:hideMark/>
          </w:tcPr>
          <w:p w14:paraId="73839158"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0</w:t>
            </w:r>
          </w:p>
        </w:tc>
        <w:tc>
          <w:tcPr>
            <w:tcW w:w="937" w:type="dxa"/>
            <w:tcBorders>
              <w:top w:val="nil"/>
              <w:left w:val="nil"/>
              <w:bottom w:val="nil"/>
              <w:right w:val="nil"/>
            </w:tcBorders>
            <w:shd w:val="clear" w:color="auto" w:fill="auto"/>
            <w:noWrap/>
            <w:vAlign w:val="center"/>
            <w:hideMark/>
          </w:tcPr>
          <w:p w14:paraId="196BD0F6"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0</w:t>
            </w:r>
          </w:p>
        </w:tc>
        <w:tc>
          <w:tcPr>
            <w:tcW w:w="1120" w:type="dxa"/>
            <w:tcBorders>
              <w:top w:val="nil"/>
              <w:left w:val="nil"/>
              <w:bottom w:val="nil"/>
              <w:right w:val="nil"/>
            </w:tcBorders>
            <w:shd w:val="clear" w:color="auto" w:fill="auto"/>
            <w:noWrap/>
            <w:vAlign w:val="center"/>
            <w:hideMark/>
          </w:tcPr>
          <w:p w14:paraId="583C27BC"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5</w:t>
            </w:r>
          </w:p>
        </w:tc>
      </w:tr>
      <w:tr w:rsidR="00D44C9E" w:rsidRPr="00790BEA" w14:paraId="3A641393" w14:textId="77777777" w:rsidTr="007D6861">
        <w:trPr>
          <w:trHeight w:val="269"/>
        </w:trPr>
        <w:tc>
          <w:tcPr>
            <w:tcW w:w="1072" w:type="dxa"/>
            <w:tcBorders>
              <w:top w:val="nil"/>
              <w:left w:val="nil"/>
              <w:bottom w:val="nil"/>
              <w:right w:val="nil"/>
            </w:tcBorders>
            <w:shd w:val="clear" w:color="auto" w:fill="auto"/>
            <w:noWrap/>
            <w:vAlign w:val="center"/>
            <w:hideMark/>
          </w:tcPr>
          <w:p w14:paraId="5BBFDC68" w14:textId="77777777" w:rsidR="00D44C9E" w:rsidRPr="00790BEA" w:rsidRDefault="00D44C9E" w:rsidP="007D6861">
            <w:pPr>
              <w:spacing w:line="240" w:lineRule="auto"/>
              <w:rPr>
                <w:rFonts w:eastAsia="Times New Roman" w:cs="Times New Roman"/>
                <w:color w:val="000000"/>
                <w:sz w:val="18"/>
                <w:szCs w:val="18"/>
              </w:rPr>
            </w:pPr>
            <w:r w:rsidRPr="00790BEA">
              <w:rPr>
                <w:rFonts w:eastAsia="Times New Roman" w:cs="Times New Roman"/>
                <w:color w:val="000000"/>
                <w:sz w:val="18"/>
                <w:szCs w:val="18"/>
              </w:rPr>
              <w:t>Grand Total</w:t>
            </w:r>
          </w:p>
        </w:tc>
        <w:tc>
          <w:tcPr>
            <w:tcW w:w="1041" w:type="dxa"/>
            <w:tcBorders>
              <w:top w:val="nil"/>
              <w:left w:val="nil"/>
              <w:bottom w:val="nil"/>
              <w:right w:val="nil"/>
            </w:tcBorders>
            <w:shd w:val="clear" w:color="auto" w:fill="auto"/>
            <w:noWrap/>
            <w:vAlign w:val="center"/>
            <w:hideMark/>
          </w:tcPr>
          <w:p w14:paraId="6A777279"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2,935</w:t>
            </w:r>
          </w:p>
        </w:tc>
        <w:tc>
          <w:tcPr>
            <w:tcW w:w="739" w:type="dxa"/>
            <w:tcBorders>
              <w:top w:val="nil"/>
              <w:left w:val="nil"/>
              <w:bottom w:val="nil"/>
              <w:right w:val="nil"/>
            </w:tcBorders>
            <w:shd w:val="clear" w:color="auto" w:fill="auto"/>
            <w:noWrap/>
            <w:vAlign w:val="center"/>
            <w:hideMark/>
          </w:tcPr>
          <w:p w14:paraId="036F6CFE"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317</w:t>
            </w:r>
          </w:p>
        </w:tc>
        <w:tc>
          <w:tcPr>
            <w:tcW w:w="991" w:type="dxa"/>
            <w:tcBorders>
              <w:top w:val="nil"/>
              <w:left w:val="nil"/>
              <w:bottom w:val="nil"/>
              <w:right w:val="nil"/>
            </w:tcBorders>
            <w:shd w:val="clear" w:color="auto" w:fill="auto"/>
            <w:noWrap/>
            <w:vAlign w:val="center"/>
            <w:hideMark/>
          </w:tcPr>
          <w:p w14:paraId="64B5085D"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650</w:t>
            </w:r>
          </w:p>
        </w:tc>
        <w:tc>
          <w:tcPr>
            <w:tcW w:w="1145" w:type="dxa"/>
            <w:tcBorders>
              <w:top w:val="nil"/>
              <w:left w:val="nil"/>
              <w:bottom w:val="nil"/>
              <w:right w:val="nil"/>
            </w:tcBorders>
            <w:shd w:val="clear" w:color="auto" w:fill="auto"/>
            <w:noWrap/>
            <w:vAlign w:val="center"/>
            <w:hideMark/>
          </w:tcPr>
          <w:p w14:paraId="100ECB8D"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232</w:t>
            </w:r>
          </w:p>
        </w:tc>
        <w:tc>
          <w:tcPr>
            <w:tcW w:w="949" w:type="dxa"/>
            <w:tcBorders>
              <w:top w:val="nil"/>
              <w:left w:val="nil"/>
              <w:bottom w:val="nil"/>
              <w:right w:val="nil"/>
            </w:tcBorders>
            <w:shd w:val="clear" w:color="auto" w:fill="auto"/>
            <w:noWrap/>
            <w:vAlign w:val="center"/>
            <w:hideMark/>
          </w:tcPr>
          <w:p w14:paraId="22A3AC0D"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54</w:t>
            </w:r>
          </w:p>
        </w:tc>
        <w:tc>
          <w:tcPr>
            <w:tcW w:w="1055" w:type="dxa"/>
            <w:tcBorders>
              <w:top w:val="nil"/>
              <w:left w:val="nil"/>
              <w:bottom w:val="nil"/>
              <w:right w:val="nil"/>
            </w:tcBorders>
            <w:shd w:val="clear" w:color="auto" w:fill="auto"/>
            <w:noWrap/>
            <w:vAlign w:val="center"/>
            <w:hideMark/>
          </w:tcPr>
          <w:p w14:paraId="7C0C41AA"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4</w:t>
            </w:r>
          </w:p>
        </w:tc>
        <w:tc>
          <w:tcPr>
            <w:tcW w:w="937" w:type="dxa"/>
            <w:tcBorders>
              <w:top w:val="nil"/>
              <w:left w:val="nil"/>
              <w:bottom w:val="nil"/>
              <w:right w:val="nil"/>
            </w:tcBorders>
            <w:shd w:val="clear" w:color="auto" w:fill="auto"/>
            <w:noWrap/>
            <w:vAlign w:val="center"/>
            <w:hideMark/>
          </w:tcPr>
          <w:p w14:paraId="7D4019E1" w14:textId="77777777" w:rsidR="00D44C9E" w:rsidRPr="00790BEA" w:rsidRDefault="00D44C9E" w:rsidP="007D6861">
            <w:pPr>
              <w:spacing w:line="240" w:lineRule="auto"/>
              <w:jc w:val="right"/>
              <w:rPr>
                <w:rFonts w:eastAsia="Times New Roman" w:cs="Times New Roman"/>
                <w:i/>
                <w:iCs/>
                <w:color w:val="000000"/>
                <w:sz w:val="18"/>
                <w:szCs w:val="18"/>
              </w:rPr>
            </w:pPr>
            <w:r w:rsidRPr="00790BEA">
              <w:rPr>
                <w:rFonts w:eastAsia="Times New Roman" w:cs="Times New Roman"/>
                <w:i/>
                <w:iCs/>
                <w:color w:val="000000"/>
                <w:sz w:val="18"/>
                <w:szCs w:val="18"/>
              </w:rPr>
              <w:t>637</w:t>
            </w:r>
          </w:p>
        </w:tc>
        <w:tc>
          <w:tcPr>
            <w:tcW w:w="1120" w:type="dxa"/>
            <w:tcBorders>
              <w:top w:val="nil"/>
              <w:left w:val="nil"/>
              <w:bottom w:val="nil"/>
              <w:right w:val="nil"/>
            </w:tcBorders>
            <w:shd w:val="clear" w:color="auto" w:fill="auto"/>
            <w:noWrap/>
            <w:vAlign w:val="center"/>
            <w:hideMark/>
          </w:tcPr>
          <w:p w14:paraId="1F2DC826" w14:textId="77777777" w:rsidR="00D44C9E" w:rsidRPr="00790BEA" w:rsidRDefault="00D44C9E" w:rsidP="007D6861">
            <w:pPr>
              <w:spacing w:line="240" w:lineRule="auto"/>
              <w:jc w:val="right"/>
              <w:rPr>
                <w:rFonts w:eastAsia="Times New Roman" w:cs="Times New Roman"/>
                <w:color w:val="000000"/>
                <w:sz w:val="18"/>
                <w:szCs w:val="18"/>
              </w:rPr>
            </w:pPr>
            <w:r w:rsidRPr="00790BEA">
              <w:rPr>
                <w:rFonts w:eastAsia="Times New Roman" w:cs="Times New Roman"/>
                <w:color w:val="000000"/>
                <w:sz w:val="18"/>
                <w:szCs w:val="18"/>
              </w:rPr>
              <w:t>4,192</w:t>
            </w:r>
          </w:p>
        </w:tc>
      </w:tr>
      <w:tr w:rsidR="00D44C9E" w:rsidRPr="00790BEA" w14:paraId="66B22597" w14:textId="77777777" w:rsidTr="007D6861">
        <w:trPr>
          <w:trHeight w:val="287"/>
        </w:trPr>
        <w:tc>
          <w:tcPr>
            <w:tcW w:w="1072" w:type="dxa"/>
            <w:tcBorders>
              <w:top w:val="nil"/>
              <w:left w:val="nil"/>
              <w:bottom w:val="single" w:sz="8" w:space="0" w:color="808080"/>
              <w:right w:val="nil"/>
            </w:tcBorders>
            <w:shd w:val="clear" w:color="auto" w:fill="auto"/>
            <w:noWrap/>
            <w:vAlign w:val="center"/>
            <w:hideMark/>
          </w:tcPr>
          <w:p w14:paraId="2C4FC9F7" w14:textId="77777777" w:rsidR="00D44C9E" w:rsidRPr="00790BEA" w:rsidRDefault="00D44C9E" w:rsidP="007D6861">
            <w:pPr>
              <w:spacing w:line="240" w:lineRule="auto"/>
              <w:rPr>
                <w:rFonts w:eastAsia="Times New Roman" w:cs="Times New Roman"/>
                <w:color w:val="000000"/>
                <w:sz w:val="14"/>
                <w:szCs w:val="14"/>
              </w:rPr>
            </w:pPr>
            <w:r w:rsidRPr="00790BEA">
              <w:rPr>
                <w:rFonts w:eastAsia="Times New Roman" w:cs="Times New Roman"/>
                <w:color w:val="000000"/>
                <w:sz w:val="14"/>
                <w:szCs w:val="14"/>
              </w:rPr>
              <w:t> </w:t>
            </w:r>
          </w:p>
        </w:tc>
        <w:tc>
          <w:tcPr>
            <w:tcW w:w="1780" w:type="dxa"/>
            <w:gridSpan w:val="2"/>
            <w:tcBorders>
              <w:top w:val="nil"/>
              <w:left w:val="nil"/>
              <w:bottom w:val="single" w:sz="8" w:space="0" w:color="808080"/>
              <w:right w:val="nil"/>
            </w:tcBorders>
            <w:shd w:val="clear" w:color="auto" w:fill="auto"/>
            <w:noWrap/>
            <w:vAlign w:val="center"/>
            <w:hideMark/>
          </w:tcPr>
          <w:p w14:paraId="0C03E139" w14:textId="77777777" w:rsidR="00D44C9E" w:rsidRPr="00790BEA" w:rsidRDefault="00D44C9E" w:rsidP="007D6861">
            <w:pPr>
              <w:spacing w:line="240" w:lineRule="auto"/>
              <w:jc w:val="right"/>
              <w:rPr>
                <w:rFonts w:eastAsia="Times New Roman" w:cs="Times New Roman"/>
                <w:color w:val="000000"/>
                <w:sz w:val="14"/>
                <w:szCs w:val="14"/>
              </w:rPr>
            </w:pPr>
            <w:r w:rsidRPr="00790BEA">
              <w:rPr>
                <w:rFonts w:eastAsia="Times New Roman" w:cs="Times New Roman"/>
                <w:color w:val="000000"/>
                <w:sz w:val="14"/>
                <w:szCs w:val="14"/>
              </w:rPr>
              <w:t> </w:t>
            </w:r>
          </w:p>
        </w:tc>
        <w:tc>
          <w:tcPr>
            <w:tcW w:w="991" w:type="dxa"/>
            <w:tcBorders>
              <w:top w:val="nil"/>
              <w:left w:val="nil"/>
              <w:bottom w:val="single" w:sz="8" w:space="0" w:color="808080"/>
              <w:right w:val="nil"/>
            </w:tcBorders>
            <w:shd w:val="clear" w:color="auto" w:fill="auto"/>
            <w:noWrap/>
            <w:vAlign w:val="center"/>
            <w:hideMark/>
          </w:tcPr>
          <w:p w14:paraId="0BE40F0B" w14:textId="77777777" w:rsidR="00D44C9E" w:rsidRPr="00790BEA" w:rsidRDefault="00D44C9E" w:rsidP="007D6861">
            <w:pPr>
              <w:spacing w:line="240" w:lineRule="auto"/>
              <w:jc w:val="right"/>
              <w:rPr>
                <w:rFonts w:eastAsia="Times New Roman" w:cs="Times New Roman"/>
                <w:color w:val="000000"/>
                <w:sz w:val="14"/>
                <w:szCs w:val="14"/>
              </w:rPr>
            </w:pPr>
            <w:r w:rsidRPr="00790BEA">
              <w:rPr>
                <w:rFonts w:eastAsia="Times New Roman" w:cs="Times New Roman"/>
                <w:color w:val="000000"/>
                <w:sz w:val="14"/>
                <w:szCs w:val="14"/>
              </w:rPr>
              <w:t> </w:t>
            </w:r>
          </w:p>
        </w:tc>
        <w:tc>
          <w:tcPr>
            <w:tcW w:w="1145" w:type="dxa"/>
            <w:tcBorders>
              <w:top w:val="nil"/>
              <w:left w:val="nil"/>
              <w:bottom w:val="single" w:sz="8" w:space="0" w:color="808080"/>
              <w:right w:val="nil"/>
            </w:tcBorders>
            <w:shd w:val="clear" w:color="auto" w:fill="auto"/>
            <w:noWrap/>
            <w:vAlign w:val="center"/>
            <w:hideMark/>
          </w:tcPr>
          <w:p w14:paraId="4721C979" w14:textId="77777777" w:rsidR="00D44C9E" w:rsidRPr="00790BEA" w:rsidRDefault="00D44C9E" w:rsidP="007D6861">
            <w:pPr>
              <w:spacing w:line="240" w:lineRule="auto"/>
              <w:jc w:val="right"/>
              <w:rPr>
                <w:rFonts w:eastAsia="Times New Roman" w:cs="Times New Roman"/>
                <w:color w:val="000000"/>
                <w:sz w:val="14"/>
                <w:szCs w:val="14"/>
              </w:rPr>
            </w:pPr>
            <w:r w:rsidRPr="00790BEA">
              <w:rPr>
                <w:rFonts w:eastAsia="Times New Roman" w:cs="Times New Roman"/>
                <w:color w:val="000000"/>
                <w:sz w:val="14"/>
                <w:szCs w:val="14"/>
              </w:rPr>
              <w:t> </w:t>
            </w:r>
          </w:p>
        </w:tc>
        <w:tc>
          <w:tcPr>
            <w:tcW w:w="2004" w:type="dxa"/>
            <w:gridSpan w:val="2"/>
            <w:tcBorders>
              <w:top w:val="nil"/>
              <w:left w:val="nil"/>
              <w:bottom w:val="single" w:sz="8" w:space="0" w:color="808080"/>
              <w:right w:val="nil"/>
            </w:tcBorders>
            <w:shd w:val="clear" w:color="auto" w:fill="auto"/>
            <w:noWrap/>
            <w:vAlign w:val="center"/>
            <w:hideMark/>
          </w:tcPr>
          <w:p w14:paraId="763B14CD" w14:textId="77777777" w:rsidR="00D44C9E" w:rsidRPr="00790BEA" w:rsidRDefault="00D44C9E" w:rsidP="007D6861">
            <w:pPr>
              <w:spacing w:line="240" w:lineRule="auto"/>
              <w:jc w:val="right"/>
              <w:rPr>
                <w:rFonts w:eastAsia="Times New Roman" w:cs="Times New Roman"/>
                <w:color w:val="000000"/>
                <w:sz w:val="14"/>
                <w:szCs w:val="14"/>
              </w:rPr>
            </w:pPr>
            <w:r w:rsidRPr="00790BEA">
              <w:rPr>
                <w:rFonts w:eastAsia="Times New Roman" w:cs="Times New Roman"/>
                <w:color w:val="000000"/>
                <w:sz w:val="14"/>
                <w:szCs w:val="14"/>
              </w:rPr>
              <w:t> </w:t>
            </w:r>
          </w:p>
        </w:tc>
        <w:tc>
          <w:tcPr>
            <w:tcW w:w="937" w:type="dxa"/>
            <w:tcBorders>
              <w:top w:val="nil"/>
              <w:left w:val="nil"/>
              <w:bottom w:val="single" w:sz="8" w:space="0" w:color="808080"/>
              <w:right w:val="nil"/>
            </w:tcBorders>
            <w:shd w:val="clear" w:color="auto" w:fill="auto"/>
            <w:noWrap/>
            <w:vAlign w:val="center"/>
            <w:hideMark/>
          </w:tcPr>
          <w:p w14:paraId="5399E140" w14:textId="77777777" w:rsidR="00D44C9E" w:rsidRPr="00790BEA" w:rsidRDefault="00D44C9E" w:rsidP="007D6861">
            <w:pPr>
              <w:spacing w:line="240" w:lineRule="auto"/>
              <w:jc w:val="right"/>
              <w:rPr>
                <w:rFonts w:eastAsia="Times New Roman" w:cs="Times New Roman"/>
                <w:color w:val="000000"/>
                <w:sz w:val="14"/>
                <w:szCs w:val="14"/>
              </w:rPr>
            </w:pPr>
            <w:r w:rsidRPr="00790BEA">
              <w:rPr>
                <w:rFonts w:eastAsia="Times New Roman" w:cs="Times New Roman"/>
                <w:color w:val="000000"/>
                <w:sz w:val="14"/>
                <w:szCs w:val="14"/>
              </w:rPr>
              <w:t> </w:t>
            </w:r>
          </w:p>
        </w:tc>
        <w:tc>
          <w:tcPr>
            <w:tcW w:w="1120" w:type="dxa"/>
            <w:tcBorders>
              <w:top w:val="nil"/>
              <w:left w:val="nil"/>
              <w:bottom w:val="single" w:sz="8" w:space="0" w:color="808080"/>
              <w:right w:val="nil"/>
            </w:tcBorders>
            <w:shd w:val="clear" w:color="auto" w:fill="auto"/>
            <w:noWrap/>
            <w:vAlign w:val="center"/>
            <w:hideMark/>
          </w:tcPr>
          <w:p w14:paraId="516339ED" w14:textId="77777777" w:rsidR="00D44C9E" w:rsidRPr="00790BEA" w:rsidRDefault="00D44C9E" w:rsidP="007D6861">
            <w:pPr>
              <w:spacing w:line="240" w:lineRule="auto"/>
              <w:jc w:val="right"/>
              <w:rPr>
                <w:rFonts w:eastAsia="Times New Roman" w:cs="Times New Roman"/>
                <w:color w:val="000000"/>
                <w:sz w:val="14"/>
                <w:szCs w:val="14"/>
              </w:rPr>
            </w:pPr>
            <w:r w:rsidRPr="00790BEA">
              <w:rPr>
                <w:rFonts w:eastAsia="Times New Roman" w:cs="Times New Roman"/>
                <w:color w:val="000000"/>
                <w:sz w:val="14"/>
                <w:szCs w:val="14"/>
              </w:rPr>
              <w:t> </w:t>
            </w:r>
          </w:p>
        </w:tc>
      </w:tr>
      <w:tr w:rsidR="00D44C9E" w:rsidRPr="00790BEA" w14:paraId="077D1CC8" w14:textId="77777777" w:rsidTr="007D6861">
        <w:trPr>
          <w:trHeight w:val="269"/>
        </w:trPr>
        <w:tc>
          <w:tcPr>
            <w:tcW w:w="7929" w:type="dxa"/>
            <w:gridSpan w:val="8"/>
            <w:tcBorders>
              <w:top w:val="nil"/>
              <w:left w:val="nil"/>
              <w:bottom w:val="nil"/>
              <w:right w:val="nil"/>
            </w:tcBorders>
            <w:shd w:val="clear" w:color="auto" w:fill="auto"/>
            <w:noWrap/>
            <w:vAlign w:val="center"/>
            <w:hideMark/>
          </w:tcPr>
          <w:p w14:paraId="5B5912A8" w14:textId="77777777" w:rsidR="00D44C9E" w:rsidRPr="00790BEA" w:rsidRDefault="00D44C9E" w:rsidP="007D6861">
            <w:pPr>
              <w:spacing w:line="240" w:lineRule="auto"/>
              <w:rPr>
                <w:rFonts w:eastAsia="Times New Roman" w:cs="Times New Roman"/>
                <w:color w:val="000000"/>
                <w:sz w:val="16"/>
                <w:szCs w:val="16"/>
              </w:rPr>
            </w:pPr>
            <w:r w:rsidRPr="00790BEA">
              <w:rPr>
                <w:rFonts w:eastAsia="Times New Roman" w:cs="Times New Roman"/>
                <w:color w:val="000000"/>
                <w:sz w:val="16"/>
                <w:szCs w:val="16"/>
              </w:rPr>
              <w:t>**No diagnosis yet</w:t>
            </w:r>
          </w:p>
        </w:tc>
        <w:tc>
          <w:tcPr>
            <w:tcW w:w="1120" w:type="dxa"/>
            <w:vMerge w:val="restart"/>
            <w:tcBorders>
              <w:top w:val="nil"/>
              <w:left w:val="nil"/>
              <w:bottom w:val="nil"/>
              <w:right w:val="nil"/>
            </w:tcBorders>
            <w:shd w:val="clear" w:color="auto" w:fill="auto"/>
            <w:vAlign w:val="center"/>
            <w:hideMark/>
          </w:tcPr>
          <w:p w14:paraId="032D9A17" w14:textId="77777777" w:rsidR="00D44C9E" w:rsidRPr="00790BEA" w:rsidRDefault="00D44C9E" w:rsidP="007D6861">
            <w:pPr>
              <w:spacing w:line="240" w:lineRule="auto"/>
              <w:rPr>
                <w:rFonts w:ascii="Arial" w:eastAsia="Times New Roman" w:hAnsi="Arial" w:cs="Arial"/>
                <w:color w:val="000000"/>
                <w:szCs w:val="22"/>
              </w:rPr>
            </w:pPr>
          </w:p>
        </w:tc>
      </w:tr>
      <w:tr w:rsidR="00D44C9E" w:rsidRPr="00790BEA" w14:paraId="33EAE46E" w14:textId="77777777" w:rsidTr="007D6861">
        <w:trPr>
          <w:trHeight w:val="269"/>
        </w:trPr>
        <w:tc>
          <w:tcPr>
            <w:tcW w:w="7929" w:type="dxa"/>
            <w:gridSpan w:val="8"/>
            <w:tcBorders>
              <w:top w:val="nil"/>
              <w:left w:val="nil"/>
              <w:bottom w:val="nil"/>
              <w:right w:val="nil"/>
            </w:tcBorders>
            <w:shd w:val="clear" w:color="auto" w:fill="auto"/>
            <w:noWrap/>
            <w:vAlign w:val="center"/>
            <w:hideMark/>
          </w:tcPr>
          <w:p w14:paraId="65C5CF84" w14:textId="77777777" w:rsidR="00D44C9E" w:rsidRPr="00790BEA" w:rsidRDefault="00D44C9E" w:rsidP="007D6861">
            <w:pPr>
              <w:spacing w:line="240" w:lineRule="auto"/>
              <w:rPr>
                <w:rFonts w:eastAsia="Times New Roman" w:cs="Times New Roman"/>
                <w:color w:val="000000"/>
                <w:sz w:val="14"/>
                <w:szCs w:val="14"/>
              </w:rPr>
            </w:pPr>
            <w:r w:rsidRPr="00790BEA">
              <w:rPr>
                <w:rFonts w:eastAsia="Times New Roman" w:cs="Times New Roman"/>
                <w:color w:val="000000"/>
                <w:sz w:val="14"/>
                <w:szCs w:val="14"/>
              </w:rPr>
              <w:t>Source: Golden Gate Regional Center, February 2014</w:t>
            </w:r>
          </w:p>
        </w:tc>
        <w:tc>
          <w:tcPr>
            <w:tcW w:w="1120" w:type="dxa"/>
            <w:vMerge/>
            <w:tcBorders>
              <w:top w:val="nil"/>
              <w:left w:val="nil"/>
              <w:bottom w:val="nil"/>
              <w:right w:val="nil"/>
            </w:tcBorders>
            <w:vAlign w:val="center"/>
            <w:hideMark/>
          </w:tcPr>
          <w:p w14:paraId="70B6E7E3" w14:textId="77777777" w:rsidR="00D44C9E" w:rsidRPr="00790BEA" w:rsidRDefault="00D44C9E" w:rsidP="007D6861">
            <w:pPr>
              <w:spacing w:line="240" w:lineRule="auto"/>
              <w:rPr>
                <w:rFonts w:ascii="Arial" w:eastAsia="Times New Roman" w:hAnsi="Arial" w:cs="Arial"/>
                <w:color w:val="000000"/>
                <w:szCs w:val="22"/>
              </w:rPr>
            </w:pPr>
          </w:p>
        </w:tc>
      </w:tr>
    </w:tbl>
    <w:p w14:paraId="2F814559" w14:textId="77777777" w:rsidR="00610A71" w:rsidRDefault="00610A71" w:rsidP="00067077">
      <w:pPr>
        <w:pStyle w:val="21ElementsText"/>
      </w:pPr>
    </w:p>
    <w:p w14:paraId="0DF908BB" w14:textId="77777777" w:rsidR="00610A71" w:rsidRPr="00A34E33" w:rsidRDefault="00610A71" w:rsidP="00067077">
      <w:pPr>
        <w:pStyle w:val="21ElementsText"/>
        <w:rPr>
          <w:b/>
          <w:color w:val="0B5095"/>
          <w:sz w:val="24"/>
        </w:rPr>
      </w:pPr>
      <w:r w:rsidRPr="00A34E33">
        <w:rPr>
          <w:b/>
          <w:color w:val="0B5095"/>
          <w:sz w:val="24"/>
        </w:rPr>
        <w:t>Other Disabilities</w:t>
      </w:r>
    </w:p>
    <w:p w14:paraId="4E1DDE37" w14:textId="04F17C21" w:rsidR="00610A71" w:rsidRDefault="00610A71" w:rsidP="00067077">
      <w:pPr>
        <w:pStyle w:val="21ElementsText"/>
      </w:pPr>
      <w:r>
        <w:t xml:space="preserve">People in </w:t>
      </w:r>
      <w:r w:rsidR="00853231">
        <w:t>Hillsborough</w:t>
      </w:r>
      <w:r w:rsidR="005749EB">
        <w:t xml:space="preserve"> also</w:t>
      </w:r>
      <w:r>
        <w:t xml:space="preserve"> have non-developmental disabilities, such as hearing disabilities or vision disabilities.</w:t>
      </w:r>
      <w:r w:rsidR="00195DA8">
        <w:t xml:space="preserve"> </w:t>
      </w:r>
      <w:r>
        <w:t>Some residents have both developmental and non-developmental disabilities.</w:t>
      </w:r>
      <w:r w:rsidR="00195DA8">
        <w:t xml:space="preserve"> </w:t>
      </w:r>
    </w:p>
    <w:p w14:paraId="2FC8A522" w14:textId="77777777" w:rsidR="00273BF0" w:rsidRPr="00C37606" w:rsidRDefault="00273BF0" w:rsidP="003C454C"/>
    <w:p w14:paraId="40D562BC" w14:textId="1E8A0403" w:rsidR="003C454C" w:rsidRDefault="003C454C" w:rsidP="003C454C">
      <w:r w:rsidRPr="00C37606">
        <w:t>In San Mateo County, almost a third of the senior population has some kind of disability. Eight percent of the total population in the county has some kind of disability. The most common disabilities in the county are ambulatory disabilities (four percent of the population) and independent living disabilities (three percent). The census does not have numbers specifically for Hillsborough because it is too small, but the percentages are likely similar to the countywide figures.</w:t>
      </w:r>
      <w:r>
        <w:t xml:space="preserve"> </w:t>
      </w:r>
    </w:p>
    <w:p w14:paraId="7739EBB5" w14:textId="77777777" w:rsidR="00D44C9E" w:rsidRDefault="00D44C9E" w:rsidP="003C454C"/>
    <w:p w14:paraId="04146EB3" w14:textId="77777777" w:rsidR="00D44C9E" w:rsidRDefault="00D44C9E" w:rsidP="003C454C"/>
    <w:p w14:paraId="1EE78AE4" w14:textId="77777777" w:rsidR="00D44C9E" w:rsidRDefault="00D44C9E" w:rsidP="003C454C"/>
    <w:p w14:paraId="33C819B5" w14:textId="77777777" w:rsidR="00D44C9E" w:rsidRDefault="00D44C9E" w:rsidP="003C454C"/>
    <w:p w14:paraId="1E8EF62B" w14:textId="77777777" w:rsidR="00D44C9E" w:rsidRDefault="00D44C9E" w:rsidP="003C454C"/>
    <w:p w14:paraId="6D86990C" w14:textId="77777777" w:rsidR="00D44C9E" w:rsidRDefault="00D44C9E" w:rsidP="003C454C"/>
    <w:p w14:paraId="5FAA61DC" w14:textId="77777777" w:rsidR="00D44C9E" w:rsidRDefault="00D44C9E" w:rsidP="003C454C"/>
    <w:p w14:paraId="2679228B" w14:textId="77777777" w:rsidR="00D44C9E" w:rsidRDefault="00D44C9E" w:rsidP="003C454C"/>
    <w:p w14:paraId="102EFE5F" w14:textId="77777777" w:rsidR="00D44C9E" w:rsidRDefault="00D44C9E" w:rsidP="003C454C"/>
    <w:p w14:paraId="75E14E1D" w14:textId="77777777" w:rsidR="00D44C9E" w:rsidRDefault="00D44C9E" w:rsidP="003C454C"/>
    <w:p w14:paraId="0E347438" w14:textId="77777777" w:rsidR="00B91736" w:rsidRDefault="00B91736" w:rsidP="00B91736"/>
    <w:tbl>
      <w:tblPr>
        <w:tblW w:w="8280" w:type="dxa"/>
        <w:tblInd w:w="108" w:type="dxa"/>
        <w:tblLayout w:type="fixed"/>
        <w:tblLook w:val="04A0" w:firstRow="1" w:lastRow="0" w:firstColumn="1" w:lastColumn="0" w:noHBand="0" w:noVBand="1"/>
      </w:tblPr>
      <w:tblGrid>
        <w:gridCol w:w="2894"/>
        <w:gridCol w:w="1178"/>
        <w:gridCol w:w="1340"/>
        <w:gridCol w:w="983"/>
        <w:gridCol w:w="348"/>
        <w:gridCol w:w="1537"/>
      </w:tblGrid>
      <w:tr w:rsidR="00B91736" w:rsidRPr="00E81844" w14:paraId="00E48F86" w14:textId="77777777" w:rsidTr="00B91736">
        <w:trPr>
          <w:trHeight w:val="300"/>
        </w:trPr>
        <w:tc>
          <w:tcPr>
            <w:tcW w:w="8280" w:type="dxa"/>
            <w:gridSpan w:val="6"/>
            <w:tcBorders>
              <w:top w:val="nil"/>
              <w:left w:val="nil"/>
              <w:bottom w:val="nil"/>
              <w:right w:val="nil"/>
            </w:tcBorders>
            <w:shd w:val="clear" w:color="000000" w:fill="000000"/>
            <w:noWrap/>
            <w:vAlign w:val="bottom"/>
            <w:hideMark/>
          </w:tcPr>
          <w:p w14:paraId="0D5B414B" w14:textId="77777777" w:rsidR="00B91736" w:rsidRPr="00E81844" w:rsidRDefault="00B91736" w:rsidP="00B91736">
            <w:pPr>
              <w:ind w:right="-108"/>
              <w:rPr>
                <w:rFonts w:eastAsia="Times New Roman" w:cs="Times New Roman"/>
                <w:b/>
                <w:bCs/>
                <w:color w:val="FFFFFF"/>
                <w:sz w:val="20"/>
                <w:szCs w:val="20"/>
              </w:rPr>
            </w:pPr>
            <w:r w:rsidRPr="00E81844">
              <w:rPr>
                <w:rFonts w:eastAsia="Times New Roman" w:cs="Times New Roman"/>
                <w:b/>
                <w:bCs/>
                <w:color w:val="FFFFFF"/>
                <w:sz w:val="20"/>
                <w:szCs w:val="20"/>
              </w:rPr>
              <w:t>Age and Type of Disability</w:t>
            </w:r>
            <w:r>
              <w:rPr>
                <w:rFonts w:eastAsia="Times New Roman" w:cs="Times New Roman"/>
                <w:b/>
                <w:bCs/>
                <w:color w:val="FFFFFF"/>
                <w:sz w:val="20"/>
                <w:szCs w:val="20"/>
              </w:rPr>
              <w:t xml:space="preserve"> (2011)</w:t>
            </w:r>
          </w:p>
        </w:tc>
      </w:tr>
      <w:tr w:rsidR="00B91736" w:rsidRPr="00E81844" w14:paraId="74D12264" w14:textId="77777777" w:rsidTr="00B91736">
        <w:trPr>
          <w:trHeight w:val="300"/>
        </w:trPr>
        <w:tc>
          <w:tcPr>
            <w:tcW w:w="2894" w:type="dxa"/>
            <w:tcBorders>
              <w:top w:val="nil"/>
              <w:left w:val="nil"/>
              <w:bottom w:val="nil"/>
              <w:right w:val="nil"/>
            </w:tcBorders>
            <w:shd w:val="clear" w:color="auto" w:fill="auto"/>
            <w:noWrap/>
            <w:vAlign w:val="bottom"/>
            <w:hideMark/>
          </w:tcPr>
          <w:p w14:paraId="5B62C0C6" w14:textId="77777777" w:rsidR="00B91736" w:rsidRPr="00E81844" w:rsidRDefault="00B91736" w:rsidP="00B91736">
            <w:pPr>
              <w:spacing w:line="240" w:lineRule="auto"/>
              <w:rPr>
                <w:rFonts w:eastAsia="Times New Roman" w:cs="Times New Roman"/>
                <w:color w:val="000000"/>
                <w:sz w:val="18"/>
                <w:szCs w:val="18"/>
              </w:rPr>
            </w:pPr>
          </w:p>
        </w:tc>
        <w:tc>
          <w:tcPr>
            <w:tcW w:w="3501" w:type="dxa"/>
            <w:gridSpan w:val="3"/>
            <w:tcBorders>
              <w:top w:val="nil"/>
              <w:left w:val="nil"/>
              <w:bottom w:val="nil"/>
              <w:right w:val="nil"/>
            </w:tcBorders>
            <w:shd w:val="clear" w:color="auto" w:fill="auto"/>
            <w:noWrap/>
            <w:vAlign w:val="bottom"/>
            <w:hideMark/>
          </w:tcPr>
          <w:p w14:paraId="768A5580" w14:textId="77777777" w:rsidR="00B91736" w:rsidRDefault="00B91736" w:rsidP="00B91736">
            <w:pPr>
              <w:spacing w:line="240" w:lineRule="auto"/>
              <w:jc w:val="center"/>
              <w:rPr>
                <w:rFonts w:eastAsia="Times New Roman" w:cs="Times New Roman"/>
                <w:b/>
                <w:bCs/>
                <w:color w:val="000000"/>
                <w:sz w:val="18"/>
                <w:szCs w:val="18"/>
              </w:rPr>
            </w:pPr>
          </w:p>
          <w:p w14:paraId="33FF188B" w14:textId="77777777" w:rsidR="00B91736" w:rsidRDefault="00B91736" w:rsidP="00B91736">
            <w:pPr>
              <w:spacing w:line="240" w:lineRule="auto"/>
              <w:ind w:right="617"/>
              <w:jc w:val="center"/>
              <w:rPr>
                <w:rFonts w:eastAsia="Times New Roman" w:cs="Times New Roman"/>
                <w:b/>
                <w:bCs/>
                <w:color w:val="000000"/>
                <w:sz w:val="18"/>
                <w:szCs w:val="18"/>
              </w:rPr>
            </w:pPr>
            <w:r w:rsidRPr="00E81844">
              <w:rPr>
                <w:rFonts w:eastAsia="Times New Roman" w:cs="Times New Roman"/>
                <w:b/>
                <w:bCs/>
                <w:color w:val="000000"/>
                <w:sz w:val="18"/>
                <w:szCs w:val="18"/>
              </w:rPr>
              <w:t>Number</w:t>
            </w:r>
          </w:p>
          <w:p w14:paraId="5C5D6EE0" w14:textId="77777777" w:rsidR="00B91736" w:rsidRPr="009E5339" w:rsidRDefault="00B91736" w:rsidP="00B91736">
            <w:pPr>
              <w:spacing w:line="240" w:lineRule="auto"/>
              <w:jc w:val="center"/>
              <w:rPr>
                <w:rFonts w:eastAsia="Times New Roman" w:cs="Times New Roman"/>
                <w:b/>
                <w:bCs/>
                <w:color w:val="000000"/>
                <w:sz w:val="10"/>
                <w:szCs w:val="18"/>
              </w:rPr>
            </w:pPr>
          </w:p>
        </w:tc>
        <w:tc>
          <w:tcPr>
            <w:tcW w:w="1885" w:type="dxa"/>
            <w:gridSpan w:val="2"/>
            <w:tcBorders>
              <w:top w:val="nil"/>
              <w:left w:val="nil"/>
              <w:bottom w:val="nil"/>
              <w:right w:val="nil"/>
            </w:tcBorders>
            <w:shd w:val="clear" w:color="auto" w:fill="auto"/>
            <w:noWrap/>
            <w:vAlign w:val="bottom"/>
            <w:hideMark/>
          </w:tcPr>
          <w:p w14:paraId="0773742D" w14:textId="77777777" w:rsidR="00B91736" w:rsidRDefault="00B91736" w:rsidP="00B91736">
            <w:pPr>
              <w:spacing w:line="240" w:lineRule="auto"/>
              <w:ind w:right="522"/>
              <w:jc w:val="center"/>
              <w:rPr>
                <w:rFonts w:eastAsia="Times New Roman" w:cs="Times New Roman"/>
                <w:b/>
                <w:bCs/>
                <w:color w:val="000000"/>
                <w:sz w:val="18"/>
                <w:szCs w:val="18"/>
              </w:rPr>
            </w:pPr>
            <w:r w:rsidRPr="00E81844">
              <w:rPr>
                <w:rFonts w:eastAsia="Times New Roman" w:cs="Times New Roman"/>
                <w:b/>
                <w:bCs/>
                <w:color w:val="000000"/>
                <w:sz w:val="18"/>
                <w:szCs w:val="18"/>
              </w:rPr>
              <w:t>Percent</w:t>
            </w:r>
          </w:p>
          <w:p w14:paraId="733C8BEE" w14:textId="77777777" w:rsidR="00B91736" w:rsidRPr="009E5339" w:rsidRDefault="00B91736" w:rsidP="00B91736">
            <w:pPr>
              <w:spacing w:line="240" w:lineRule="auto"/>
              <w:jc w:val="center"/>
              <w:rPr>
                <w:rFonts w:eastAsia="Times New Roman" w:cs="Times New Roman"/>
                <w:b/>
                <w:bCs/>
                <w:color w:val="000000"/>
                <w:sz w:val="10"/>
                <w:szCs w:val="18"/>
              </w:rPr>
            </w:pPr>
          </w:p>
        </w:tc>
      </w:tr>
      <w:tr w:rsidR="00B91736" w:rsidRPr="00E81844" w14:paraId="61EFC79F" w14:textId="77777777" w:rsidTr="00B91736">
        <w:trPr>
          <w:trHeight w:val="320"/>
        </w:trPr>
        <w:tc>
          <w:tcPr>
            <w:tcW w:w="2894" w:type="dxa"/>
            <w:tcBorders>
              <w:top w:val="nil"/>
              <w:left w:val="nil"/>
              <w:bottom w:val="single" w:sz="8" w:space="0" w:color="auto"/>
              <w:right w:val="nil"/>
            </w:tcBorders>
            <w:shd w:val="clear" w:color="auto" w:fill="auto"/>
            <w:noWrap/>
            <w:vAlign w:val="bottom"/>
            <w:hideMark/>
          </w:tcPr>
          <w:p w14:paraId="16215D21" w14:textId="77777777" w:rsidR="00B91736" w:rsidRPr="00E81844" w:rsidRDefault="00B91736" w:rsidP="00B91736">
            <w:pPr>
              <w:spacing w:line="240" w:lineRule="auto"/>
              <w:rPr>
                <w:rFonts w:eastAsia="Times New Roman" w:cs="Times New Roman"/>
                <w:color w:val="000000"/>
                <w:sz w:val="18"/>
                <w:szCs w:val="18"/>
              </w:rPr>
            </w:pPr>
            <w:r w:rsidRPr="00E81844">
              <w:rPr>
                <w:rFonts w:eastAsia="Times New Roman" w:cs="Times New Roman"/>
                <w:color w:val="000000"/>
                <w:sz w:val="18"/>
                <w:szCs w:val="18"/>
              </w:rPr>
              <w:t> </w:t>
            </w:r>
          </w:p>
        </w:tc>
        <w:tc>
          <w:tcPr>
            <w:tcW w:w="1178" w:type="dxa"/>
            <w:tcBorders>
              <w:top w:val="nil"/>
              <w:left w:val="nil"/>
              <w:bottom w:val="single" w:sz="8" w:space="0" w:color="auto"/>
              <w:right w:val="nil"/>
            </w:tcBorders>
            <w:shd w:val="clear" w:color="auto" w:fill="auto"/>
            <w:noWrap/>
            <w:vAlign w:val="bottom"/>
            <w:hideMark/>
          </w:tcPr>
          <w:p w14:paraId="18FE65C6" w14:textId="77777777" w:rsidR="00B91736" w:rsidRDefault="00B91736" w:rsidP="00B91736">
            <w:pPr>
              <w:spacing w:line="240" w:lineRule="auto"/>
              <w:jc w:val="right"/>
              <w:rPr>
                <w:rFonts w:eastAsia="Times New Roman" w:cs="Times New Roman"/>
                <w:color w:val="000000"/>
                <w:sz w:val="18"/>
                <w:szCs w:val="18"/>
              </w:rPr>
            </w:pPr>
            <w:r>
              <w:rPr>
                <w:rFonts w:eastAsia="Times New Roman" w:cs="Times New Roman"/>
                <w:color w:val="000000"/>
                <w:sz w:val="18"/>
                <w:szCs w:val="18"/>
              </w:rPr>
              <w:t xml:space="preserve">San Mateo </w:t>
            </w:r>
            <w:r w:rsidRPr="00E81844">
              <w:rPr>
                <w:rFonts w:eastAsia="Times New Roman" w:cs="Times New Roman"/>
                <w:color w:val="000000"/>
                <w:sz w:val="18"/>
                <w:szCs w:val="18"/>
              </w:rPr>
              <w:t>County</w:t>
            </w:r>
          </w:p>
          <w:p w14:paraId="72932BE7" w14:textId="77777777" w:rsidR="00B91736" w:rsidRPr="009E5339" w:rsidRDefault="00B91736" w:rsidP="00B91736">
            <w:pPr>
              <w:spacing w:line="240" w:lineRule="auto"/>
              <w:jc w:val="right"/>
              <w:rPr>
                <w:rFonts w:eastAsia="Times New Roman" w:cs="Times New Roman"/>
                <w:color w:val="000000"/>
                <w:sz w:val="10"/>
                <w:szCs w:val="18"/>
              </w:rPr>
            </w:pPr>
          </w:p>
        </w:tc>
        <w:tc>
          <w:tcPr>
            <w:tcW w:w="1340" w:type="dxa"/>
            <w:tcBorders>
              <w:top w:val="nil"/>
              <w:left w:val="nil"/>
              <w:bottom w:val="single" w:sz="8" w:space="0" w:color="auto"/>
              <w:right w:val="nil"/>
            </w:tcBorders>
            <w:shd w:val="clear" w:color="auto" w:fill="auto"/>
            <w:noWrap/>
            <w:vAlign w:val="bottom"/>
            <w:hideMark/>
          </w:tcPr>
          <w:p w14:paraId="130827FE" w14:textId="77777777" w:rsidR="00B91736" w:rsidRDefault="00B91736" w:rsidP="00B91736">
            <w:pPr>
              <w:spacing w:line="240" w:lineRule="auto"/>
              <w:jc w:val="right"/>
              <w:rPr>
                <w:rFonts w:eastAsia="Times New Roman" w:cs="Times New Roman"/>
                <w:color w:val="000000"/>
                <w:sz w:val="18"/>
                <w:szCs w:val="18"/>
              </w:rPr>
            </w:pPr>
            <w:r w:rsidRPr="00E81844">
              <w:rPr>
                <w:rFonts w:eastAsia="Times New Roman" w:cs="Times New Roman"/>
                <w:color w:val="000000"/>
                <w:sz w:val="18"/>
                <w:szCs w:val="18"/>
              </w:rPr>
              <w:t>State</w:t>
            </w:r>
            <w:r>
              <w:rPr>
                <w:rFonts w:eastAsia="Times New Roman" w:cs="Times New Roman"/>
                <w:color w:val="000000"/>
                <w:sz w:val="18"/>
                <w:szCs w:val="18"/>
              </w:rPr>
              <w:t xml:space="preserve"> of California</w:t>
            </w:r>
          </w:p>
          <w:p w14:paraId="3AF3047B" w14:textId="77777777" w:rsidR="00B91736" w:rsidRPr="009E5339" w:rsidRDefault="00B91736" w:rsidP="00B91736">
            <w:pPr>
              <w:spacing w:line="240" w:lineRule="auto"/>
              <w:jc w:val="right"/>
              <w:rPr>
                <w:rFonts w:eastAsia="Times New Roman" w:cs="Times New Roman"/>
                <w:color w:val="000000"/>
                <w:sz w:val="10"/>
                <w:szCs w:val="18"/>
              </w:rPr>
            </w:pPr>
          </w:p>
        </w:tc>
        <w:tc>
          <w:tcPr>
            <w:tcW w:w="1331" w:type="dxa"/>
            <w:gridSpan w:val="2"/>
            <w:tcBorders>
              <w:top w:val="nil"/>
              <w:left w:val="nil"/>
              <w:bottom w:val="single" w:sz="8" w:space="0" w:color="auto"/>
              <w:right w:val="nil"/>
            </w:tcBorders>
            <w:shd w:val="clear" w:color="auto" w:fill="auto"/>
            <w:noWrap/>
            <w:vAlign w:val="bottom"/>
            <w:hideMark/>
          </w:tcPr>
          <w:p w14:paraId="17FFA7EC" w14:textId="77777777" w:rsidR="00B91736" w:rsidRDefault="00B91736" w:rsidP="00B91736">
            <w:pPr>
              <w:spacing w:line="240" w:lineRule="auto"/>
              <w:jc w:val="right"/>
              <w:rPr>
                <w:rFonts w:eastAsia="Times New Roman" w:cs="Times New Roman"/>
                <w:color w:val="000000"/>
                <w:sz w:val="18"/>
                <w:szCs w:val="18"/>
              </w:rPr>
            </w:pPr>
            <w:r>
              <w:rPr>
                <w:rFonts w:eastAsia="Times New Roman" w:cs="Times New Roman"/>
                <w:color w:val="000000"/>
                <w:sz w:val="18"/>
                <w:szCs w:val="18"/>
              </w:rPr>
              <w:t xml:space="preserve">San Mateo </w:t>
            </w:r>
            <w:r w:rsidRPr="00E81844">
              <w:rPr>
                <w:rFonts w:eastAsia="Times New Roman" w:cs="Times New Roman"/>
                <w:color w:val="000000"/>
                <w:sz w:val="18"/>
                <w:szCs w:val="18"/>
              </w:rPr>
              <w:t>County</w:t>
            </w:r>
          </w:p>
          <w:p w14:paraId="45D9B5EB" w14:textId="77777777" w:rsidR="00B91736" w:rsidRPr="009E5339" w:rsidRDefault="00B91736" w:rsidP="00B91736">
            <w:pPr>
              <w:spacing w:line="240" w:lineRule="auto"/>
              <w:jc w:val="right"/>
              <w:rPr>
                <w:rFonts w:eastAsia="Times New Roman" w:cs="Times New Roman"/>
                <w:color w:val="000000"/>
                <w:sz w:val="10"/>
                <w:szCs w:val="18"/>
              </w:rPr>
            </w:pPr>
          </w:p>
        </w:tc>
        <w:tc>
          <w:tcPr>
            <w:tcW w:w="1537" w:type="dxa"/>
            <w:tcBorders>
              <w:top w:val="nil"/>
              <w:left w:val="nil"/>
              <w:bottom w:val="single" w:sz="8" w:space="0" w:color="auto"/>
              <w:right w:val="nil"/>
            </w:tcBorders>
            <w:shd w:val="clear" w:color="auto" w:fill="auto"/>
            <w:noWrap/>
            <w:vAlign w:val="bottom"/>
            <w:hideMark/>
          </w:tcPr>
          <w:p w14:paraId="4C24C027" w14:textId="77777777" w:rsidR="00B91736" w:rsidRDefault="00B91736" w:rsidP="00B91736">
            <w:pPr>
              <w:spacing w:line="240" w:lineRule="auto"/>
              <w:jc w:val="right"/>
              <w:rPr>
                <w:rFonts w:eastAsia="Times New Roman" w:cs="Times New Roman"/>
                <w:color w:val="000000"/>
                <w:sz w:val="18"/>
                <w:szCs w:val="18"/>
              </w:rPr>
            </w:pPr>
            <w:r w:rsidRPr="00E81844">
              <w:rPr>
                <w:rFonts w:eastAsia="Times New Roman" w:cs="Times New Roman"/>
                <w:color w:val="000000"/>
                <w:sz w:val="18"/>
                <w:szCs w:val="18"/>
              </w:rPr>
              <w:t>State</w:t>
            </w:r>
            <w:r>
              <w:rPr>
                <w:rFonts w:eastAsia="Times New Roman" w:cs="Times New Roman"/>
                <w:color w:val="000000"/>
                <w:sz w:val="18"/>
                <w:szCs w:val="18"/>
              </w:rPr>
              <w:t xml:space="preserve"> of California</w:t>
            </w:r>
          </w:p>
          <w:p w14:paraId="38EC7275" w14:textId="77777777" w:rsidR="00B91736" w:rsidRPr="009E5339" w:rsidRDefault="00B91736" w:rsidP="00B91736">
            <w:pPr>
              <w:spacing w:line="240" w:lineRule="auto"/>
              <w:jc w:val="right"/>
              <w:rPr>
                <w:rFonts w:eastAsia="Times New Roman" w:cs="Times New Roman"/>
                <w:color w:val="000000"/>
                <w:sz w:val="10"/>
                <w:szCs w:val="18"/>
              </w:rPr>
            </w:pPr>
          </w:p>
        </w:tc>
      </w:tr>
      <w:tr w:rsidR="00B91736" w:rsidRPr="00E81844" w14:paraId="11E2331D"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46CA05CA"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Under 18 with Disability</w:t>
            </w:r>
          </w:p>
        </w:tc>
        <w:tc>
          <w:tcPr>
            <w:tcW w:w="1178" w:type="dxa"/>
            <w:tcBorders>
              <w:top w:val="nil"/>
              <w:left w:val="nil"/>
              <w:bottom w:val="single" w:sz="4" w:space="0" w:color="808080"/>
              <w:right w:val="nil"/>
            </w:tcBorders>
            <w:shd w:val="clear" w:color="auto" w:fill="auto"/>
            <w:noWrap/>
            <w:vAlign w:val="bottom"/>
            <w:hideMark/>
          </w:tcPr>
          <w:p w14:paraId="4F4CE6DB"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3,270 </w:t>
            </w:r>
          </w:p>
        </w:tc>
        <w:tc>
          <w:tcPr>
            <w:tcW w:w="1340" w:type="dxa"/>
            <w:tcBorders>
              <w:top w:val="nil"/>
              <w:left w:val="nil"/>
              <w:bottom w:val="single" w:sz="4" w:space="0" w:color="808080"/>
              <w:right w:val="nil"/>
            </w:tcBorders>
            <w:shd w:val="clear" w:color="auto" w:fill="auto"/>
            <w:noWrap/>
            <w:vAlign w:val="bottom"/>
            <w:hideMark/>
          </w:tcPr>
          <w:p w14:paraId="54413C8B"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280,649 </w:t>
            </w:r>
          </w:p>
        </w:tc>
        <w:tc>
          <w:tcPr>
            <w:tcW w:w="1331" w:type="dxa"/>
            <w:gridSpan w:val="2"/>
            <w:tcBorders>
              <w:top w:val="nil"/>
              <w:left w:val="nil"/>
              <w:bottom w:val="single" w:sz="4" w:space="0" w:color="808080"/>
              <w:right w:val="nil"/>
            </w:tcBorders>
            <w:shd w:val="clear" w:color="auto" w:fill="auto"/>
            <w:noWrap/>
            <w:vAlign w:val="bottom"/>
            <w:hideMark/>
          </w:tcPr>
          <w:p w14:paraId="65BC8A4B"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2.1%</w:t>
            </w:r>
          </w:p>
        </w:tc>
        <w:tc>
          <w:tcPr>
            <w:tcW w:w="1537" w:type="dxa"/>
            <w:tcBorders>
              <w:top w:val="nil"/>
              <w:left w:val="nil"/>
              <w:bottom w:val="single" w:sz="4" w:space="0" w:color="808080"/>
              <w:right w:val="nil"/>
            </w:tcBorders>
            <w:shd w:val="clear" w:color="auto" w:fill="auto"/>
            <w:noWrap/>
            <w:vAlign w:val="bottom"/>
            <w:hideMark/>
          </w:tcPr>
          <w:p w14:paraId="0D124B5F"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3.0%</w:t>
            </w:r>
          </w:p>
        </w:tc>
      </w:tr>
      <w:tr w:rsidR="00B91736" w:rsidRPr="00E81844" w14:paraId="27FD7773"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2DCF8A78"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Age 18-64 with Disability</w:t>
            </w:r>
          </w:p>
        </w:tc>
        <w:tc>
          <w:tcPr>
            <w:tcW w:w="1178" w:type="dxa"/>
            <w:tcBorders>
              <w:top w:val="nil"/>
              <w:left w:val="nil"/>
              <w:bottom w:val="single" w:sz="4" w:space="0" w:color="808080"/>
              <w:right w:val="nil"/>
            </w:tcBorders>
            <w:shd w:val="clear" w:color="auto" w:fill="auto"/>
            <w:noWrap/>
            <w:vAlign w:val="bottom"/>
            <w:hideMark/>
          </w:tcPr>
          <w:p w14:paraId="0DFFFA82"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23,231 </w:t>
            </w:r>
          </w:p>
        </w:tc>
        <w:tc>
          <w:tcPr>
            <w:tcW w:w="1340" w:type="dxa"/>
            <w:tcBorders>
              <w:top w:val="nil"/>
              <w:left w:val="nil"/>
              <w:bottom w:val="single" w:sz="4" w:space="0" w:color="808080"/>
              <w:right w:val="nil"/>
            </w:tcBorders>
            <w:shd w:val="clear" w:color="auto" w:fill="auto"/>
            <w:noWrap/>
            <w:vAlign w:val="bottom"/>
            <w:hideMark/>
          </w:tcPr>
          <w:p w14:paraId="303A09B2"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1,843,497 </w:t>
            </w:r>
          </w:p>
        </w:tc>
        <w:tc>
          <w:tcPr>
            <w:tcW w:w="1331" w:type="dxa"/>
            <w:gridSpan w:val="2"/>
            <w:tcBorders>
              <w:top w:val="nil"/>
              <w:left w:val="nil"/>
              <w:bottom w:val="single" w:sz="4" w:space="0" w:color="808080"/>
              <w:right w:val="nil"/>
            </w:tcBorders>
            <w:shd w:val="clear" w:color="auto" w:fill="auto"/>
            <w:noWrap/>
            <w:vAlign w:val="bottom"/>
            <w:hideMark/>
          </w:tcPr>
          <w:p w14:paraId="3D92BB8B"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5.0%</w:t>
            </w:r>
          </w:p>
        </w:tc>
        <w:tc>
          <w:tcPr>
            <w:tcW w:w="1537" w:type="dxa"/>
            <w:tcBorders>
              <w:top w:val="nil"/>
              <w:left w:val="nil"/>
              <w:bottom w:val="single" w:sz="4" w:space="0" w:color="808080"/>
              <w:right w:val="nil"/>
            </w:tcBorders>
            <w:shd w:val="clear" w:color="auto" w:fill="auto"/>
            <w:noWrap/>
            <w:vAlign w:val="bottom"/>
            <w:hideMark/>
          </w:tcPr>
          <w:p w14:paraId="4131A115"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7.9%</w:t>
            </w:r>
          </w:p>
        </w:tc>
      </w:tr>
      <w:tr w:rsidR="00B91736" w:rsidRPr="00E81844" w14:paraId="1C9F711F" w14:textId="77777777" w:rsidTr="00B91736">
        <w:trPr>
          <w:trHeight w:val="300"/>
        </w:trPr>
        <w:tc>
          <w:tcPr>
            <w:tcW w:w="2894" w:type="dxa"/>
            <w:tcBorders>
              <w:top w:val="nil"/>
              <w:left w:val="nil"/>
              <w:bottom w:val="single" w:sz="4" w:space="0" w:color="auto"/>
              <w:right w:val="nil"/>
            </w:tcBorders>
            <w:shd w:val="clear" w:color="auto" w:fill="auto"/>
            <w:vAlign w:val="bottom"/>
            <w:hideMark/>
          </w:tcPr>
          <w:p w14:paraId="41DC41EE"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Age 65 + with Disability</w:t>
            </w:r>
          </w:p>
        </w:tc>
        <w:tc>
          <w:tcPr>
            <w:tcW w:w="1178" w:type="dxa"/>
            <w:tcBorders>
              <w:top w:val="nil"/>
              <w:left w:val="nil"/>
              <w:bottom w:val="single" w:sz="4" w:space="0" w:color="auto"/>
              <w:right w:val="nil"/>
            </w:tcBorders>
            <w:shd w:val="clear" w:color="auto" w:fill="auto"/>
            <w:noWrap/>
            <w:vAlign w:val="bottom"/>
            <w:hideMark/>
          </w:tcPr>
          <w:p w14:paraId="39DA286B"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28,703 </w:t>
            </w:r>
          </w:p>
        </w:tc>
        <w:tc>
          <w:tcPr>
            <w:tcW w:w="1340" w:type="dxa"/>
            <w:tcBorders>
              <w:top w:val="nil"/>
              <w:left w:val="nil"/>
              <w:bottom w:val="single" w:sz="4" w:space="0" w:color="auto"/>
              <w:right w:val="nil"/>
            </w:tcBorders>
            <w:shd w:val="clear" w:color="auto" w:fill="auto"/>
            <w:noWrap/>
            <w:vAlign w:val="bottom"/>
            <w:hideMark/>
          </w:tcPr>
          <w:p w14:paraId="014D6C5D"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1,547,712 </w:t>
            </w:r>
          </w:p>
        </w:tc>
        <w:tc>
          <w:tcPr>
            <w:tcW w:w="1331" w:type="dxa"/>
            <w:gridSpan w:val="2"/>
            <w:tcBorders>
              <w:top w:val="nil"/>
              <w:left w:val="nil"/>
              <w:bottom w:val="single" w:sz="4" w:space="0" w:color="auto"/>
              <w:right w:val="nil"/>
            </w:tcBorders>
            <w:shd w:val="clear" w:color="auto" w:fill="auto"/>
            <w:noWrap/>
            <w:vAlign w:val="bottom"/>
            <w:hideMark/>
          </w:tcPr>
          <w:p w14:paraId="1242D6F2"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31%</w:t>
            </w:r>
          </w:p>
        </w:tc>
        <w:tc>
          <w:tcPr>
            <w:tcW w:w="1537" w:type="dxa"/>
            <w:tcBorders>
              <w:top w:val="nil"/>
              <w:left w:val="nil"/>
              <w:bottom w:val="single" w:sz="4" w:space="0" w:color="auto"/>
              <w:right w:val="nil"/>
            </w:tcBorders>
            <w:shd w:val="clear" w:color="auto" w:fill="auto"/>
            <w:noWrap/>
            <w:vAlign w:val="bottom"/>
            <w:hideMark/>
          </w:tcPr>
          <w:p w14:paraId="293CCD5F"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37%</w:t>
            </w:r>
          </w:p>
        </w:tc>
      </w:tr>
      <w:tr w:rsidR="00B91736" w:rsidRPr="00E81844" w14:paraId="51E511D0"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2BC3658D"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Any Age with Any Disability</w:t>
            </w:r>
          </w:p>
        </w:tc>
        <w:tc>
          <w:tcPr>
            <w:tcW w:w="1178" w:type="dxa"/>
            <w:tcBorders>
              <w:top w:val="nil"/>
              <w:left w:val="nil"/>
              <w:bottom w:val="single" w:sz="4" w:space="0" w:color="808080"/>
              <w:right w:val="nil"/>
            </w:tcBorders>
            <w:shd w:val="clear" w:color="auto" w:fill="auto"/>
            <w:noWrap/>
            <w:vAlign w:val="bottom"/>
            <w:hideMark/>
          </w:tcPr>
          <w:p w14:paraId="021BA5A9"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55,204 </w:t>
            </w:r>
          </w:p>
        </w:tc>
        <w:tc>
          <w:tcPr>
            <w:tcW w:w="1340" w:type="dxa"/>
            <w:tcBorders>
              <w:top w:val="nil"/>
              <w:left w:val="nil"/>
              <w:bottom w:val="single" w:sz="4" w:space="0" w:color="808080"/>
              <w:right w:val="nil"/>
            </w:tcBorders>
            <w:shd w:val="clear" w:color="auto" w:fill="auto"/>
            <w:noWrap/>
            <w:vAlign w:val="bottom"/>
            <w:hideMark/>
          </w:tcPr>
          <w:p w14:paraId="79AEEE8A"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3,671,858 </w:t>
            </w:r>
          </w:p>
        </w:tc>
        <w:tc>
          <w:tcPr>
            <w:tcW w:w="1331" w:type="dxa"/>
            <w:gridSpan w:val="2"/>
            <w:tcBorders>
              <w:top w:val="nil"/>
              <w:left w:val="nil"/>
              <w:bottom w:val="single" w:sz="4" w:space="0" w:color="808080"/>
              <w:right w:val="nil"/>
            </w:tcBorders>
            <w:shd w:val="clear" w:color="auto" w:fill="auto"/>
            <w:noWrap/>
            <w:vAlign w:val="bottom"/>
            <w:hideMark/>
          </w:tcPr>
          <w:p w14:paraId="470217C9"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8%</w:t>
            </w:r>
          </w:p>
        </w:tc>
        <w:tc>
          <w:tcPr>
            <w:tcW w:w="1537" w:type="dxa"/>
            <w:tcBorders>
              <w:top w:val="nil"/>
              <w:left w:val="nil"/>
              <w:bottom w:val="single" w:sz="4" w:space="0" w:color="808080"/>
              <w:right w:val="nil"/>
            </w:tcBorders>
            <w:shd w:val="clear" w:color="auto" w:fill="auto"/>
            <w:noWrap/>
            <w:vAlign w:val="bottom"/>
            <w:hideMark/>
          </w:tcPr>
          <w:p w14:paraId="365765B1"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10%</w:t>
            </w:r>
          </w:p>
        </w:tc>
      </w:tr>
      <w:tr w:rsidR="00B91736" w:rsidRPr="00E81844" w14:paraId="348DB63A"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5BE94296"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Any Age With Hearing Disability</w:t>
            </w:r>
          </w:p>
        </w:tc>
        <w:tc>
          <w:tcPr>
            <w:tcW w:w="1178" w:type="dxa"/>
            <w:tcBorders>
              <w:top w:val="nil"/>
              <w:left w:val="nil"/>
              <w:bottom w:val="single" w:sz="4" w:space="0" w:color="808080"/>
              <w:right w:val="nil"/>
            </w:tcBorders>
            <w:shd w:val="clear" w:color="auto" w:fill="auto"/>
            <w:noWrap/>
            <w:vAlign w:val="bottom"/>
            <w:hideMark/>
          </w:tcPr>
          <w:p w14:paraId="1EAC4F28"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15,651 </w:t>
            </w:r>
          </w:p>
        </w:tc>
        <w:tc>
          <w:tcPr>
            <w:tcW w:w="1340" w:type="dxa"/>
            <w:tcBorders>
              <w:top w:val="nil"/>
              <w:left w:val="nil"/>
              <w:bottom w:val="single" w:sz="4" w:space="0" w:color="808080"/>
              <w:right w:val="nil"/>
            </w:tcBorders>
            <w:shd w:val="clear" w:color="auto" w:fill="auto"/>
            <w:noWrap/>
            <w:vAlign w:val="bottom"/>
            <w:hideMark/>
          </w:tcPr>
          <w:p w14:paraId="53658321"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1,022,928 </w:t>
            </w:r>
          </w:p>
        </w:tc>
        <w:tc>
          <w:tcPr>
            <w:tcW w:w="1331" w:type="dxa"/>
            <w:gridSpan w:val="2"/>
            <w:tcBorders>
              <w:top w:val="nil"/>
              <w:left w:val="nil"/>
              <w:bottom w:val="single" w:sz="4" w:space="0" w:color="808080"/>
              <w:right w:val="nil"/>
            </w:tcBorders>
            <w:shd w:val="clear" w:color="auto" w:fill="auto"/>
            <w:noWrap/>
            <w:vAlign w:val="bottom"/>
            <w:hideMark/>
          </w:tcPr>
          <w:p w14:paraId="78645B68"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2.2%</w:t>
            </w:r>
          </w:p>
        </w:tc>
        <w:tc>
          <w:tcPr>
            <w:tcW w:w="1537" w:type="dxa"/>
            <w:tcBorders>
              <w:top w:val="nil"/>
              <w:left w:val="nil"/>
              <w:bottom w:val="single" w:sz="4" w:space="0" w:color="808080"/>
              <w:right w:val="nil"/>
            </w:tcBorders>
            <w:shd w:val="clear" w:color="auto" w:fill="auto"/>
            <w:noWrap/>
            <w:vAlign w:val="bottom"/>
            <w:hideMark/>
          </w:tcPr>
          <w:p w14:paraId="3D139D7E"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2.8%</w:t>
            </w:r>
          </w:p>
        </w:tc>
      </w:tr>
      <w:tr w:rsidR="00B91736" w:rsidRPr="00E81844" w14:paraId="6F6BADEB"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3B94A58A"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With Vision Disability</w:t>
            </w:r>
          </w:p>
        </w:tc>
        <w:tc>
          <w:tcPr>
            <w:tcW w:w="1178" w:type="dxa"/>
            <w:tcBorders>
              <w:top w:val="nil"/>
              <w:left w:val="nil"/>
              <w:bottom w:val="single" w:sz="4" w:space="0" w:color="808080"/>
              <w:right w:val="nil"/>
            </w:tcBorders>
            <w:shd w:val="clear" w:color="auto" w:fill="auto"/>
            <w:noWrap/>
            <w:vAlign w:val="bottom"/>
            <w:hideMark/>
          </w:tcPr>
          <w:p w14:paraId="509F6A23"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8,199 </w:t>
            </w:r>
          </w:p>
        </w:tc>
        <w:tc>
          <w:tcPr>
            <w:tcW w:w="1340" w:type="dxa"/>
            <w:tcBorders>
              <w:top w:val="nil"/>
              <w:left w:val="nil"/>
              <w:bottom w:val="single" w:sz="4" w:space="0" w:color="808080"/>
              <w:right w:val="nil"/>
            </w:tcBorders>
            <w:shd w:val="clear" w:color="auto" w:fill="auto"/>
            <w:noWrap/>
            <w:vAlign w:val="bottom"/>
            <w:hideMark/>
          </w:tcPr>
          <w:p w14:paraId="0EB793BD"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685,600 </w:t>
            </w:r>
          </w:p>
        </w:tc>
        <w:tc>
          <w:tcPr>
            <w:tcW w:w="1331" w:type="dxa"/>
            <w:gridSpan w:val="2"/>
            <w:tcBorders>
              <w:top w:val="nil"/>
              <w:left w:val="nil"/>
              <w:bottom w:val="single" w:sz="4" w:space="0" w:color="808080"/>
              <w:right w:val="nil"/>
            </w:tcBorders>
            <w:shd w:val="clear" w:color="auto" w:fill="auto"/>
            <w:noWrap/>
            <w:vAlign w:val="bottom"/>
            <w:hideMark/>
          </w:tcPr>
          <w:p w14:paraId="33AB7707"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1.1%</w:t>
            </w:r>
          </w:p>
        </w:tc>
        <w:tc>
          <w:tcPr>
            <w:tcW w:w="1537" w:type="dxa"/>
            <w:tcBorders>
              <w:top w:val="nil"/>
              <w:left w:val="nil"/>
              <w:bottom w:val="single" w:sz="4" w:space="0" w:color="808080"/>
              <w:right w:val="nil"/>
            </w:tcBorders>
            <w:shd w:val="clear" w:color="auto" w:fill="auto"/>
            <w:noWrap/>
            <w:vAlign w:val="bottom"/>
            <w:hideMark/>
          </w:tcPr>
          <w:p w14:paraId="54021851"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1.9%</w:t>
            </w:r>
          </w:p>
        </w:tc>
      </w:tr>
      <w:tr w:rsidR="00B91736" w:rsidRPr="00E81844" w14:paraId="4F044C9F"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10FC100D"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With Cognitive Disability</w:t>
            </w:r>
          </w:p>
        </w:tc>
        <w:tc>
          <w:tcPr>
            <w:tcW w:w="1178" w:type="dxa"/>
            <w:tcBorders>
              <w:top w:val="nil"/>
              <w:left w:val="nil"/>
              <w:bottom w:val="single" w:sz="4" w:space="0" w:color="808080"/>
              <w:right w:val="nil"/>
            </w:tcBorders>
            <w:shd w:val="clear" w:color="auto" w:fill="auto"/>
            <w:noWrap/>
            <w:vAlign w:val="bottom"/>
            <w:hideMark/>
          </w:tcPr>
          <w:p w14:paraId="310089FB"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19,549 </w:t>
            </w:r>
          </w:p>
        </w:tc>
        <w:tc>
          <w:tcPr>
            <w:tcW w:w="1340" w:type="dxa"/>
            <w:tcBorders>
              <w:top w:val="nil"/>
              <w:left w:val="nil"/>
              <w:bottom w:val="single" w:sz="4" w:space="0" w:color="808080"/>
              <w:right w:val="nil"/>
            </w:tcBorders>
            <w:shd w:val="clear" w:color="auto" w:fill="auto"/>
            <w:noWrap/>
            <w:vAlign w:val="bottom"/>
            <w:hideMark/>
          </w:tcPr>
          <w:p w14:paraId="7CBA320E"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1,400,745 </w:t>
            </w:r>
          </w:p>
        </w:tc>
        <w:tc>
          <w:tcPr>
            <w:tcW w:w="1331" w:type="dxa"/>
            <w:gridSpan w:val="2"/>
            <w:tcBorders>
              <w:top w:val="nil"/>
              <w:left w:val="nil"/>
              <w:bottom w:val="single" w:sz="4" w:space="0" w:color="808080"/>
              <w:right w:val="nil"/>
            </w:tcBorders>
            <w:shd w:val="clear" w:color="auto" w:fill="auto"/>
            <w:noWrap/>
            <w:vAlign w:val="bottom"/>
            <w:hideMark/>
          </w:tcPr>
          <w:p w14:paraId="0E1F350E"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2.7%</w:t>
            </w:r>
          </w:p>
        </w:tc>
        <w:tc>
          <w:tcPr>
            <w:tcW w:w="1537" w:type="dxa"/>
            <w:tcBorders>
              <w:top w:val="nil"/>
              <w:left w:val="nil"/>
              <w:bottom w:val="single" w:sz="4" w:space="0" w:color="808080"/>
              <w:right w:val="nil"/>
            </w:tcBorders>
            <w:shd w:val="clear" w:color="auto" w:fill="auto"/>
            <w:noWrap/>
            <w:vAlign w:val="bottom"/>
            <w:hideMark/>
          </w:tcPr>
          <w:p w14:paraId="5E431833"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3.8%</w:t>
            </w:r>
          </w:p>
        </w:tc>
      </w:tr>
      <w:tr w:rsidR="00B91736" w:rsidRPr="00E81844" w14:paraId="47EA45B4"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72FC3F68"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With Ambulatory Disability</w:t>
            </w:r>
          </w:p>
        </w:tc>
        <w:tc>
          <w:tcPr>
            <w:tcW w:w="1178" w:type="dxa"/>
            <w:tcBorders>
              <w:top w:val="nil"/>
              <w:left w:val="nil"/>
              <w:bottom w:val="single" w:sz="4" w:space="0" w:color="808080"/>
              <w:right w:val="nil"/>
            </w:tcBorders>
            <w:shd w:val="clear" w:color="auto" w:fill="auto"/>
            <w:noWrap/>
            <w:vAlign w:val="bottom"/>
            <w:hideMark/>
          </w:tcPr>
          <w:p w14:paraId="52197C34"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29,757 </w:t>
            </w:r>
          </w:p>
        </w:tc>
        <w:tc>
          <w:tcPr>
            <w:tcW w:w="1340" w:type="dxa"/>
            <w:tcBorders>
              <w:top w:val="nil"/>
              <w:left w:val="nil"/>
              <w:bottom w:val="single" w:sz="4" w:space="0" w:color="808080"/>
              <w:right w:val="nil"/>
            </w:tcBorders>
            <w:shd w:val="clear" w:color="auto" w:fill="auto"/>
            <w:noWrap/>
            <w:vAlign w:val="bottom"/>
            <w:hideMark/>
          </w:tcPr>
          <w:p w14:paraId="36BEC7CF"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1,960,853 </w:t>
            </w:r>
          </w:p>
        </w:tc>
        <w:tc>
          <w:tcPr>
            <w:tcW w:w="1331" w:type="dxa"/>
            <w:gridSpan w:val="2"/>
            <w:tcBorders>
              <w:top w:val="nil"/>
              <w:left w:val="nil"/>
              <w:bottom w:val="single" w:sz="4" w:space="0" w:color="808080"/>
              <w:right w:val="nil"/>
            </w:tcBorders>
            <w:shd w:val="clear" w:color="auto" w:fill="auto"/>
            <w:noWrap/>
            <w:vAlign w:val="bottom"/>
            <w:hideMark/>
          </w:tcPr>
          <w:p w14:paraId="50041FC6"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4.2%</w:t>
            </w:r>
          </w:p>
        </w:tc>
        <w:tc>
          <w:tcPr>
            <w:tcW w:w="1537" w:type="dxa"/>
            <w:tcBorders>
              <w:top w:val="nil"/>
              <w:left w:val="nil"/>
              <w:bottom w:val="single" w:sz="4" w:space="0" w:color="808080"/>
              <w:right w:val="nil"/>
            </w:tcBorders>
            <w:shd w:val="clear" w:color="auto" w:fill="auto"/>
            <w:noWrap/>
            <w:vAlign w:val="bottom"/>
            <w:hideMark/>
          </w:tcPr>
          <w:p w14:paraId="4943C506"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5.3%</w:t>
            </w:r>
          </w:p>
        </w:tc>
      </w:tr>
      <w:tr w:rsidR="00B91736" w:rsidRPr="00E81844" w14:paraId="75F9F3AE" w14:textId="77777777" w:rsidTr="00B91736">
        <w:trPr>
          <w:trHeight w:val="300"/>
        </w:trPr>
        <w:tc>
          <w:tcPr>
            <w:tcW w:w="2894" w:type="dxa"/>
            <w:tcBorders>
              <w:top w:val="nil"/>
              <w:left w:val="nil"/>
              <w:bottom w:val="single" w:sz="4" w:space="0" w:color="808080"/>
              <w:right w:val="nil"/>
            </w:tcBorders>
            <w:shd w:val="clear" w:color="auto" w:fill="auto"/>
            <w:vAlign w:val="bottom"/>
            <w:hideMark/>
          </w:tcPr>
          <w:p w14:paraId="0180F205" w14:textId="77777777" w:rsidR="00B91736" w:rsidRPr="00E81844" w:rsidRDefault="00B91736" w:rsidP="00B91736">
            <w:pPr>
              <w:rPr>
                <w:rFonts w:eastAsia="Times New Roman" w:cs="Times New Roman"/>
                <w:color w:val="000000"/>
                <w:sz w:val="18"/>
                <w:szCs w:val="18"/>
              </w:rPr>
            </w:pPr>
            <w:r w:rsidRPr="00E81844">
              <w:rPr>
                <w:rFonts w:eastAsia="Times New Roman" w:cs="Times New Roman"/>
                <w:color w:val="000000"/>
                <w:sz w:val="18"/>
                <w:szCs w:val="18"/>
              </w:rPr>
              <w:t>With Self Care Disability</w:t>
            </w:r>
          </w:p>
        </w:tc>
        <w:tc>
          <w:tcPr>
            <w:tcW w:w="1178" w:type="dxa"/>
            <w:tcBorders>
              <w:top w:val="nil"/>
              <w:left w:val="nil"/>
              <w:bottom w:val="single" w:sz="4" w:space="0" w:color="808080"/>
              <w:right w:val="nil"/>
            </w:tcBorders>
            <w:shd w:val="clear" w:color="auto" w:fill="auto"/>
            <w:noWrap/>
            <w:vAlign w:val="bottom"/>
            <w:hideMark/>
          </w:tcPr>
          <w:p w14:paraId="4AD1654F"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12,819 </w:t>
            </w:r>
          </w:p>
        </w:tc>
        <w:tc>
          <w:tcPr>
            <w:tcW w:w="1340" w:type="dxa"/>
            <w:tcBorders>
              <w:top w:val="nil"/>
              <w:left w:val="nil"/>
              <w:bottom w:val="single" w:sz="4" w:space="0" w:color="808080"/>
              <w:right w:val="nil"/>
            </w:tcBorders>
            <w:shd w:val="clear" w:color="auto" w:fill="auto"/>
            <w:noWrap/>
            <w:vAlign w:val="bottom"/>
            <w:hideMark/>
          </w:tcPr>
          <w:p w14:paraId="5E286A14"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 xml:space="preserve"> 862,575 </w:t>
            </w:r>
          </w:p>
        </w:tc>
        <w:tc>
          <w:tcPr>
            <w:tcW w:w="1331" w:type="dxa"/>
            <w:gridSpan w:val="2"/>
            <w:tcBorders>
              <w:top w:val="nil"/>
              <w:left w:val="nil"/>
              <w:bottom w:val="single" w:sz="4" w:space="0" w:color="808080"/>
              <w:right w:val="nil"/>
            </w:tcBorders>
            <w:shd w:val="clear" w:color="auto" w:fill="auto"/>
            <w:noWrap/>
            <w:vAlign w:val="bottom"/>
            <w:hideMark/>
          </w:tcPr>
          <w:p w14:paraId="4F7A7986"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1.8%</w:t>
            </w:r>
          </w:p>
        </w:tc>
        <w:tc>
          <w:tcPr>
            <w:tcW w:w="1537" w:type="dxa"/>
            <w:tcBorders>
              <w:top w:val="nil"/>
              <w:left w:val="nil"/>
              <w:bottom w:val="single" w:sz="4" w:space="0" w:color="808080"/>
              <w:right w:val="nil"/>
            </w:tcBorders>
            <w:shd w:val="clear" w:color="auto" w:fill="auto"/>
            <w:noWrap/>
            <w:vAlign w:val="bottom"/>
            <w:hideMark/>
          </w:tcPr>
          <w:p w14:paraId="2894F7FA" w14:textId="77777777" w:rsidR="00B91736" w:rsidRPr="00E81844" w:rsidRDefault="00B91736" w:rsidP="00B91736">
            <w:pPr>
              <w:jc w:val="right"/>
              <w:rPr>
                <w:rFonts w:eastAsia="Times New Roman" w:cs="Times New Roman"/>
                <w:color w:val="000000"/>
                <w:sz w:val="18"/>
                <w:szCs w:val="18"/>
              </w:rPr>
            </w:pPr>
            <w:r w:rsidRPr="00E81844">
              <w:rPr>
                <w:rFonts w:eastAsia="Times New Roman" w:cs="Times New Roman"/>
                <w:color w:val="000000"/>
                <w:sz w:val="18"/>
                <w:szCs w:val="18"/>
              </w:rPr>
              <w:t>2.3%</w:t>
            </w:r>
          </w:p>
        </w:tc>
      </w:tr>
      <w:tr w:rsidR="00B91736" w:rsidRPr="00E81844" w14:paraId="48D5F910" w14:textId="77777777" w:rsidTr="00B91736">
        <w:trPr>
          <w:trHeight w:val="300"/>
        </w:trPr>
        <w:tc>
          <w:tcPr>
            <w:tcW w:w="2894" w:type="dxa"/>
            <w:tcBorders>
              <w:top w:val="nil"/>
              <w:left w:val="nil"/>
              <w:bottom w:val="single" w:sz="4" w:space="0" w:color="auto"/>
              <w:right w:val="nil"/>
            </w:tcBorders>
            <w:shd w:val="clear" w:color="auto" w:fill="auto"/>
            <w:vAlign w:val="bottom"/>
            <w:hideMark/>
          </w:tcPr>
          <w:p w14:paraId="11064D74" w14:textId="77777777" w:rsidR="00B91736" w:rsidRPr="00E81844" w:rsidRDefault="00B91736" w:rsidP="00B91736">
            <w:pPr>
              <w:spacing w:line="240" w:lineRule="auto"/>
              <w:rPr>
                <w:rFonts w:eastAsia="Times New Roman" w:cs="Times New Roman"/>
                <w:color w:val="000000"/>
                <w:sz w:val="18"/>
                <w:szCs w:val="18"/>
              </w:rPr>
            </w:pPr>
            <w:r w:rsidRPr="00E81844">
              <w:rPr>
                <w:rFonts w:eastAsia="Times New Roman" w:cs="Times New Roman"/>
                <w:color w:val="000000"/>
                <w:sz w:val="18"/>
                <w:szCs w:val="18"/>
              </w:rPr>
              <w:t>With Independent Living Disability</w:t>
            </w:r>
          </w:p>
        </w:tc>
        <w:tc>
          <w:tcPr>
            <w:tcW w:w="1178" w:type="dxa"/>
            <w:tcBorders>
              <w:top w:val="nil"/>
              <w:left w:val="nil"/>
              <w:bottom w:val="single" w:sz="4" w:space="0" w:color="auto"/>
              <w:right w:val="nil"/>
            </w:tcBorders>
            <w:shd w:val="clear" w:color="auto" w:fill="auto"/>
            <w:noWrap/>
            <w:vAlign w:val="bottom"/>
            <w:hideMark/>
          </w:tcPr>
          <w:p w14:paraId="39D61CB4" w14:textId="77777777" w:rsidR="00B91736" w:rsidRPr="00E81844" w:rsidRDefault="00B91736" w:rsidP="00B91736">
            <w:pPr>
              <w:spacing w:line="240" w:lineRule="auto"/>
              <w:jc w:val="right"/>
              <w:rPr>
                <w:rFonts w:eastAsia="Times New Roman" w:cs="Times New Roman"/>
                <w:color w:val="000000"/>
                <w:sz w:val="18"/>
                <w:szCs w:val="18"/>
              </w:rPr>
            </w:pPr>
            <w:r w:rsidRPr="00E81844">
              <w:rPr>
                <w:rFonts w:eastAsia="Times New Roman" w:cs="Times New Roman"/>
                <w:color w:val="000000"/>
                <w:sz w:val="18"/>
                <w:szCs w:val="18"/>
              </w:rPr>
              <w:t xml:space="preserve"> 22,735 </w:t>
            </w:r>
          </w:p>
        </w:tc>
        <w:tc>
          <w:tcPr>
            <w:tcW w:w="1340" w:type="dxa"/>
            <w:tcBorders>
              <w:top w:val="nil"/>
              <w:left w:val="nil"/>
              <w:bottom w:val="single" w:sz="4" w:space="0" w:color="auto"/>
              <w:right w:val="nil"/>
            </w:tcBorders>
            <w:shd w:val="clear" w:color="auto" w:fill="auto"/>
            <w:noWrap/>
            <w:vAlign w:val="bottom"/>
            <w:hideMark/>
          </w:tcPr>
          <w:p w14:paraId="6617FCC1" w14:textId="77777777" w:rsidR="00B91736" w:rsidRPr="00E81844" w:rsidRDefault="00B91736" w:rsidP="00B91736">
            <w:pPr>
              <w:spacing w:line="240" w:lineRule="auto"/>
              <w:jc w:val="right"/>
              <w:rPr>
                <w:rFonts w:eastAsia="Times New Roman" w:cs="Times New Roman"/>
                <w:color w:val="000000"/>
                <w:sz w:val="18"/>
                <w:szCs w:val="18"/>
              </w:rPr>
            </w:pPr>
            <w:r w:rsidRPr="00E81844">
              <w:rPr>
                <w:rFonts w:eastAsia="Times New Roman" w:cs="Times New Roman"/>
                <w:color w:val="000000"/>
                <w:sz w:val="18"/>
                <w:szCs w:val="18"/>
              </w:rPr>
              <w:t xml:space="preserve"> 1,438,328 </w:t>
            </w:r>
          </w:p>
        </w:tc>
        <w:tc>
          <w:tcPr>
            <w:tcW w:w="1331" w:type="dxa"/>
            <w:gridSpan w:val="2"/>
            <w:tcBorders>
              <w:top w:val="nil"/>
              <w:left w:val="nil"/>
              <w:bottom w:val="single" w:sz="4" w:space="0" w:color="auto"/>
              <w:right w:val="nil"/>
            </w:tcBorders>
            <w:shd w:val="clear" w:color="auto" w:fill="auto"/>
            <w:noWrap/>
            <w:vAlign w:val="bottom"/>
            <w:hideMark/>
          </w:tcPr>
          <w:p w14:paraId="41487060" w14:textId="77777777" w:rsidR="00B91736" w:rsidRPr="00E81844" w:rsidRDefault="00B91736" w:rsidP="00B91736">
            <w:pPr>
              <w:spacing w:line="240" w:lineRule="auto"/>
              <w:jc w:val="right"/>
              <w:rPr>
                <w:rFonts w:eastAsia="Times New Roman" w:cs="Times New Roman"/>
                <w:color w:val="000000"/>
                <w:sz w:val="18"/>
                <w:szCs w:val="18"/>
              </w:rPr>
            </w:pPr>
            <w:r w:rsidRPr="00E81844">
              <w:rPr>
                <w:rFonts w:eastAsia="Times New Roman" w:cs="Times New Roman"/>
                <w:color w:val="000000"/>
                <w:sz w:val="18"/>
                <w:szCs w:val="18"/>
              </w:rPr>
              <w:t>3.2%</w:t>
            </w:r>
          </w:p>
        </w:tc>
        <w:tc>
          <w:tcPr>
            <w:tcW w:w="1537" w:type="dxa"/>
            <w:tcBorders>
              <w:top w:val="nil"/>
              <w:left w:val="nil"/>
              <w:bottom w:val="single" w:sz="4" w:space="0" w:color="auto"/>
              <w:right w:val="nil"/>
            </w:tcBorders>
            <w:shd w:val="clear" w:color="auto" w:fill="auto"/>
            <w:noWrap/>
            <w:vAlign w:val="bottom"/>
            <w:hideMark/>
          </w:tcPr>
          <w:p w14:paraId="130BDACF" w14:textId="77777777" w:rsidR="00B91736" w:rsidRPr="00E81844" w:rsidRDefault="00B91736" w:rsidP="00B91736">
            <w:pPr>
              <w:spacing w:line="240" w:lineRule="auto"/>
              <w:jc w:val="right"/>
              <w:rPr>
                <w:rFonts w:eastAsia="Times New Roman" w:cs="Times New Roman"/>
                <w:color w:val="000000"/>
                <w:sz w:val="18"/>
                <w:szCs w:val="18"/>
              </w:rPr>
            </w:pPr>
            <w:r w:rsidRPr="00E81844">
              <w:rPr>
                <w:rFonts w:eastAsia="Times New Roman" w:cs="Times New Roman"/>
                <w:color w:val="000000"/>
                <w:sz w:val="18"/>
                <w:szCs w:val="18"/>
              </w:rPr>
              <w:t>3.9%</w:t>
            </w:r>
          </w:p>
        </w:tc>
      </w:tr>
      <w:tr w:rsidR="00B91736" w:rsidRPr="009E5339" w14:paraId="63851FE9" w14:textId="77777777" w:rsidTr="00B91736">
        <w:trPr>
          <w:trHeight w:val="300"/>
        </w:trPr>
        <w:tc>
          <w:tcPr>
            <w:tcW w:w="8280" w:type="dxa"/>
            <w:gridSpan w:val="6"/>
            <w:tcBorders>
              <w:top w:val="single" w:sz="4" w:space="0" w:color="auto"/>
              <w:left w:val="nil"/>
              <w:bottom w:val="nil"/>
              <w:right w:val="nil"/>
            </w:tcBorders>
            <w:shd w:val="clear" w:color="auto" w:fill="auto"/>
            <w:noWrap/>
            <w:vAlign w:val="bottom"/>
            <w:hideMark/>
          </w:tcPr>
          <w:p w14:paraId="53C0A7B0" w14:textId="77777777" w:rsidR="00B91736" w:rsidRPr="009E5339" w:rsidRDefault="00B91736" w:rsidP="00B91736">
            <w:pPr>
              <w:spacing w:line="240" w:lineRule="auto"/>
              <w:rPr>
                <w:rFonts w:eastAsia="Times New Roman" w:cs="Times New Roman"/>
                <w:iCs/>
                <w:color w:val="000000"/>
                <w:sz w:val="14"/>
                <w:szCs w:val="16"/>
              </w:rPr>
            </w:pPr>
          </w:p>
          <w:p w14:paraId="20EDF2B7" w14:textId="38567406" w:rsidR="00B91736" w:rsidRPr="009E5339" w:rsidRDefault="00B91736" w:rsidP="00B91736">
            <w:pPr>
              <w:spacing w:line="240" w:lineRule="auto"/>
              <w:rPr>
                <w:rFonts w:eastAsia="Times New Roman" w:cs="Times New Roman"/>
                <w:iCs/>
                <w:color w:val="000000"/>
                <w:sz w:val="18"/>
                <w:szCs w:val="16"/>
              </w:rPr>
            </w:pPr>
            <w:r w:rsidRPr="009E5339">
              <w:rPr>
                <w:rFonts w:eastAsia="Times New Roman" w:cs="Times New Roman"/>
                <w:iCs/>
                <w:color w:val="000000"/>
                <w:sz w:val="18"/>
                <w:szCs w:val="16"/>
              </w:rPr>
              <w:t xml:space="preserve">Source: </w:t>
            </w:r>
            <w:r w:rsidR="0020362E">
              <w:rPr>
                <w:rFonts w:eastAsia="Times New Roman" w:cs="Times New Roman"/>
                <w:iCs/>
                <w:color w:val="000000"/>
                <w:sz w:val="18"/>
                <w:szCs w:val="16"/>
              </w:rPr>
              <w:t>2007-2011</w:t>
            </w:r>
            <w:r w:rsidRPr="009E5339">
              <w:rPr>
                <w:rFonts w:eastAsia="Times New Roman" w:cs="Times New Roman"/>
                <w:iCs/>
                <w:color w:val="000000"/>
                <w:sz w:val="18"/>
                <w:szCs w:val="16"/>
              </w:rPr>
              <w:t xml:space="preserve"> American Community Survey</w:t>
            </w:r>
            <w:r>
              <w:rPr>
                <w:rFonts w:eastAsia="Times New Roman" w:cs="Times New Roman"/>
                <w:iCs/>
                <w:color w:val="000000"/>
                <w:sz w:val="18"/>
                <w:szCs w:val="16"/>
              </w:rPr>
              <w:t xml:space="preserve">. </w:t>
            </w:r>
            <w:r w:rsidRPr="009E5339">
              <w:rPr>
                <w:rFonts w:eastAsia="Times New Roman" w:cs="Times New Roman"/>
                <w:iCs/>
                <w:color w:val="000000"/>
                <w:sz w:val="18"/>
                <w:szCs w:val="16"/>
              </w:rPr>
              <w:t>Some people may have multiple disabilities</w:t>
            </w:r>
          </w:p>
        </w:tc>
      </w:tr>
    </w:tbl>
    <w:p w14:paraId="052607CA" w14:textId="77777777" w:rsidR="00B91736" w:rsidRDefault="00B91736" w:rsidP="00B91736">
      <w:pPr>
        <w:rPr>
          <w:u w:val="single"/>
        </w:rPr>
      </w:pPr>
    </w:p>
    <w:p w14:paraId="05AC6F25" w14:textId="32849D93" w:rsidR="00610A71" w:rsidRPr="009E5339" w:rsidRDefault="009E5339" w:rsidP="00067077">
      <w:pPr>
        <w:pStyle w:val="21ElementsText"/>
        <w:rPr>
          <w:b/>
          <w:color w:val="0B5095"/>
          <w:sz w:val="24"/>
        </w:rPr>
      </w:pPr>
      <w:r>
        <w:rPr>
          <w:b/>
          <w:color w:val="0B5095"/>
          <w:sz w:val="24"/>
        </w:rPr>
        <w:t>Disability Policy R</w:t>
      </w:r>
      <w:r w:rsidR="00610A71" w:rsidRPr="009E5339">
        <w:rPr>
          <w:b/>
          <w:color w:val="0B5095"/>
          <w:sz w:val="24"/>
        </w:rPr>
        <w:t>ecommendations</w:t>
      </w:r>
    </w:p>
    <w:p w14:paraId="374CADB6" w14:textId="77777777" w:rsidR="00610A71" w:rsidRPr="002E5694" w:rsidRDefault="00610A71" w:rsidP="00067077">
      <w:pPr>
        <w:pStyle w:val="21ElementsText"/>
      </w:pPr>
      <w:r w:rsidRPr="002E5694">
        <w:t>The three major needs for people with disabilities are low cost (subsidized) rents, handicapped accessible homes, and buildings near public transportation. These needs are very similar to the desires of other segments of the population. Policies that promote affordable housing generally are also good for the disabled community. Specific recommendations from the Golden Gate Regional Center include:</w:t>
      </w:r>
    </w:p>
    <w:p w14:paraId="13B0EB66" w14:textId="77777777" w:rsidR="00610A71" w:rsidRPr="002E5694" w:rsidRDefault="00610A71" w:rsidP="009E5339">
      <w:pPr>
        <w:pStyle w:val="21ElementsText"/>
        <w:numPr>
          <w:ilvl w:val="0"/>
          <w:numId w:val="8"/>
        </w:numPr>
        <w:ind w:left="360"/>
      </w:pPr>
      <w:r w:rsidRPr="002E5694">
        <w:t>Jurisdictions assisting with site identification for low income developments</w:t>
      </w:r>
    </w:p>
    <w:p w14:paraId="05435816" w14:textId="77777777" w:rsidR="00610A71" w:rsidRPr="002E5694" w:rsidRDefault="00610A71" w:rsidP="009E5339">
      <w:pPr>
        <w:pStyle w:val="21ElementsText"/>
        <w:numPr>
          <w:ilvl w:val="0"/>
          <w:numId w:val="8"/>
        </w:numPr>
        <w:ind w:left="360"/>
      </w:pPr>
      <w:r w:rsidRPr="002E5694">
        <w:t>Policies to promote accessible homes</w:t>
      </w:r>
    </w:p>
    <w:p w14:paraId="03970808" w14:textId="77777777" w:rsidR="00610A71" w:rsidRPr="002E5694" w:rsidRDefault="00610A71" w:rsidP="009E5339">
      <w:pPr>
        <w:pStyle w:val="21ElementsText"/>
        <w:numPr>
          <w:ilvl w:val="0"/>
          <w:numId w:val="8"/>
        </w:numPr>
        <w:ind w:left="360"/>
      </w:pPr>
      <w:r w:rsidRPr="002E5694">
        <w:t>Inclusionary zoning</w:t>
      </w:r>
    </w:p>
    <w:p w14:paraId="541BCBAF" w14:textId="77777777" w:rsidR="00610A71" w:rsidRPr="002E5694" w:rsidRDefault="00610A71" w:rsidP="009E5339">
      <w:pPr>
        <w:pStyle w:val="21ElementsText"/>
        <w:numPr>
          <w:ilvl w:val="0"/>
          <w:numId w:val="8"/>
        </w:numPr>
        <w:ind w:left="360"/>
      </w:pPr>
      <w:r w:rsidRPr="002E5694">
        <w:t>Second units</w:t>
      </w:r>
    </w:p>
    <w:p w14:paraId="4A3F0DC1" w14:textId="56A23204" w:rsidR="00610A71" w:rsidRPr="002E5694" w:rsidRDefault="00610A71" w:rsidP="009E5339">
      <w:pPr>
        <w:pStyle w:val="21ElementsText"/>
        <w:numPr>
          <w:ilvl w:val="0"/>
          <w:numId w:val="8"/>
        </w:numPr>
        <w:ind w:left="360"/>
      </w:pPr>
      <w:r w:rsidRPr="002E5694">
        <w:t>Mixed use zoning</w:t>
      </w:r>
    </w:p>
    <w:p w14:paraId="5D393568" w14:textId="77777777" w:rsidR="009E5339" w:rsidRDefault="009E5339" w:rsidP="00067077">
      <w:pPr>
        <w:pStyle w:val="21ElementsText"/>
      </w:pPr>
    </w:p>
    <w:p w14:paraId="6FFF8C36" w14:textId="77777777" w:rsidR="00610A71" w:rsidRPr="002E5694" w:rsidRDefault="00610A71" w:rsidP="00067077">
      <w:pPr>
        <w:pStyle w:val="21ElementsText"/>
      </w:pPr>
      <w:r w:rsidRPr="002E5694">
        <w:t xml:space="preserve">Additionally, some people with development disabilities need supportive housing that is affordable and located near public transit. In supportive housing, additional services are provided at the home. </w:t>
      </w:r>
    </w:p>
    <w:p w14:paraId="27AA98E9" w14:textId="77777777" w:rsidR="00D25635" w:rsidRDefault="00D25635" w:rsidP="00067077">
      <w:pPr>
        <w:pStyle w:val="21ElementsText"/>
      </w:pPr>
    </w:p>
    <w:p w14:paraId="56B8F3F1" w14:textId="2C298156" w:rsidR="00D25635" w:rsidRPr="009E5339" w:rsidRDefault="00D25635" w:rsidP="00067077">
      <w:pPr>
        <w:pStyle w:val="21ElementsText"/>
        <w:rPr>
          <w:b/>
          <w:color w:val="0B5095"/>
          <w:sz w:val="24"/>
          <w:szCs w:val="28"/>
        </w:rPr>
      </w:pPr>
      <w:r w:rsidRPr="009E5339">
        <w:rPr>
          <w:b/>
          <w:color w:val="0B5095"/>
          <w:sz w:val="24"/>
          <w:szCs w:val="28"/>
        </w:rPr>
        <w:t>Fem</w:t>
      </w:r>
      <w:r w:rsidR="006C4E74" w:rsidRPr="009E5339">
        <w:rPr>
          <w:b/>
          <w:color w:val="0B5095"/>
          <w:sz w:val="24"/>
          <w:szCs w:val="28"/>
        </w:rPr>
        <w:t>ale-Headed and Large H</w:t>
      </w:r>
      <w:r w:rsidRPr="009E5339">
        <w:rPr>
          <w:b/>
          <w:color w:val="0B5095"/>
          <w:sz w:val="24"/>
          <w:szCs w:val="28"/>
        </w:rPr>
        <w:t>ouseholds</w:t>
      </w:r>
    </w:p>
    <w:p w14:paraId="1DCBD151" w14:textId="163F1813" w:rsidR="007B59F9" w:rsidRDefault="007B59F9" w:rsidP="00067077">
      <w:pPr>
        <w:pStyle w:val="21ElementsText"/>
        <w:rPr>
          <w:rFonts w:cs="Times New Roman"/>
        </w:rPr>
      </w:pPr>
      <w:r>
        <w:t>Households headed by a single parent can have special needs due to the economic limitation of earning only one income, and the challenges of childcare without a partner.</w:t>
      </w:r>
      <w:r w:rsidR="00195DA8">
        <w:t xml:space="preserve"> </w:t>
      </w:r>
      <w:r>
        <w:t>Although gender equality has made strides over the past 50 years, women continue to earn lower incomes than men.</w:t>
      </w:r>
      <w:r w:rsidR="00195DA8">
        <w:t xml:space="preserve"> </w:t>
      </w:r>
      <w:r>
        <w:t xml:space="preserve">Therefore, female-headed households in particular have specific housing needs that must be addressed. </w:t>
      </w:r>
      <w:r w:rsidR="009D005E">
        <w:rPr>
          <w:rFonts w:cs="Times New Roman"/>
        </w:rPr>
        <w:t>The special needs of female-headed households can</w:t>
      </w:r>
      <w:r w:rsidRPr="00333881">
        <w:rPr>
          <w:rFonts w:cs="Times New Roman"/>
        </w:rPr>
        <w:t xml:space="preserve"> include low cost housing, suitable for children and located near schools and childcare facilities. Innovative, shared living arrangements, including congregate cooking and childcare, </w:t>
      </w:r>
      <w:r>
        <w:rPr>
          <w:rFonts w:cs="Times New Roman"/>
        </w:rPr>
        <w:t>could</w:t>
      </w:r>
      <w:r w:rsidRPr="00333881">
        <w:rPr>
          <w:rFonts w:cs="Times New Roman"/>
        </w:rPr>
        <w:t xml:space="preserve"> also be appropriate</w:t>
      </w:r>
    </w:p>
    <w:p w14:paraId="586A484E" w14:textId="77777777" w:rsidR="00273BF0" w:rsidRPr="00273BF0" w:rsidRDefault="00273BF0" w:rsidP="00067077">
      <w:pPr>
        <w:pStyle w:val="21ElementsText"/>
        <w:rPr>
          <w:rFonts w:cs="Times New Roman"/>
          <w:highlight w:val="green"/>
        </w:rPr>
      </w:pPr>
    </w:p>
    <w:p w14:paraId="30A32EB3" w14:textId="59349D9A" w:rsidR="00D25635" w:rsidRPr="00183E2B" w:rsidRDefault="003C454C" w:rsidP="00067077">
      <w:pPr>
        <w:pStyle w:val="21ElementsText"/>
        <w:rPr>
          <w:rFonts w:cs="Times New Roman"/>
        </w:rPr>
      </w:pPr>
      <w:r w:rsidRPr="00C37606">
        <w:rPr>
          <w:rFonts w:cs="Times New Roman"/>
        </w:rPr>
        <w:t xml:space="preserve">Female-headed households make up approximately nine percent of the total households in Hillsborough. The most vulnerable female-headed households can be those where women are living with children without a partner. Hillsborough has 92 such households. An additional </w:t>
      </w:r>
      <w:r w:rsidR="00C37606">
        <w:rPr>
          <w:rFonts w:cs="Times New Roman"/>
        </w:rPr>
        <w:t>213</w:t>
      </w:r>
      <w:r w:rsidRPr="00C37606">
        <w:rPr>
          <w:rFonts w:cs="Times New Roman"/>
        </w:rPr>
        <w:t xml:space="preserve"> households are headed by women </w:t>
      </w:r>
      <w:r w:rsidR="00C37606">
        <w:rPr>
          <w:rFonts w:cs="Times New Roman"/>
        </w:rPr>
        <w:t xml:space="preserve">who are either </w:t>
      </w:r>
      <w:r w:rsidRPr="00C37606">
        <w:rPr>
          <w:rFonts w:cs="Times New Roman"/>
        </w:rPr>
        <w:t>living alone or with other family members. Female-headed households in Hillsborough are equally likely as the general Hillsborough population to be below the poverty line.</w:t>
      </w:r>
    </w:p>
    <w:p w14:paraId="656D22D7" w14:textId="55398B15" w:rsidR="00D25635" w:rsidRDefault="00D25635" w:rsidP="00726380">
      <w:pPr>
        <w:spacing w:line="240" w:lineRule="auto"/>
        <w:rPr>
          <w:rFonts w:ascii="Times New Roman" w:hAnsi="Times New Roman" w:cs="Times New Roman"/>
        </w:rPr>
      </w:pPr>
    </w:p>
    <w:tbl>
      <w:tblPr>
        <w:tblW w:w="8640" w:type="dxa"/>
        <w:tblInd w:w="108" w:type="dxa"/>
        <w:tblLayout w:type="fixed"/>
        <w:tblLook w:val="04A0" w:firstRow="1" w:lastRow="0" w:firstColumn="1" w:lastColumn="0" w:noHBand="0" w:noVBand="1"/>
      </w:tblPr>
      <w:tblGrid>
        <w:gridCol w:w="4155"/>
        <w:gridCol w:w="990"/>
        <w:gridCol w:w="967"/>
        <w:gridCol w:w="1193"/>
        <w:gridCol w:w="1335"/>
      </w:tblGrid>
      <w:tr w:rsidR="00B2046A" w:rsidRPr="00EA2277" w14:paraId="45A1D056" w14:textId="77777777" w:rsidTr="00B2046A">
        <w:trPr>
          <w:trHeight w:val="300"/>
        </w:trPr>
        <w:tc>
          <w:tcPr>
            <w:tcW w:w="8640" w:type="dxa"/>
            <w:gridSpan w:val="5"/>
            <w:tcBorders>
              <w:top w:val="nil"/>
              <w:left w:val="nil"/>
              <w:bottom w:val="nil"/>
              <w:right w:val="nil"/>
            </w:tcBorders>
            <w:shd w:val="clear" w:color="000000" w:fill="000000"/>
            <w:noWrap/>
            <w:vAlign w:val="bottom"/>
            <w:hideMark/>
          </w:tcPr>
          <w:p w14:paraId="410A5D15" w14:textId="35FBDBA8" w:rsidR="00B2046A" w:rsidRPr="00EA2277" w:rsidRDefault="00EA2277" w:rsidP="00900F95">
            <w:pPr>
              <w:rPr>
                <w:rFonts w:eastAsia="Times New Roman" w:cs="Times New Roman"/>
                <w:b/>
                <w:bCs/>
                <w:color w:val="FFFFFF"/>
                <w:sz w:val="20"/>
                <w:szCs w:val="20"/>
              </w:rPr>
            </w:pPr>
            <w:r w:rsidRPr="00EA2277">
              <w:rPr>
                <w:rFonts w:eastAsia="Times New Roman" w:cs="Times New Roman"/>
                <w:b/>
                <w:bCs/>
                <w:color w:val="FFFFFF"/>
                <w:sz w:val="20"/>
                <w:szCs w:val="20"/>
              </w:rPr>
              <w:t>Female Headed Households</w:t>
            </w:r>
            <w:r w:rsidR="00052ED4">
              <w:rPr>
                <w:rFonts w:eastAsia="Times New Roman" w:cs="Times New Roman"/>
                <w:b/>
                <w:bCs/>
                <w:color w:val="FFFFFF"/>
                <w:sz w:val="20"/>
                <w:szCs w:val="20"/>
              </w:rPr>
              <w:t xml:space="preserve"> (2011)</w:t>
            </w:r>
          </w:p>
        </w:tc>
      </w:tr>
      <w:tr w:rsidR="00B2046A" w:rsidRPr="00EA2277" w14:paraId="6B68F10E" w14:textId="77777777" w:rsidTr="00B2046A">
        <w:trPr>
          <w:trHeight w:val="300"/>
        </w:trPr>
        <w:tc>
          <w:tcPr>
            <w:tcW w:w="4155" w:type="dxa"/>
            <w:tcBorders>
              <w:top w:val="nil"/>
              <w:left w:val="nil"/>
              <w:bottom w:val="nil"/>
              <w:right w:val="nil"/>
            </w:tcBorders>
            <w:shd w:val="clear" w:color="auto" w:fill="auto"/>
            <w:noWrap/>
            <w:vAlign w:val="bottom"/>
            <w:hideMark/>
          </w:tcPr>
          <w:p w14:paraId="6BC247AF" w14:textId="77777777" w:rsidR="00EA2277" w:rsidRPr="00EA2277" w:rsidRDefault="00EA2277" w:rsidP="00B2046A">
            <w:pPr>
              <w:spacing w:line="240" w:lineRule="auto"/>
              <w:rPr>
                <w:rFonts w:eastAsia="Times New Roman" w:cs="Times New Roman"/>
                <w:color w:val="000000"/>
                <w:sz w:val="18"/>
                <w:szCs w:val="18"/>
              </w:rPr>
            </w:pPr>
          </w:p>
        </w:tc>
        <w:tc>
          <w:tcPr>
            <w:tcW w:w="1957" w:type="dxa"/>
            <w:gridSpan w:val="2"/>
            <w:tcBorders>
              <w:top w:val="nil"/>
              <w:left w:val="nil"/>
              <w:bottom w:val="nil"/>
              <w:right w:val="nil"/>
            </w:tcBorders>
            <w:shd w:val="clear" w:color="auto" w:fill="auto"/>
            <w:noWrap/>
            <w:vAlign w:val="bottom"/>
            <w:hideMark/>
          </w:tcPr>
          <w:p w14:paraId="691F1B04" w14:textId="77777777" w:rsidR="00B2046A" w:rsidRPr="00052ED4" w:rsidRDefault="00B2046A" w:rsidP="00B2046A">
            <w:pPr>
              <w:spacing w:line="240" w:lineRule="auto"/>
              <w:jc w:val="center"/>
              <w:rPr>
                <w:rFonts w:eastAsia="Times New Roman" w:cs="Times New Roman"/>
                <w:b/>
                <w:bCs/>
                <w:color w:val="000000"/>
                <w:sz w:val="18"/>
                <w:szCs w:val="18"/>
              </w:rPr>
            </w:pPr>
          </w:p>
          <w:p w14:paraId="1744F99D" w14:textId="02FB2B35" w:rsidR="00EA2277" w:rsidRPr="00052ED4" w:rsidRDefault="003B70CF" w:rsidP="00B2046A">
            <w:pPr>
              <w:spacing w:line="240" w:lineRule="auto"/>
              <w:jc w:val="center"/>
              <w:rPr>
                <w:rFonts w:eastAsia="Times New Roman" w:cs="Times New Roman"/>
                <w:b/>
                <w:bCs/>
                <w:color w:val="000000"/>
                <w:sz w:val="18"/>
                <w:szCs w:val="18"/>
              </w:rPr>
            </w:pPr>
            <w:r w:rsidRPr="00052ED4">
              <w:rPr>
                <w:rFonts w:eastAsia="Times New Roman" w:cs="Times New Roman"/>
                <w:b/>
                <w:bCs/>
                <w:color w:val="000000"/>
                <w:sz w:val="18"/>
                <w:szCs w:val="18"/>
              </w:rPr>
              <w:t xml:space="preserve">Town of </w:t>
            </w:r>
            <w:r w:rsidR="00853231" w:rsidRPr="00052ED4">
              <w:rPr>
                <w:rFonts w:eastAsia="Times New Roman" w:cs="Times New Roman"/>
                <w:b/>
                <w:bCs/>
                <w:color w:val="000000"/>
                <w:sz w:val="18"/>
                <w:szCs w:val="18"/>
              </w:rPr>
              <w:t>Hillsborough</w:t>
            </w:r>
          </w:p>
        </w:tc>
        <w:tc>
          <w:tcPr>
            <w:tcW w:w="1193" w:type="dxa"/>
            <w:tcBorders>
              <w:top w:val="nil"/>
              <w:left w:val="nil"/>
              <w:bottom w:val="nil"/>
              <w:right w:val="nil"/>
            </w:tcBorders>
            <w:shd w:val="clear" w:color="auto" w:fill="auto"/>
            <w:noWrap/>
            <w:vAlign w:val="bottom"/>
            <w:hideMark/>
          </w:tcPr>
          <w:p w14:paraId="60F3BE77" w14:textId="77777777" w:rsidR="00B2046A" w:rsidRDefault="00B2046A" w:rsidP="00B2046A">
            <w:pPr>
              <w:spacing w:line="240" w:lineRule="auto"/>
              <w:jc w:val="right"/>
              <w:rPr>
                <w:rFonts w:eastAsia="Times New Roman" w:cs="Times New Roman"/>
                <w:b/>
                <w:bCs/>
                <w:color w:val="000000"/>
                <w:sz w:val="18"/>
                <w:szCs w:val="18"/>
              </w:rPr>
            </w:pPr>
          </w:p>
          <w:p w14:paraId="4C28CB62" w14:textId="7817160D" w:rsidR="00EA2277" w:rsidRPr="00EA2277" w:rsidRDefault="00B2046A" w:rsidP="00B2046A">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San Mateo C</w:t>
            </w:r>
            <w:r w:rsidR="00EA2277" w:rsidRPr="00EA2277">
              <w:rPr>
                <w:rFonts w:eastAsia="Times New Roman" w:cs="Times New Roman"/>
                <w:b/>
                <w:bCs/>
                <w:color w:val="000000"/>
                <w:sz w:val="18"/>
                <w:szCs w:val="18"/>
              </w:rPr>
              <w:t>ounty</w:t>
            </w:r>
          </w:p>
        </w:tc>
        <w:tc>
          <w:tcPr>
            <w:tcW w:w="1335" w:type="dxa"/>
            <w:tcBorders>
              <w:top w:val="nil"/>
              <w:left w:val="nil"/>
              <w:bottom w:val="nil"/>
              <w:right w:val="nil"/>
            </w:tcBorders>
            <w:shd w:val="clear" w:color="auto" w:fill="auto"/>
            <w:noWrap/>
            <w:vAlign w:val="bottom"/>
            <w:hideMark/>
          </w:tcPr>
          <w:p w14:paraId="540F5627" w14:textId="28B5E576" w:rsidR="00EA2277" w:rsidRPr="00EA2277" w:rsidRDefault="00EA2277" w:rsidP="00B2046A">
            <w:pPr>
              <w:spacing w:line="240" w:lineRule="auto"/>
              <w:jc w:val="right"/>
              <w:rPr>
                <w:rFonts w:eastAsia="Times New Roman" w:cs="Times New Roman"/>
                <w:b/>
                <w:bCs/>
                <w:color w:val="000000"/>
                <w:sz w:val="18"/>
                <w:szCs w:val="18"/>
              </w:rPr>
            </w:pPr>
            <w:r w:rsidRPr="00EA2277">
              <w:rPr>
                <w:rFonts w:eastAsia="Times New Roman" w:cs="Times New Roman"/>
                <w:b/>
                <w:bCs/>
                <w:color w:val="000000"/>
                <w:sz w:val="18"/>
                <w:szCs w:val="18"/>
              </w:rPr>
              <w:t>State</w:t>
            </w:r>
            <w:r w:rsidR="00B2046A">
              <w:rPr>
                <w:rFonts w:eastAsia="Times New Roman" w:cs="Times New Roman"/>
                <w:b/>
                <w:bCs/>
                <w:color w:val="000000"/>
                <w:sz w:val="18"/>
                <w:szCs w:val="18"/>
              </w:rPr>
              <w:t xml:space="preserve"> of California</w:t>
            </w:r>
          </w:p>
        </w:tc>
      </w:tr>
      <w:tr w:rsidR="00B2046A" w:rsidRPr="00EA2277" w14:paraId="7040B19B" w14:textId="77777777" w:rsidTr="00B2046A">
        <w:trPr>
          <w:trHeight w:val="320"/>
        </w:trPr>
        <w:tc>
          <w:tcPr>
            <w:tcW w:w="4155" w:type="dxa"/>
            <w:tcBorders>
              <w:top w:val="nil"/>
              <w:left w:val="nil"/>
              <w:bottom w:val="nil"/>
              <w:right w:val="nil"/>
            </w:tcBorders>
            <w:shd w:val="clear" w:color="auto" w:fill="auto"/>
            <w:noWrap/>
            <w:vAlign w:val="bottom"/>
            <w:hideMark/>
          </w:tcPr>
          <w:p w14:paraId="33F48C97" w14:textId="77777777" w:rsidR="00EA2277" w:rsidRPr="00EA2277" w:rsidRDefault="00EA2277" w:rsidP="00067077">
            <w:pPr>
              <w:rPr>
                <w:rFonts w:eastAsia="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14:paraId="0BB47571" w14:textId="77777777" w:rsidR="00EA2277" w:rsidRPr="00052ED4" w:rsidRDefault="00EA2277" w:rsidP="00067077">
            <w:pPr>
              <w:jc w:val="right"/>
              <w:rPr>
                <w:rFonts w:eastAsia="Times New Roman" w:cs="Times New Roman"/>
                <w:color w:val="000000"/>
                <w:sz w:val="18"/>
                <w:szCs w:val="18"/>
              </w:rPr>
            </w:pPr>
            <w:r w:rsidRPr="00052ED4">
              <w:rPr>
                <w:rFonts w:eastAsia="Times New Roman" w:cs="Times New Roman"/>
                <w:color w:val="000000"/>
                <w:sz w:val="18"/>
                <w:szCs w:val="18"/>
              </w:rPr>
              <w:t>Number</w:t>
            </w:r>
          </w:p>
          <w:p w14:paraId="47C242EA" w14:textId="77777777" w:rsidR="009C321B" w:rsidRPr="00052ED4" w:rsidRDefault="009C321B" w:rsidP="00067077">
            <w:pPr>
              <w:jc w:val="right"/>
              <w:rPr>
                <w:rFonts w:eastAsia="Times New Roman" w:cs="Times New Roman"/>
                <w:color w:val="000000"/>
                <w:sz w:val="10"/>
                <w:szCs w:val="18"/>
              </w:rPr>
            </w:pPr>
          </w:p>
        </w:tc>
        <w:tc>
          <w:tcPr>
            <w:tcW w:w="967" w:type="dxa"/>
            <w:tcBorders>
              <w:top w:val="nil"/>
              <w:left w:val="nil"/>
              <w:bottom w:val="single" w:sz="8" w:space="0" w:color="auto"/>
              <w:right w:val="nil"/>
            </w:tcBorders>
            <w:shd w:val="clear" w:color="auto" w:fill="auto"/>
            <w:noWrap/>
            <w:vAlign w:val="bottom"/>
            <w:hideMark/>
          </w:tcPr>
          <w:p w14:paraId="250A14B1" w14:textId="77777777" w:rsidR="00EA2277" w:rsidRPr="00052ED4" w:rsidRDefault="00EA2277" w:rsidP="00067077">
            <w:pPr>
              <w:jc w:val="right"/>
              <w:rPr>
                <w:rFonts w:eastAsia="Times New Roman" w:cs="Times New Roman"/>
                <w:color w:val="000000"/>
                <w:sz w:val="18"/>
                <w:szCs w:val="18"/>
              </w:rPr>
            </w:pPr>
            <w:r w:rsidRPr="00052ED4">
              <w:rPr>
                <w:rFonts w:eastAsia="Times New Roman" w:cs="Times New Roman"/>
                <w:color w:val="000000"/>
                <w:sz w:val="18"/>
                <w:szCs w:val="18"/>
              </w:rPr>
              <w:t>Percent</w:t>
            </w:r>
          </w:p>
          <w:p w14:paraId="028DDE7B" w14:textId="77777777" w:rsidR="009C321B" w:rsidRPr="00052ED4" w:rsidRDefault="009C321B" w:rsidP="00067077">
            <w:pPr>
              <w:jc w:val="right"/>
              <w:rPr>
                <w:rFonts w:eastAsia="Times New Roman" w:cs="Times New Roman"/>
                <w:color w:val="000000"/>
                <w:sz w:val="10"/>
                <w:szCs w:val="18"/>
              </w:rPr>
            </w:pPr>
          </w:p>
        </w:tc>
        <w:tc>
          <w:tcPr>
            <w:tcW w:w="1193" w:type="dxa"/>
            <w:tcBorders>
              <w:top w:val="nil"/>
              <w:left w:val="nil"/>
              <w:bottom w:val="nil"/>
              <w:right w:val="nil"/>
            </w:tcBorders>
            <w:shd w:val="clear" w:color="auto" w:fill="auto"/>
            <w:noWrap/>
            <w:vAlign w:val="bottom"/>
            <w:hideMark/>
          </w:tcPr>
          <w:p w14:paraId="0EC89D53" w14:textId="77777777" w:rsidR="00EA2277" w:rsidRDefault="00B2046A" w:rsidP="00067077">
            <w:pPr>
              <w:jc w:val="right"/>
              <w:rPr>
                <w:rFonts w:eastAsia="Times New Roman" w:cs="Times New Roman"/>
                <w:color w:val="000000"/>
                <w:sz w:val="18"/>
                <w:szCs w:val="18"/>
              </w:rPr>
            </w:pPr>
            <w:r>
              <w:rPr>
                <w:rFonts w:eastAsia="Times New Roman" w:cs="Times New Roman"/>
                <w:color w:val="000000"/>
                <w:sz w:val="18"/>
                <w:szCs w:val="18"/>
              </w:rPr>
              <w:t>Percent</w:t>
            </w:r>
          </w:p>
          <w:p w14:paraId="179CD580" w14:textId="2036CEC9" w:rsidR="009C321B" w:rsidRPr="009C321B" w:rsidRDefault="009C321B" w:rsidP="00067077">
            <w:pPr>
              <w:jc w:val="right"/>
              <w:rPr>
                <w:rFonts w:eastAsia="Times New Roman" w:cs="Times New Roman"/>
                <w:color w:val="000000"/>
                <w:sz w:val="10"/>
                <w:szCs w:val="18"/>
              </w:rPr>
            </w:pPr>
          </w:p>
        </w:tc>
        <w:tc>
          <w:tcPr>
            <w:tcW w:w="1335" w:type="dxa"/>
            <w:tcBorders>
              <w:top w:val="nil"/>
              <w:left w:val="nil"/>
              <w:bottom w:val="nil"/>
              <w:right w:val="nil"/>
            </w:tcBorders>
            <w:shd w:val="clear" w:color="auto" w:fill="auto"/>
            <w:noWrap/>
            <w:vAlign w:val="bottom"/>
            <w:hideMark/>
          </w:tcPr>
          <w:p w14:paraId="41483685" w14:textId="77777777" w:rsidR="00EA2277" w:rsidRDefault="00B2046A" w:rsidP="00067077">
            <w:pPr>
              <w:jc w:val="right"/>
              <w:rPr>
                <w:rFonts w:eastAsia="Times New Roman" w:cs="Times New Roman"/>
                <w:color w:val="000000"/>
                <w:sz w:val="18"/>
                <w:szCs w:val="18"/>
              </w:rPr>
            </w:pPr>
            <w:r>
              <w:rPr>
                <w:rFonts w:eastAsia="Times New Roman" w:cs="Times New Roman"/>
                <w:color w:val="000000"/>
                <w:sz w:val="18"/>
                <w:szCs w:val="18"/>
              </w:rPr>
              <w:t>Percent</w:t>
            </w:r>
          </w:p>
          <w:p w14:paraId="76B7478C" w14:textId="71A7A5DF" w:rsidR="009C321B" w:rsidRPr="009C321B" w:rsidRDefault="009C321B" w:rsidP="00067077">
            <w:pPr>
              <w:jc w:val="right"/>
              <w:rPr>
                <w:rFonts w:eastAsia="Times New Roman" w:cs="Times New Roman"/>
                <w:color w:val="000000"/>
                <w:sz w:val="10"/>
                <w:szCs w:val="18"/>
              </w:rPr>
            </w:pPr>
          </w:p>
        </w:tc>
      </w:tr>
      <w:tr w:rsidR="00052ED4" w:rsidRPr="00EA2277" w14:paraId="4301E2C5" w14:textId="77777777" w:rsidTr="00B2046A">
        <w:trPr>
          <w:trHeight w:val="300"/>
        </w:trPr>
        <w:tc>
          <w:tcPr>
            <w:tcW w:w="4155" w:type="dxa"/>
            <w:tcBorders>
              <w:top w:val="single" w:sz="8" w:space="0" w:color="auto"/>
              <w:left w:val="nil"/>
              <w:bottom w:val="single" w:sz="4" w:space="0" w:color="969696"/>
              <w:right w:val="nil"/>
            </w:tcBorders>
            <w:shd w:val="clear" w:color="auto" w:fill="auto"/>
            <w:noWrap/>
            <w:vAlign w:val="bottom"/>
            <w:hideMark/>
          </w:tcPr>
          <w:p w14:paraId="7CEA68F0" w14:textId="51852C7A" w:rsidR="00052ED4" w:rsidRPr="00EA2277" w:rsidRDefault="00052ED4" w:rsidP="00067077">
            <w:pPr>
              <w:rPr>
                <w:rFonts w:eastAsia="Times New Roman" w:cs="Times New Roman"/>
                <w:color w:val="000000"/>
                <w:sz w:val="18"/>
                <w:szCs w:val="18"/>
              </w:rPr>
            </w:pPr>
            <w:r w:rsidRPr="00EA2277">
              <w:rPr>
                <w:rFonts w:eastAsia="Times New Roman" w:cs="Times New Roman"/>
                <w:color w:val="000000"/>
                <w:sz w:val="18"/>
                <w:szCs w:val="18"/>
              </w:rPr>
              <w:t xml:space="preserve">Female living with own children, no </w:t>
            </w:r>
            <w:r>
              <w:rPr>
                <w:rFonts w:eastAsia="Times New Roman" w:cs="Times New Roman"/>
                <w:color w:val="000000"/>
                <w:sz w:val="18"/>
                <w:szCs w:val="18"/>
              </w:rPr>
              <w:t>partner</w:t>
            </w:r>
          </w:p>
        </w:tc>
        <w:tc>
          <w:tcPr>
            <w:tcW w:w="990" w:type="dxa"/>
            <w:tcBorders>
              <w:top w:val="single" w:sz="8" w:space="0" w:color="auto"/>
              <w:left w:val="nil"/>
              <w:bottom w:val="single" w:sz="4" w:space="0" w:color="969696"/>
              <w:right w:val="nil"/>
            </w:tcBorders>
            <w:shd w:val="clear" w:color="auto" w:fill="auto"/>
            <w:noWrap/>
            <w:vAlign w:val="bottom"/>
            <w:hideMark/>
          </w:tcPr>
          <w:p w14:paraId="47C8B31A" w14:textId="4F2FFB1D"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92</w:t>
            </w:r>
          </w:p>
        </w:tc>
        <w:tc>
          <w:tcPr>
            <w:tcW w:w="967" w:type="dxa"/>
            <w:tcBorders>
              <w:top w:val="nil"/>
              <w:left w:val="nil"/>
              <w:bottom w:val="single" w:sz="4" w:space="0" w:color="808080"/>
              <w:right w:val="nil"/>
            </w:tcBorders>
            <w:shd w:val="clear" w:color="auto" w:fill="auto"/>
            <w:noWrap/>
            <w:vAlign w:val="bottom"/>
            <w:hideMark/>
          </w:tcPr>
          <w:p w14:paraId="798BC648" w14:textId="5BA4B2D7"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3%</w:t>
            </w:r>
          </w:p>
        </w:tc>
        <w:tc>
          <w:tcPr>
            <w:tcW w:w="1193" w:type="dxa"/>
            <w:tcBorders>
              <w:top w:val="single" w:sz="8" w:space="0" w:color="auto"/>
              <w:left w:val="nil"/>
              <w:bottom w:val="single" w:sz="4" w:space="0" w:color="969696"/>
              <w:right w:val="nil"/>
            </w:tcBorders>
            <w:shd w:val="clear" w:color="auto" w:fill="auto"/>
            <w:noWrap/>
            <w:vAlign w:val="bottom"/>
            <w:hideMark/>
          </w:tcPr>
          <w:p w14:paraId="0242B032"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4%</w:t>
            </w:r>
          </w:p>
        </w:tc>
        <w:tc>
          <w:tcPr>
            <w:tcW w:w="1335" w:type="dxa"/>
            <w:tcBorders>
              <w:top w:val="single" w:sz="8" w:space="0" w:color="auto"/>
              <w:left w:val="nil"/>
              <w:bottom w:val="single" w:sz="4" w:space="0" w:color="969696"/>
              <w:right w:val="nil"/>
            </w:tcBorders>
            <w:shd w:val="clear" w:color="auto" w:fill="auto"/>
            <w:noWrap/>
            <w:vAlign w:val="bottom"/>
            <w:hideMark/>
          </w:tcPr>
          <w:p w14:paraId="536E2157"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7%</w:t>
            </w:r>
          </w:p>
        </w:tc>
      </w:tr>
      <w:tr w:rsidR="00052ED4" w:rsidRPr="00EA2277" w14:paraId="6ABE1471" w14:textId="77777777" w:rsidTr="00B2046A">
        <w:trPr>
          <w:trHeight w:val="300"/>
        </w:trPr>
        <w:tc>
          <w:tcPr>
            <w:tcW w:w="4155" w:type="dxa"/>
            <w:tcBorders>
              <w:top w:val="nil"/>
              <w:left w:val="nil"/>
              <w:bottom w:val="nil"/>
              <w:right w:val="nil"/>
            </w:tcBorders>
            <w:shd w:val="clear" w:color="auto" w:fill="auto"/>
            <w:noWrap/>
            <w:vAlign w:val="bottom"/>
            <w:hideMark/>
          </w:tcPr>
          <w:p w14:paraId="3A657A15" w14:textId="5B40DEEC" w:rsidR="00052ED4" w:rsidRPr="00EA2277" w:rsidRDefault="00052ED4" w:rsidP="00B2046A">
            <w:pPr>
              <w:spacing w:line="240" w:lineRule="auto"/>
              <w:rPr>
                <w:rFonts w:eastAsia="Times New Roman" w:cs="Times New Roman"/>
                <w:color w:val="000000"/>
                <w:sz w:val="18"/>
                <w:szCs w:val="18"/>
              </w:rPr>
            </w:pPr>
            <w:r w:rsidRPr="00EA2277">
              <w:rPr>
                <w:rFonts w:eastAsia="Times New Roman" w:cs="Times New Roman"/>
                <w:color w:val="000000"/>
                <w:sz w:val="18"/>
                <w:szCs w:val="18"/>
              </w:rPr>
              <w:t xml:space="preserve">Female living with other family members, no </w:t>
            </w:r>
            <w:r>
              <w:rPr>
                <w:rFonts w:eastAsia="Times New Roman" w:cs="Times New Roman"/>
                <w:color w:val="000000"/>
                <w:sz w:val="18"/>
                <w:szCs w:val="18"/>
              </w:rPr>
              <w:t>partner</w:t>
            </w:r>
          </w:p>
        </w:tc>
        <w:tc>
          <w:tcPr>
            <w:tcW w:w="990" w:type="dxa"/>
            <w:tcBorders>
              <w:top w:val="nil"/>
              <w:left w:val="nil"/>
              <w:bottom w:val="nil"/>
              <w:right w:val="nil"/>
            </w:tcBorders>
            <w:shd w:val="clear" w:color="auto" w:fill="auto"/>
            <w:noWrap/>
            <w:vAlign w:val="bottom"/>
            <w:hideMark/>
          </w:tcPr>
          <w:p w14:paraId="62093B4A" w14:textId="052C0074" w:rsidR="00052ED4" w:rsidRPr="00052ED4" w:rsidRDefault="00052ED4" w:rsidP="00B2046A">
            <w:pPr>
              <w:spacing w:line="240" w:lineRule="auto"/>
              <w:jc w:val="right"/>
              <w:rPr>
                <w:rFonts w:eastAsia="Times New Roman" w:cs="Times New Roman"/>
                <w:color w:val="000000"/>
                <w:sz w:val="18"/>
                <w:szCs w:val="18"/>
              </w:rPr>
            </w:pPr>
            <w:r w:rsidRPr="004F7FEB">
              <w:rPr>
                <w:rFonts w:eastAsia="Times New Roman" w:cs="Times New Roman"/>
                <w:color w:val="000000"/>
                <w:sz w:val="18"/>
                <w:szCs w:val="18"/>
              </w:rPr>
              <w:t>59</w:t>
            </w:r>
          </w:p>
        </w:tc>
        <w:tc>
          <w:tcPr>
            <w:tcW w:w="967" w:type="dxa"/>
            <w:tcBorders>
              <w:top w:val="nil"/>
              <w:left w:val="nil"/>
              <w:bottom w:val="single" w:sz="4" w:space="0" w:color="808080"/>
              <w:right w:val="nil"/>
            </w:tcBorders>
            <w:shd w:val="clear" w:color="auto" w:fill="auto"/>
            <w:noWrap/>
            <w:vAlign w:val="bottom"/>
            <w:hideMark/>
          </w:tcPr>
          <w:p w14:paraId="1734608D" w14:textId="7526FDD0" w:rsidR="00052ED4" w:rsidRPr="00052ED4" w:rsidRDefault="00052ED4" w:rsidP="00B2046A">
            <w:pPr>
              <w:spacing w:line="240" w:lineRule="auto"/>
              <w:jc w:val="right"/>
              <w:rPr>
                <w:rFonts w:eastAsia="Times New Roman" w:cs="Times New Roman"/>
                <w:color w:val="000000"/>
                <w:sz w:val="18"/>
                <w:szCs w:val="18"/>
              </w:rPr>
            </w:pPr>
            <w:r w:rsidRPr="004F7FEB">
              <w:rPr>
                <w:rFonts w:eastAsia="Times New Roman" w:cs="Times New Roman"/>
                <w:color w:val="000000"/>
                <w:sz w:val="18"/>
                <w:szCs w:val="18"/>
              </w:rPr>
              <w:t>2%</w:t>
            </w:r>
          </w:p>
        </w:tc>
        <w:tc>
          <w:tcPr>
            <w:tcW w:w="1193" w:type="dxa"/>
            <w:tcBorders>
              <w:top w:val="nil"/>
              <w:left w:val="nil"/>
              <w:bottom w:val="nil"/>
              <w:right w:val="nil"/>
            </w:tcBorders>
            <w:shd w:val="clear" w:color="auto" w:fill="auto"/>
            <w:noWrap/>
            <w:vAlign w:val="bottom"/>
            <w:hideMark/>
          </w:tcPr>
          <w:p w14:paraId="4F68AC75" w14:textId="77777777" w:rsidR="00052ED4" w:rsidRPr="00EA2277" w:rsidRDefault="00052ED4" w:rsidP="00B2046A">
            <w:pPr>
              <w:spacing w:line="240" w:lineRule="auto"/>
              <w:jc w:val="right"/>
              <w:rPr>
                <w:rFonts w:eastAsia="Times New Roman" w:cs="Times New Roman"/>
                <w:color w:val="000000"/>
                <w:sz w:val="18"/>
                <w:szCs w:val="18"/>
              </w:rPr>
            </w:pPr>
            <w:r w:rsidRPr="00EA2277">
              <w:rPr>
                <w:rFonts w:eastAsia="Times New Roman" w:cs="Times New Roman"/>
                <w:color w:val="000000"/>
                <w:sz w:val="18"/>
                <w:szCs w:val="18"/>
              </w:rPr>
              <w:t>6%</w:t>
            </w:r>
          </w:p>
        </w:tc>
        <w:tc>
          <w:tcPr>
            <w:tcW w:w="1335" w:type="dxa"/>
            <w:tcBorders>
              <w:top w:val="nil"/>
              <w:left w:val="nil"/>
              <w:bottom w:val="nil"/>
              <w:right w:val="nil"/>
            </w:tcBorders>
            <w:shd w:val="clear" w:color="auto" w:fill="auto"/>
            <w:noWrap/>
            <w:vAlign w:val="bottom"/>
            <w:hideMark/>
          </w:tcPr>
          <w:p w14:paraId="7DACD6EC" w14:textId="77777777" w:rsidR="00052ED4" w:rsidRPr="00EA2277" w:rsidRDefault="00052ED4" w:rsidP="00B2046A">
            <w:pPr>
              <w:spacing w:line="240" w:lineRule="auto"/>
              <w:jc w:val="right"/>
              <w:rPr>
                <w:rFonts w:eastAsia="Times New Roman" w:cs="Times New Roman"/>
                <w:color w:val="000000"/>
                <w:sz w:val="18"/>
                <w:szCs w:val="18"/>
              </w:rPr>
            </w:pPr>
            <w:r w:rsidRPr="00EA2277">
              <w:rPr>
                <w:rFonts w:eastAsia="Times New Roman" w:cs="Times New Roman"/>
                <w:color w:val="000000"/>
                <w:sz w:val="18"/>
                <w:szCs w:val="18"/>
              </w:rPr>
              <w:t>6%</w:t>
            </w:r>
          </w:p>
        </w:tc>
      </w:tr>
      <w:tr w:rsidR="00052ED4" w:rsidRPr="00EA2277" w14:paraId="75586008" w14:textId="77777777" w:rsidTr="00B2046A">
        <w:trPr>
          <w:trHeight w:val="300"/>
        </w:trPr>
        <w:tc>
          <w:tcPr>
            <w:tcW w:w="4155" w:type="dxa"/>
            <w:tcBorders>
              <w:top w:val="single" w:sz="4" w:space="0" w:color="969696"/>
              <w:left w:val="nil"/>
              <w:bottom w:val="nil"/>
              <w:right w:val="nil"/>
            </w:tcBorders>
            <w:shd w:val="clear" w:color="auto" w:fill="auto"/>
            <w:noWrap/>
            <w:vAlign w:val="bottom"/>
            <w:hideMark/>
          </w:tcPr>
          <w:p w14:paraId="192324DF" w14:textId="77777777" w:rsidR="00052ED4" w:rsidRPr="00EA2277" w:rsidRDefault="00052ED4" w:rsidP="00067077">
            <w:pPr>
              <w:rPr>
                <w:rFonts w:eastAsia="Times New Roman" w:cs="Times New Roman"/>
                <w:color w:val="000000"/>
                <w:sz w:val="18"/>
                <w:szCs w:val="18"/>
              </w:rPr>
            </w:pPr>
            <w:r w:rsidRPr="00EA2277">
              <w:rPr>
                <w:rFonts w:eastAsia="Times New Roman" w:cs="Times New Roman"/>
                <w:color w:val="000000"/>
                <w:sz w:val="18"/>
                <w:szCs w:val="18"/>
              </w:rPr>
              <w:t>Female living alone</w:t>
            </w:r>
          </w:p>
        </w:tc>
        <w:tc>
          <w:tcPr>
            <w:tcW w:w="990" w:type="dxa"/>
            <w:tcBorders>
              <w:top w:val="single" w:sz="4" w:space="0" w:color="969696"/>
              <w:left w:val="nil"/>
              <w:bottom w:val="nil"/>
              <w:right w:val="nil"/>
            </w:tcBorders>
            <w:shd w:val="clear" w:color="auto" w:fill="auto"/>
            <w:noWrap/>
            <w:vAlign w:val="bottom"/>
            <w:hideMark/>
          </w:tcPr>
          <w:p w14:paraId="744A2F1D" w14:textId="0E3D0921"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154</w:t>
            </w:r>
          </w:p>
        </w:tc>
        <w:tc>
          <w:tcPr>
            <w:tcW w:w="967" w:type="dxa"/>
            <w:tcBorders>
              <w:top w:val="nil"/>
              <w:left w:val="nil"/>
              <w:bottom w:val="single" w:sz="4" w:space="0" w:color="808080"/>
              <w:right w:val="nil"/>
            </w:tcBorders>
            <w:shd w:val="clear" w:color="auto" w:fill="auto"/>
            <w:noWrap/>
            <w:vAlign w:val="bottom"/>
            <w:hideMark/>
          </w:tcPr>
          <w:p w14:paraId="5CFE5CE6" w14:textId="032F2D90"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4%</w:t>
            </w:r>
          </w:p>
        </w:tc>
        <w:tc>
          <w:tcPr>
            <w:tcW w:w="1193" w:type="dxa"/>
            <w:tcBorders>
              <w:top w:val="single" w:sz="4" w:space="0" w:color="969696"/>
              <w:left w:val="nil"/>
              <w:bottom w:val="nil"/>
              <w:right w:val="nil"/>
            </w:tcBorders>
            <w:shd w:val="clear" w:color="auto" w:fill="auto"/>
            <w:noWrap/>
            <w:vAlign w:val="bottom"/>
            <w:hideMark/>
          </w:tcPr>
          <w:p w14:paraId="253EDD04"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15%</w:t>
            </w:r>
          </w:p>
        </w:tc>
        <w:tc>
          <w:tcPr>
            <w:tcW w:w="1335" w:type="dxa"/>
            <w:tcBorders>
              <w:top w:val="single" w:sz="4" w:space="0" w:color="969696"/>
              <w:left w:val="nil"/>
              <w:bottom w:val="nil"/>
              <w:right w:val="nil"/>
            </w:tcBorders>
            <w:shd w:val="clear" w:color="auto" w:fill="auto"/>
            <w:noWrap/>
            <w:vAlign w:val="bottom"/>
            <w:hideMark/>
          </w:tcPr>
          <w:p w14:paraId="77B1A6C9"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13%</w:t>
            </w:r>
          </w:p>
        </w:tc>
      </w:tr>
      <w:tr w:rsidR="00052ED4" w:rsidRPr="00EA2277" w14:paraId="559401E7" w14:textId="77777777" w:rsidTr="00B2046A">
        <w:trPr>
          <w:trHeight w:val="300"/>
        </w:trPr>
        <w:tc>
          <w:tcPr>
            <w:tcW w:w="4155" w:type="dxa"/>
            <w:tcBorders>
              <w:top w:val="single" w:sz="4" w:space="0" w:color="auto"/>
              <w:left w:val="nil"/>
              <w:bottom w:val="single" w:sz="4" w:space="0" w:color="000000"/>
              <w:right w:val="nil"/>
            </w:tcBorders>
            <w:shd w:val="clear" w:color="auto" w:fill="auto"/>
            <w:noWrap/>
            <w:vAlign w:val="bottom"/>
            <w:hideMark/>
          </w:tcPr>
          <w:p w14:paraId="5A690C37" w14:textId="77777777" w:rsidR="00052ED4" w:rsidRPr="00EA2277" w:rsidRDefault="00052ED4" w:rsidP="00067077">
            <w:pPr>
              <w:rPr>
                <w:rFonts w:eastAsia="Times New Roman" w:cs="Times New Roman"/>
                <w:color w:val="000000"/>
                <w:sz w:val="18"/>
                <w:szCs w:val="18"/>
              </w:rPr>
            </w:pPr>
            <w:r w:rsidRPr="00EA2277">
              <w:rPr>
                <w:rFonts w:eastAsia="Times New Roman" w:cs="Times New Roman"/>
                <w:color w:val="000000"/>
                <w:sz w:val="18"/>
                <w:szCs w:val="18"/>
              </w:rPr>
              <w:t>Total Households</w:t>
            </w:r>
          </w:p>
        </w:tc>
        <w:tc>
          <w:tcPr>
            <w:tcW w:w="990" w:type="dxa"/>
            <w:tcBorders>
              <w:top w:val="single" w:sz="4" w:space="0" w:color="auto"/>
              <w:left w:val="nil"/>
              <w:bottom w:val="single" w:sz="4" w:space="0" w:color="000000"/>
              <w:right w:val="nil"/>
            </w:tcBorders>
            <w:shd w:val="clear" w:color="auto" w:fill="auto"/>
            <w:noWrap/>
            <w:vAlign w:val="bottom"/>
            <w:hideMark/>
          </w:tcPr>
          <w:p w14:paraId="0B0676D2" w14:textId="739780A0"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3,512</w:t>
            </w:r>
          </w:p>
        </w:tc>
        <w:tc>
          <w:tcPr>
            <w:tcW w:w="967" w:type="dxa"/>
            <w:tcBorders>
              <w:top w:val="single" w:sz="4" w:space="0" w:color="auto"/>
              <w:left w:val="nil"/>
              <w:bottom w:val="single" w:sz="4" w:space="0" w:color="000000"/>
              <w:right w:val="nil"/>
            </w:tcBorders>
            <w:shd w:val="clear" w:color="auto" w:fill="auto"/>
            <w:noWrap/>
            <w:vAlign w:val="bottom"/>
            <w:hideMark/>
          </w:tcPr>
          <w:p w14:paraId="12090BCA" w14:textId="0D6E78FE"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100%</w:t>
            </w:r>
          </w:p>
        </w:tc>
        <w:tc>
          <w:tcPr>
            <w:tcW w:w="1193" w:type="dxa"/>
            <w:tcBorders>
              <w:top w:val="single" w:sz="4" w:space="0" w:color="auto"/>
              <w:left w:val="nil"/>
              <w:bottom w:val="single" w:sz="4" w:space="0" w:color="000000"/>
              <w:right w:val="nil"/>
            </w:tcBorders>
            <w:shd w:val="clear" w:color="auto" w:fill="auto"/>
            <w:noWrap/>
            <w:vAlign w:val="bottom"/>
            <w:hideMark/>
          </w:tcPr>
          <w:p w14:paraId="00161263"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256,305</w:t>
            </w:r>
          </w:p>
        </w:tc>
        <w:tc>
          <w:tcPr>
            <w:tcW w:w="1335" w:type="dxa"/>
            <w:tcBorders>
              <w:top w:val="single" w:sz="4" w:space="0" w:color="auto"/>
              <w:left w:val="nil"/>
              <w:bottom w:val="single" w:sz="4" w:space="0" w:color="000000"/>
              <w:right w:val="nil"/>
            </w:tcBorders>
            <w:shd w:val="clear" w:color="auto" w:fill="auto"/>
            <w:noWrap/>
            <w:vAlign w:val="bottom"/>
            <w:hideMark/>
          </w:tcPr>
          <w:p w14:paraId="69CC16CF"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12,433,049</w:t>
            </w:r>
          </w:p>
        </w:tc>
      </w:tr>
      <w:tr w:rsidR="00052ED4" w:rsidRPr="00EA2277" w14:paraId="7DA29B2F" w14:textId="77777777" w:rsidTr="00B2046A">
        <w:trPr>
          <w:trHeight w:val="300"/>
        </w:trPr>
        <w:tc>
          <w:tcPr>
            <w:tcW w:w="4155" w:type="dxa"/>
            <w:tcBorders>
              <w:top w:val="nil"/>
              <w:left w:val="nil"/>
              <w:bottom w:val="single" w:sz="4" w:space="0" w:color="969696"/>
              <w:right w:val="nil"/>
            </w:tcBorders>
            <w:shd w:val="clear" w:color="auto" w:fill="auto"/>
            <w:noWrap/>
            <w:vAlign w:val="bottom"/>
            <w:hideMark/>
          </w:tcPr>
          <w:p w14:paraId="2A19E851" w14:textId="60C99BFC" w:rsidR="00052ED4" w:rsidRPr="00EA2277" w:rsidRDefault="00052ED4" w:rsidP="00067077">
            <w:pPr>
              <w:rPr>
                <w:rFonts w:eastAsia="Times New Roman" w:cs="Times New Roman"/>
                <w:color w:val="000000"/>
                <w:sz w:val="18"/>
                <w:szCs w:val="18"/>
              </w:rPr>
            </w:pPr>
            <w:r w:rsidRPr="00EA2277">
              <w:rPr>
                <w:rFonts w:eastAsia="Times New Roman" w:cs="Times New Roman"/>
                <w:color w:val="000000"/>
                <w:sz w:val="18"/>
                <w:szCs w:val="18"/>
              </w:rPr>
              <w:t>Female Households</w:t>
            </w:r>
            <w:r>
              <w:rPr>
                <w:rFonts w:eastAsia="Times New Roman" w:cs="Times New Roman"/>
                <w:color w:val="000000"/>
                <w:sz w:val="18"/>
                <w:szCs w:val="18"/>
              </w:rPr>
              <w:t xml:space="preserve"> </w:t>
            </w:r>
            <w:r w:rsidRPr="00EA2277">
              <w:rPr>
                <w:rFonts w:eastAsia="Times New Roman" w:cs="Times New Roman"/>
                <w:color w:val="000000"/>
                <w:sz w:val="18"/>
                <w:szCs w:val="18"/>
              </w:rPr>
              <w:t>Below Poverty Level</w:t>
            </w:r>
          </w:p>
        </w:tc>
        <w:tc>
          <w:tcPr>
            <w:tcW w:w="990" w:type="dxa"/>
            <w:tcBorders>
              <w:top w:val="nil"/>
              <w:left w:val="nil"/>
              <w:bottom w:val="single" w:sz="4" w:space="0" w:color="969696"/>
              <w:right w:val="nil"/>
            </w:tcBorders>
            <w:shd w:val="clear" w:color="auto" w:fill="auto"/>
            <w:noWrap/>
            <w:vAlign w:val="bottom"/>
            <w:hideMark/>
          </w:tcPr>
          <w:p w14:paraId="3EF22665" w14:textId="26C9D2F8"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109</w:t>
            </w:r>
          </w:p>
        </w:tc>
        <w:tc>
          <w:tcPr>
            <w:tcW w:w="967" w:type="dxa"/>
            <w:tcBorders>
              <w:top w:val="nil"/>
              <w:left w:val="nil"/>
              <w:bottom w:val="single" w:sz="4" w:space="0" w:color="969696"/>
              <w:right w:val="nil"/>
            </w:tcBorders>
            <w:shd w:val="clear" w:color="auto" w:fill="auto"/>
            <w:noWrap/>
            <w:vAlign w:val="bottom"/>
            <w:hideMark/>
          </w:tcPr>
          <w:p w14:paraId="6AB7C8A8" w14:textId="07E6A2AF" w:rsidR="00052ED4" w:rsidRPr="00052ED4" w:rsidRDefault="00052ED4" w:rsidP="00067077">
            <w:pPr>
              <w:jc w:val="right"/>
              <w:rPr>
                <w:rFonts w:eastAsia="Times New Roman" w:cs="Times New Roman"/>
                <w:color w:val="000000"/>
                <w:sz w:val="18"/>
                <w:szCs w:val="18"/>
              </w:rPr>
            </w:pPr>
            <w:r w:rsidRPr="004F7FEB">
              <w:rPr>
                <w:rFonts w:eastAsia="Times New Roman" w:cs="Times New Roman"/>
                <w:color w:val="000000"/>
                <w:sz w:val="18"/>
                <w:szCs w:val="18"/>
              </w:rPr>
              <w:t>3%</w:t>
            </w:r>
          </w:p>
        </w:tc>
        <w:tc>
          <w:tcPr>
            <w:tcW w:w="1193" w:type="dxa"/>
            <w:tcBorders>
              <w:top w:val="nil"/>
              <w:left w:val="nil"/>
              <w:bottom w:val="single" w:sz="4" w:space="0" w:color="969696"/>
              <w:right w:val="nil"/>
            </w:tcBorders>
            <w:shd w:val="clear" w:color="auto" w:fill="auto"/>
            <w:noWrap/>
            <w:vAlign w:val="bottom"/>
            <w:hideMark/>
          </w:tcPr>
          <w:p w14:paraId="2799B850"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8%</w:t>
            </w:r>
          </w:p>
        </w:tc>
        <w:tc>
          <w:tcPr>
            <w:tcW w:w="1335" w:type="dxa"/>
            <w:tcBorders>
              <w:top w:val="nil"/>
              <w:left w:val="nil"/>
              <w:bottom w:val="single" w:sz="4" w:space="0" w:color="969696"/>
              <w:right w:val="nil"/>
            </w:tcBorders>
            <w:shd w:val="clear" w:color="auto" w:fill="auto"/>
            <w:noWrap/>
            <w:vAlign w:val="bottom"/>
            <w:hideMark/>
          </w:tcPr>
          <w:p w14:paraId="4F40A263" w14:textId="77777777" w:rsidR="00052ED4" w:rsidRPr="00EA2277" w:rsidRDefault="00052ED4" w:rsidP="00067077">
            <w:pPr>
              <w:jc w:val="right"/>
              <w:rPr>
                <w:rFonts w:eastAsia="Times New Roman" w:cs="Times New Roman"/>
                <w:color w:val="000000"/>
                <w:sz w:val="18"/>
                <w:szCs w:val="18"/>
              </w:rPr>
            </w:pPr>
            <w:r w:rsidRPr="00EA2277">
              <w:rPr>
                <w:rFonts w:eastAsia="Times New Roman" w:cs="Times New Roman"/>
                <w:color w:val="000000"/>
                <w:sz w:val="18"/>
                <w:szCs w:val="18"/>
              </w:rPr>
              <w:t>17%</w:t>
            </w:r>
          </w:p>
        </w:tc>
      </w:tr>
      <w:tr w:rsidR="00EA2277" w:rsidRPr="00B2046A" w14:paraId="40B1CC66" w14:textId="77777777" w:rsidTr="00B2046A">
        <w:trPr>
          <w:trHeight w:val="300"/>
        </w:trPr>
        <w:tc>
          <w:tcPr>
            <w:tcW w:w="8640" w:type="dxa"/>
            <w:gridSpan w:val="5"/>
            <w:tcBorders>
              <w:top w:val="single" w:sz="4" w:space="0" w:color="auto"/>
              <w:left w:val="nil"/>
              <w:bottom w:val="nil"/>
              <w:right w:val="nil"/>
            </w:tcBorders>
            <w:shd w:val="clear" w:color="auto" w:fill="auto"/>
            <w:noWrap/>
            <w:vAlign w:val="bottom"/>
            <w:hideMark/>
          </w:tcPr>
          <w:p w14:paraId="249F3B58" w14:textId="77777777" w:rsidR="009C321B" w:rsidRPr="009C321B" w:rsidRDefault="009C321B" w:rsidP="00B2046A">
            <w:pPr>
              <w:spacing w:line="240" w:lineRule="auto"/>
              <w:rPr>
                <w:rFonts w:eastAsia="Times New Roman" w:cs="Times New Roman"/>
                <w:color w:val="000000"/>
                <w:sz w:val="14"/>
                <w:szCs w:val="18"/>
              </w:rPr>
            </w:pPr>
          </w:p>
          <w:p w14:paraId="62285781" w14:textId="110F33A9" w:rsidR="00EA2277" w:rsidRPr="00B2046A" w:rsidRDefault="00EA2277" w:rsidP="00B2046A">
            <w:pPr>
              <w:spacing w:line="240" w:lineRule="auto"/>
              <w:rPr>
                <w:rFonts w:eastAsia="Times New Roman" w:cs="Times New Roman"/>
                <w:color w:val="000000"/>
                <w:sz w:val="18"/>
                <w:szCs w:val="18"/>
              </w:rPr>
            </w:pPr>
            <w:r w:rsidRPr="00B2046A">
              <w:rPr>
                <w:rFonts w:eastAsia="Times New Roman" w:cs="Times New Roman"/>
                <w:color w:val="000000"/>
                <w:sz w:val="18"/>
                <w:szCs w:val="18"/>
              </w:rPr>
              <w:t xml:space="preserve">Source: </w:t>
            </w:r>
            <w:r w:rsidR="0020362E">
              <w:rPr>
                <w:rFonts w:eastAsia="Times New Roman" w:cs="Times New Roman"/>
                <w:color w:val="000000"/>
                <w:sz w:val="18"/>
                <w:szCs w:val="18"/>
              </w:rPr>
              <w:t>2007-2011</w:t>
            </w:r>
            <w:r w:rsidRPr="00B2046A">
              <w:rPr>
                <w:rFonts w:eastAsia="Times New Roman" w:cs="Times New Roman"/>
                <w:color w:val="000000"/>
                <w:sz w:val="18"/>
                <w:szCs w:val="18"/>
              </w:rPr>
              <w:t xml:space="preserve"> American Community Survey</w:t>
            </w:r>
          </w:p>
        </w:tc>
      </w:tr>
    </w:tbl>
    <w:p w14:paraId="2F8C4CB9" w14:textId="77777777" w:rsidR="007C44B8" w:rsidRDefault="007C44B8" w:rsidP="00067077"/>
    <w:p w14:paraId="3281751B" w14:textId="528F0219" w:rsidR="00273BF0" w:rsidRPr="00C37606" w:rsidRDefault="007C44B8" w:rsidP="00067077">
      <w:pPr>
        <w:pStyle w:val="21ElementsText"/>
      </w:pPr>
      <w:r w:rsidRPr="00D40867">
        <w:t>Large households are defined as househo</w:t>
      </w:r>
      <w:r>
        <w:t>lds with five or more members living in the same home</w:t>
      </w:r>
      <w:r w:rsidRPr="00D40867">
        <w:t xml:space="preserve">. Large households </w:t>
      </w:r>
      <w:r>
        <w:t>are</w:t>
      </w:r>
      <w:r w:rsidRPr="00D40867">
        <w:t xml:space="preserve"> a special need</w:t>
      </w:r>
      <w:r>
        <w:t>s</w:t>
      </w:r>
      <w:r w:rsidRPr="00D40867">
        <w:t xml:space="preserve"> group</w:t>
      </w:r>
      <w:r>
        <w:t xml:space="preserve"> because of the difficult</w:t>
      </w:r>
      <w:r w:rsidR="006D6044">
        <w:t>y</w:t>
      </w:r>
      <w:r>
        <w:t xml:space="preserve"> in </w:t>
      </w:r>
      <w:r w:rsidRPr="007C44B8">
        <w:t>finding adequate and affordable housing.</w:t>
      </w:r>
      <w:r w:rsidR="00195DA8">
        <w:t xml:space="preserve"> </w:t>
      </w:r>
      <w:r w:rsidRPr="007C44B8">
        <w:t>Many jurisdictions have few large homes, and often these larger homes are significantly more expensive than smaller ones.</w:t>
      </w:r>
      <w:r w:rsidR="00195DA8">
        <w:t xml:space="preserve"> </w:t>
      </w:r>
      <w:r w:rsidRPr="007C44B8">
        <w:t xml:space="preserve">Large households throughout San Mateo County are much more likely than smaller households to </w:t>
      </w:r>
      <w:r w:rsidR="009E5339">
        <w:t>live in a home with</w:t>
      </w:r>
      <w:r w:rsidRPr="007C44B8">
        <w:t xml:space="preserve"> some </w:t>
      </w:r>
      <w:r w:rsidR="009E5339">
        <w:t>type</w:t>
      </w:r>
      <w:r w:rsidRPr="007C44B8">
        <w:t xml:space="preserve"> of housing problem</w:t>
      </w:r>
      <w:r w:rsidR="009E5339">
        <w:t xml:space="preserve">, such as high rent or cost, </w:t>
      </w:r>
      <w:r w:rsidR="009C321B">
        <w:t xml:space="preserve">or problems with the </w:t>
      </w:r>
      <w:r w:rsidR="009E5339">
        <w:t xml:space="preserve">physical </w:t>
      </w:r>
      <w:r w:rsidR="009C321B">
        <w:t>condition of the home</w:t>
      </w:r>
      <w:r w:rsidRPr="007C44B8">
        <w:t xml:space="preserve">. </w:t>
      </w:r>
    </w:p>
    <w:p w14:paraId="68632DC1" w14:textId="0064B507" w:rsidR="003C454C" w:rsidRPr="00C37606" w:rsidRDefault="003C454C" w:rsidP="003C454C">
      <w:pPr>
        <w:widowControl w:val="0"/>
        <w:autoSpaceDE w:val="0"/>
        <w:autoSpaceDN w:val="0"/>
        <w:adjustRightInd w:val="0"/>
        <w:rPr>
          <w:rFonts w:cs="Times New Roman"/>
        </w:rPr>
      </w:pPr>
      <w:r w:rsidRPr="00C37606">
        <w:rPr>
          <w:rFonts w:cs="Times New Roman"/>
        </w:rPr>
        <w:t xml:space="preserve">Hillsborough has 480 households with five or more members. These households are significantly more likely than smaller households to have housing problems: 43 percent of owner-occupied large households contend with a housing problem such as overpayment or overcrowding. </w:t>
      </w:r>
    </w:p>
    <w:p w14:paraId="41489115" w14:textId="2B76630E" w:rsidR="00D25635" w:rsidRPr="00C37606" w:rsidRDefault="00195DA8" w:rsidP="00273BF0">
      <w:pPr>
        <w:pStyle w:val="21ElementsText"/>
        <w:rPr>
          <w:rFonts w:cs="Times New Roman"/>
        </w:rPr>
      </w:pPr>
      <w:r w:rsidRPr="00C37606">
        <w:rPr>
          <w:rFonts w:cs="Times New Roman"/>
        </w:rPr>
        <w:t xml:space="preserve"> </w:t>
      </w:r>
    </w:p>
    <w:tbl>
      <w:tblPr>
        <w:tblW w:w="8385" w:type="dxa"/>
        <w:tblInd w:w="93" w:type="dxa"/>
        <w:tblLayout w:type="fixed"/>
        <w:tblLook w:val="04A0" w:firstRow="1" w:lastRow="0" w:firstColumn="1" w:lastColumn="0" w:noHBand="0" w:noVBand="1"/>
      </w:tblPr>
      <w:tblGrid>
        <w:gridCol w:w="1905"/>
        <w:gridCol w:w="2306"/>
        <w:gridCol w:w="922"/>
        <w:gridCol w:w="898"/>
        <w:gridCol w:w="1184"/>
        <w:gridCol w:w="717"/>
        <w:gridCol w:w="453"/>
      </w:tblGrid>
      <w:tr w:rsidR="00634730" w:rsidRPr="00C37606" w14:paraId="2D2980C3" w14:textId="77777777" w:rsidTr="009C321B">
        <w:trPr>
          <w:trHeight w:val="300"/>
        </w:trPr>
        <w:tc>
          <w:tcPr>
            <w:tcW w:w="8385" w:type="dxa"/>
            <w:gridSpan w:val="7"/>
            <w:tcBorders>
              <w:top w:val="nil"/>
              <w:left w:val="nil"/>
              <w:bottom w:val="nil"/>
              <w:right w:val="nil"/>
            </w:tcBorders>
            <w:shd w:val="clear" w:color="000000" w:fill="000000"/>
            <w:noWrap/>
            <w:vAlign w:val="bottom"/>
            <w:hideMark/>
          </w:tcPr>
          <w:p w14:paraId="170EC85E" w14:textId="1A268BD5" w:rsidR="00634730" w:rsidRPr="00C37606" w:rsidRDefault="00634730" w:rsidP="00BB068D">
            <w:pPr>
              <w:rPr>
                <w:rFonts w:eastAsia="Times New Roman" w:cs="Times New Roman"/>
                <w:b/>
                <w:bCs/>
                <w:color w:val="FFFFFF"/>
                <w:sz w:val="20"/>
                <w:szCs w:val="20"/>
              </w:rPr>
            </w:pPr>
            <w:r w:rsidRPr="00C37606">
              <w:rPr>
                <w:rFonts w:eastAsia="Times New Roman" w:cs="Times New Roman"/>
                <w:b/>
                <w:bCs/>
                <w:color w:val="FFFFFF"/>
                <w:sz w:val="20"/>
                <w:szCs w:val="20"/>
              </w:rPr>
              <w:t xml:space="preserve">Households </w:t>
            </w:r>
            <w:r w:rsidR="00BB068D" w:rsidRPr="00C37606">
              <w:rPr>
                <w:rFonts w:eastAsia="Times New Roman" w:cs="Times New Roman"/>
                <w:b/>
                <w:bCs/>
                <w:color w:val="FFFFFF"/>
                <w:sz w:val="20"/>
                <w:szCs w:val="20"/>
              </w:rPr>
              <w:t>with</w:t>
            </w:r>
            <w:r w:rsidRPr="00C37606">
              <w:rPr>
                <w:rFonts w:eastAsia="Times New Roman" w:cs="Times New Roman"/>
                <w:b/>
                <w:bCs/>
                <w:color w:val="FFFFFF"/>
                <w:sz w:val="20"/>
                <w:szCs w:val="20"/>
              </w:rPr>
              <w:t xml:space="preserve"> 5 or </w:t>
            </w:r>
            <w:r w:rsidR="009C321B" w:rsidRPr="00C37606">
              <w:rPr>
                <w:rFonts w:eastAsia="Times New Roman" w:cs="Times New Roman"/>
                <w:b/>
                <w:bCs/>
                <w:color w:val="FFFFFF"/>
                <w:sz w:val="20"/>
                <w:szCs w:val="20"/>
              </w:rPr>
              <w:t>M</w:t>
            </w:r>
            <w:r w:rsidRPr="00C37606">
              <w:rPr>
                <w:rFonts w:eastAsia="Times New Roman" w:cs="Times New Roman"/>
                <w:b/>
                <w:bCs/>
                <w:color w:val="FFFFFF"/>
                <w:sz w:val="20"/>
                <w:szCs w:val="20"/>
              </w:rPr>
              <w:t xml:space="preserve">ore </w:t>
            </w:r>
            <w:r w:rsidR="00CD17A8" w:rsidRPr="00C37606">
              <w:rPr>
                <w:rFonts w:eastAsia="Times New Roman" w:cs="Times New Roman"/>
                <w:b/>
                <w:bCs/>
                <w:color w:val="FFFFFF"/>
                <w:sz w:val="20"/>
                <w:szCs w:val="20"/>
              </w:rPr>
              <w:t xml:space="preserve">Persons </w:t>
            </w:r>
            <w:r w:rsidRPr="00C37606">
              <w:rPr>
                <w:rFonts w:eastAsia="Times New Roman" w:cs="Times New Roman"/>
                <w:b/>
                <w:bCs/>
                <w:color w:val="FFFFFF"/>
                <w:sz w:val="20"/>
                <w:szCs w:val="20"/>
              </w:rPr>
              <w:t>by Tenure and Housing Problems</w:t>
            </w:r>
            <w:r w:rsidR="00052ED4" w:rsidRPr="00C37606">
              <w:rPr>
                <w:rFonts w:eastAsia="Times New Roman" w:cs="Times New Roman"/>
                <w:b/>
                <w:bCs/>
                <w:color w:val="FFFFFF"/>
                <w:sz w:val="20"/>
                <w:szCs w:val="20"/>
              </w:rPr>
              <w:t xml:space="preserve"> (2011)</w:t>
            </w:r>
          </w:p>
        </w:tc>
      </w:tr>
      <w:tr w:rsidR="00634730" w:rsidRPr="00C37606" w14:paraId="67B0C012" w14:textId="77777777" w:rsidTr="009C321B">
        <w:trPr>
          <w:trHeight w:val="300"/>
        </w:trPr>
        <w:tc>
          <w:tcPr>
            <w:tcW w:w="1905" w:type="dxa"/>
            <w:tcBorders>
              <w:top w:val="nil"/>
              <w:left w:val="nil"/>
              <w:bottom w:val="nil"/>
              <w:right w:val="nil"/>
            </w:tcBorders>
            <w:shd w:val="clear" w:color="auto" w:fill="auto"/>
            <w:noWrap/>
            <w:vAlign w:val="bottom"/>
            <w:hideMark/>
          </w:tcPr>
          <w:p w14:paraId="2C3D7EAD" w14:textId="77777777" w:rsidR="00634730" w:rsidRPr="00C37606" w:rsidRDefault="00634730" w:rsidP="009C321B">
            <w:pPr>
              <w:spacing w:line="240" w:lineRule="auto"/>
              <w:rPr>
                <w:rFonts w:eastAsia="Times New Roman" w:cs="Times New Roman"/>
                <w:color w:val="000000"/>
                <w:sz w:val="18"/>
                <w:szCs w:val="18"/>
              </w:rPr>
            </w:pPr>
          </w:p>
        </w:tc>
        <w:tc>
          <w:tcPr>
            <w:tcW w:w="2306" w:type="dxa"/>
            <w:tcBorders>
              <w:top w:val="nil"/>
              <w:left w:val="nil"/>
              <w:bottom w:val="nil"/>
              <w:right w:val="nil"/>
            </w:tcBorders>
            <w:shd w:val="clear" w:color="auto" w:fill="auto"/>
            <w:noWrap/>
            <w:vAlign w:val="bottom"/>
            <w:hideMark/>
          </w:tcPr>
          <w:p w14:paraId="4E31716A" w14:textId="77777777" w:rsidR="00634730" w:rsidRPr="00C37606" w:rsidRDefault="00634730" w:rsidP="009C321B">
            <w:pPr>
              <w:spacing w:line="240" w:lineRule="auto"/>
              <w:jc w:val="right"/>
              <w:rPr>
                <w:rFonts w:eastAsia="Times New Roman" w:cs="Times New Roman"/>
                <w:b/>
                <w:bCs/>
                <w:color w:val="000000"/>
                <w:sz w:val="18"/>
                <w:szCs w:val="18"/>
              </w:rPr>
            </w:pPr>
          </w:p>
        </w:tc>
        <w:tc>
          <w:tcPr>
            <w:tcW w:w="1820" w:type="dxa"/>
            <w:gridSpan w:val="2"/>
            <w:tcBorders>
              <w:top w:val="nil"/>
              <w:left w:val="nil"/>
              <w:bottom w:val="nil"/>
              <w:right w:val="nil"/>
            </w:tcBorders>
            <w:shd w:val="clear" w:color="auto" w:fill="auto"/>
            <w:noWrap/>
            <w:vAlign w:val="bottom"/>
            <w:hideMark/>
          </w:tcPr>
          <w:p w14:paraId="59D8BCAF" w14:textId="36F3DACF" w:rsidR="00634730" w:rsidRPr="00C37606" w:rsidRDefault="003B70CF" w:rsidP="009C321B">
            <w:pPr>
              <w:spacing w:line="240" w:lineRule="auto"/>
              <w:jc w:val="center"/>
              <w:rPr>
                <w:rFonts w:eastAsia="Times New Roman" w:cs="Times New Roman"/>
                <w:b/>
                <w:bCs/>
                <w:color w:val="000000"/>
                <w:sz w:val="18"/>
                <w:szCs w:val="18"/>
              </w:rPr>
            </w:pPr>
            <w:r w:rsidRPr="00C37606">
              <w:rPr>
                <w:rFonts w:eastAsia="Times New Roman" w:cs="Times New Roman"/>
                <w:b/>
                <w:bCs/>
                <w:color w:val="000000"/>
                <w:sz w:val="18"/>
                <w:szCs w:val="18"/>
              </w:rPr>
              <w:t xml:space="preserve">Town of </w:t>
            </w:r>
            <w:r w:rsidR="00853231" w:rsidRPr="00C37606">
              <w:rPr>
                <w:rFonts w:eastAsia="Times New Roman" w:cs="Times New Roman"/>
                <w:b/>
                <w:bCs/>
                <w:color w:val="000000"/>
                <w:sz w:val="18"/>
                <w:szCs w:val="18"/>
              </w:rPr>
              <w:t>Hillsborough</w:t>
            </w:r>
          </w:p>
        </w:tc>
        <w:tc>
          <w:tcPr>
            <w:tcW w:w="1184" w:type="dxa"/>
            <w:tcBorders>
              <w:top w:val="nil"/>
              <w:left w:val="nil"/>
              <w:bottom w:val="nil"/>
              <w:right w:val="nil"/>
            </w:tcBorders>
            <w:shd w:val="clear" w:color="auto" w:fill="auto"/>
            <w:noWrap/>
            <w:vAlign w:val="bottom"/>
            <w:hideMark/>
          </w:tcPr>
          <w:p w14:paraId="6A5724B2" w14:textId="77777777" w:rsidR="009C321B" w:rsidRPr="00C37606" w:rsidRDefault="009C321B" w:rsidP="009C321B">
            <w:pPr>
              <w:spacing w:line="240" w:lineRule="auto"/>
              <w:jc w:val="right"/>
              <w:rPr>
                <w:rFonts w:eastAsia="Times New Roman" w:cs="Times New Roman"/>
                <w:b/>
                <w:bCs/>
                <w:color w:val="000000"/>
                <w:sz w:val="18"/>
                <w:szCs w:val="18"/>
              </w:rPr>
            </w:pPr>
          </w:p>
          <w:p w14:paraId="6E4F5FE6" w14:textId="77777777" w:rsidR="005C76CD" w:rsidRPr="00C37606" w:rsidRDefault="005C76CD" w:rsidP="005C76CD">
            <w:pPr>
              <w:spacing w:line="240" w:lineRule="auto"/>
              <w:rPr>
                <w:rFonts w:eastAsia="Times New Roman" w:cs="Times New Roman"/>
                <w:b/>
                <w:bCs/>
                <w:color w:val="000000"/>
                <w:sz w:val="18"/>
                <w:szCs w:val="18"/>
              </w:rPr>
            </w:pPr>
          </w:p>
          <w:p w14:paraId="6ACB62DC" w14:textId="12E06A96" w:rsidR="009C321B" w:rsidRPr="00C37606" w:rsidRDefault="009C321B" w:rsidP="009C321B">
            <w:pPr>
              <w:spacing w:line="240" w:lineRule="auto"/>
              <w:jc w:val="right"/>
              <w:rPr>
                <w:rFonts w:eastAsia="Times New Roman" w:cs="Times New Roman"/>
                <w:b/>
                <w:bCs/>
                <w:color w:val="000000"/>
                <w:sz w:val="18"/>
                <w:szCs w:val="18"/>
              </w:rPr>
            </w:pPr>
            <w:r w:rsidRPr="00C37606">
              <w:rPr>
                <w:rFonts w:eastAsia="Times New Roman" w:cs="Times New Roman"/>
                <w:b/>
                <w:bCs/>
                <w:color w:val="000000"/>
                <w:sz w:val="18"/>
                <w:szCs w:val="18"/>
              </w:rPr>
              <w:t xml:space="preserve">San Mateo </w:t>
            </w:r>
            <w:r w:rsidR="00634730" w:rsidRPr="00C37606">
              <w:rPr>
                <w:rFonts w:eastAsia="Times New Roman" w:cs="Times New Roman"/>
                <w:b/>
                <w:bCs/>
                <w:color w:val="000000"/>
                <w:sz w:val="18"/>
                <w:szCs w:val="18"/>
              </w:rPr>
              <w:t>County</w:t>
            </w:r>
          </w:p>
        </w:tc>
        <w:tc>
          <w:tcPr>
            <w:tcW w:w="1170" w:type="dxa"/>
            <w:gridSpan w:val="2"/>
            <w:tcBorders>
              <w:top w:val="nil"/>
              <w:left w:val="nil"/>
              <w:bottom w:val="nil"/>
              <w:right w:val="nil"/>
            </w:tcBorders>
            <w:shd w:val="clear" w:color="auto" w:fill="auto"/>
            <w:noWrap/>
            <w:vAlign w:val="bottom"/>
            <w:hideMark/>
          </w:tcPr>
          <w:p w14:paraId="3DB4F4C4" w14:textId="77777777" w:rsidR="009C321B" w:rsidRPr="00C37606" w:rsidRDefault="009C321B" w:rsidP="009C321B">
            <w:pPr>
              <w:spacing w:line="240" w:lineRule="auto"/>
              <w:jc w:val="right"/>
              <w:rPr>
                <w:rFonts w:eastAsia="Times New Roman" w:cs="Times New Roman"/>
                <w:b/>
                <w:bCs/>
                <w:color w:val="000000"/>
                <w:sz w:val="18"/>
                <w:szCs w:val="18"/>
              </w:rPr>
            </w:pPr>
          </w:p>
          <w:p w14:paraId="044D6F6C" w14:textId="77777777" w:rsidR="00634730" w:rsidRPr="00C37606" w:rsidRDefault="00634730" w:rsidP="009C321B">
            <w:pPr>
              <w:spacing w:line="240" w:lineRule="auto"/>
              <w:jc w:val="right"/>
              <w:rPr>
                <w:rFonts w:eastAsia="Times New Roman" w:cs="Times New Roman"/>
                <w:b/>
                <w:bCs/>
                <w:color w:val="000000"/>
                <w:sz w:val="18"/>
                <w:szCs w:val="18"/>
              </w:rPr>
            </w:pPr>
            <w:r w:rsidRPr="00C37606">
              <w:rPr>
                <w:rFonts w:eastAsia="Times New Roman" w:cs="Times New Roman"/>
                <w:b/>
                <w:bCs/>
                <w:color w:val="000000"/>
                <w:sz w:val="18"/>
                <w:szCs w:val="18"/>
              </w:rPr>
              <w:t>State</w:t>
            </w:r>
            <w:r w:rsidR="009C321B" w:rsidRPr="00C37606">
              <w:rPr>
                <w:rFonts w:eastAsia="Times New Roman" w:cs="Times New Roman"/>
                <w:b/>
                <w:bCs/>
                <w:color w:val="000000"/>
                <w:sz w:val="18"/>
                <w:szCs w:val="18"/>
              </w:rPr>
              <w:t xml:space="preserve"> of California</w:t>
            </w:r>
          </w:p>
          <w:p w14:paraId="179C713C" w14:textId="29B82D18" w:rsidR="009C321B" w:rsidRPr="00C37606" w:rsidRDefault="009C321B" w:rsidP="009C321B">
            <w:pPr>
              <w:spacing w:line="240" w:lineRule="auto"/>
              <w:jc w:val="right"/>
              <w:rPr>
                <w:rFonts w:eastAsia="Times New Roman" w:cs="Times New Roman"/>
                <w:b/>
                <w:bCs/>
                <w:color w:val="000000"/>
                <w:sz w:val="18"/>
                <w:szCs w:val="18"/>
              </w:rPr>
            </w:pPr>
            <w:r w:rsidRPr="00C37606">
              <w:rPr>
                <w:rFonts w:eastAsia="Times New Roman" w:cs="Times New Roman"/>
                <w:b/>
                <w:bCs/>
                <w:color w:val="000000"/>
                <w:sz w:val="18"/>
                <w:szCs w:val="18"/>
              </w:rPr>
              <w:t>Percent</w:t>
            </w:r>
          </w:p>
        </w:tc>
      </w:tr>
      <w:tr w:rsidR="00634730" w:rsidRPr="00C37606" w14:paraId="3D26A76C" w14:textId="77777777" w:rsidTr="009C321B">
        <w:trPr>
          <w:trHeight w:val="320"/>
        </w:trPr>
        <w:tc>
          <w:tcPr>
            <w:tcW w:w="1905" w:type="dxa"/>
            <w:tcBorders>
              <w:top w:val="nil"/>
              <w:left w:val="nil"/>
              <w:bottom w:val="single" w:sz="8" w:space="0" w:color="auto"/>
              <w:right w:val="nil"/>
            </w:tcBorders>
            <w:shd w:val="clear" w:color="auto" w:fill="auto"/>
            <w:noWrap/>
            <w:vAlign w:val="bottom"/>
            <w:hideMark/>
          </w:tcPr>
          <w:p w14:paraId="02C55200" w14:textId="77777777" w:rsidR="00634730" w:rsidRPr="00C37606" w:rsidRDefault="00634730" w:rsidP="009C321B">
            <w:pPr>
              <w:spacing w:line="240" w:lineRule="auto"/>
              <w:rPr>
                <w:rFonts w:eastAsia="Times New Roman" w:cs="Times New Roman"/>
                <w:color w:val="000000"/>
                <w:sz w:val="18"/>
                <w:szCs w:val="18"/>
              </w:rPr>
            </w:pPr>
            <w:r w:rsidRPr="00C37606">
              <w:rPr>
                <w:rFonts w:eastAsia="Times New Roman" w:cs="Times New Roman"/>
                <w:color w:val="000000"/>
                <w:sz w:val="18"/>
                <w:szCs w:val="18"/>
              </w:rPr>
              <w:t> </w:t>
            </w:r>
          </w:p>
        </w:tc>
        <w:tc>
          <w:tcPr>
            <w:tcW w:w="2306" w:type="dxa"/>
            <w:tcBorders>
              <w:top w:val="nil"/>
              <w:left w:val="nil"/>
              <w:bottom w:val="single" w:sz="8" w:space="0" w:color="auto"/>
              <w:right w:val="nil"/>
            </w:tcBorders>
            <w:shd w:val="clear" w:color="auto" w:fill="auto"/>
            <w:noWrap/>
            <w:vAlign w:val="bottom"/>
            <w:hideMark/>
          </w:tcPr>
          <w:p w14:paraId="66E78D35" w14:textId="77777777" w:rsidR="00634730" w:rsidRPr="00C37606" w:rsidRDefault="00634730" w:rsidP="009C321B">
            <w:pPr>
              <w:spacing w:line="240" w:lineRule="auto"/>
              <w:jc w:val="right"/>
              <w:rPr>
                <w:rFonts w:eastAsia="Times New Roman" w:cs="Times New Roman"/>
                <w:b/>
                <w:bCs/>
                <w:color w:val="000000"/>
                <w:sz w:val="18"/>
                <w:szCs w:val="18"/>
              </w:rPr>
            </w:pPr>
            <w:r w:rsidRPr="00C37606">
              <w:rPr>
                <w:rFonts w:eastAsia="Times New Roman" w:cs="Times New Roman"/>
                <w:b/>
                <w:bCs/>
                <w:color w:val="000000"/>
                <w:sz w:val="18"/>
                <w:szCs w:val="18"/>
              </w:rPr>
              <w:t> </w:t>
            </w:r>
          </w:p>
        </w:tc>
        <w:tc>
          <w:tcPr>
            <w:tcW w:w="922" w:type="dxa"/>
            <w:tcBorders>
              <w:top w:val="nil"/>
              <w:left w:val="nil"/>
              <w:bottom w:val="single" w:sz="8" w:space="0" w:color="auto"/>
              <w:right w:val="nil"/>
            </w:tcBorders>
            <w:shd w:val="clear" w:color="auto" w:fill="auto"/>
            <w:noWrap/>
            <w:vAlign w:val="bottom"/>
            <w:hideMark/>
          </w:tcPr>
          <w:p w14:paraId="22DC260C" w14:textId="77777777" w:rsidR="00634730" w:rsidRPr="00C37606" w:rsidRDefault="00634730" w:rsidP="009C321B">
            <w:pPr>
              <w:spacing w:line="240" w:lineRule="auto"/>
              <w:jc w:val="right"/>
              <w:rPr>
                <w:rFonts w:eastAsia="Times New Roman" w:cs="Times New Roman"/>
                <w:color w:val="000000"/>
                <w:sz w:val="18"/>
                <w:szCs w:val="18"/>
              </w:rPr>
            </w:pPr>
            <w:r w:rsidRPr="00C37606">
              <w:rPr>
                <w:rFonts w:eastAsia="Times New Roman" w:cs="Times New Roman"/>
                <w:color w:val="000000"/>
                <w:sz w:val="18"/>
                <w:szCs w:val="18"/>
              </w:rPr>
              <w:t xml:space="preserve">Number </w:t>
            </w:r>
          </w:p>
          <w:p w14:paraId="5C2127D6" w14:textId="77777777" w:rsidR="009C321B" w:rsidRPr="00C37606" w:rsidRDefault="009C321B" w:rsidP="009C321B">
            <w:pPr>
              <w:spacing w:line="240" w:lineRule="auto"/>
              <w:jc w:val="right"/>
              <w:rPr>
                <w:rFonts w:eastAsia="Times New Roman" w:cs="Times New Roman"/>
                <w:color w:val="000000"/>
                <w:sz w:val="10"/>
                <w:szCs w:val="18"/>
              </w:rPr>
            </w:pPr>
          </w:p>
        </w:tc>
        <w:tc>
          <w:tcPr>
            <w:tcW w:w="898" w:type="dxa"/>
            <w:tcBorders>
              <w:top w:val="nil"/>
              <w:left w:val="nil"/>
              <w:bottom w:val="single" w:sz="8" w:space="0" w:color="auto"/>
              <w:right w:val="nil"/>
            </w:tcBorders>
            <w:shd w:val="clear" w:color="auto" w:fill="auto"/>
            <w:noWrap/>
            <w:vAlign w:val="bottom"/>
            <w:hideMark/>
          </w:tcPr>
          <w:p w14:paraId="72AC50D4" w14:textId="77777777" w:rsidR="00634730" w:rsidRPr="00C37606" w:rsidRDefault="00634730" w:rsidP="009C321B">
            <w:pPr>
              <w:spacing w:line="240" w:lineRule="auto"/>
              <w:jc w:val="right"/>
              <w:rPr>
                <w:rFonts w:eastAsia="Times New Roman" w:cs="Times New Roman"/>
                <w:color w:val="000000"/>
                <w:sz w:val="18"/>
                <w:szCs w:val="18"/>
              </w:rPr>
            </w:pPr>
            <w:r w:rsidRPr="00C37606">
              <w:rPr>
                <w:rFonts w:eastAsia="Times New Roman" w:cs="Times New Roman"/>
                <w:color w:val="000000"/>
                <w:sz w:val="18"/>
                <w:szCs w:val="18"/>
              </w:rPr>
              <w:t>Percent</w:t>
            </w:r>
          </w:p>
          <w:p w14:paraId="7F0217B4" w14:textId="77777777" w:rsidR="009C321B" w:rsidRPr="00C37606" w:rsidRDefault="009C321B" w:rsidP="009C321B">
            <w:pPr>
              <w:spacing w:line="240" w:lineRule="auto"/>
              <w:jc w:val="right"/>
              <w:rPr>
                <w:rFonts w:eastAsia="Times New Roman" w:cs="Times New Roman"/>
                <w:color w:val="000000"/>
                <w:sz w:val="10"/>
                <w:szCs w:val="18"/>
              </w:rPr>
            </w:pPr>
          </w:p>
        </w:tc>
        <w:tc>
          <w:tcPr>
            <w:tcW w:w="1184" w:type="dxa"/>
            <w:tcBorders>
              <w:top w:val="nil"/>
              <w:left w:val="nil"/>
              <w:bottom w:val="single" w:sz="8" w:space="0" w:color="auto"/>
              <w:right w:val="nil"/>
            </w:tcBorders>
            <w:shd w:val="clear" w:color="auto" w:fill="auto"/>
            <w:noWrap/>
            <w:vAlign w:val="bottom"/>
            <w:hideMark/>
          </w:tcPr>
          <w:p w14:paraId="0E5441DD" w14:textId="2C27B03C" w:rsidR="00634730" w:rsidRPr="00C37606" w:rsidRDefault="00634730" w:rsidP="009C321B">
            <w:pPr>
              <w:spacing w:line="240" w:lineRule="auto"/>
              <w:rPr>
                <w:rFonts w:eastAsia="Times New Roman" w:cs="Times New Roman"/>
                <w:b/>
                <w:bCs/>
                <w:color w:val="000000"/>
                <w:sz w:val="6"/>
                <w:szCs w:val="18"/>
              </w:rPr>
            </w:pPr>
          </w:p>
        </w:tc>
        <w:tc>
          <w:tcPr>
            <w:tcW w:w="1170" w:type="dxa"/>
            <w:gridSpan w:val="2"/>
            <w:tcBorders>
              <w:top w:val="nil"/>
              <w:left w:val="nil"/>
              <w:bottom w:val="single" w:sz="8" w:space="0" w:color="auto"/>
              <w:right w:val="nil"/>
            </w:tcBorders>
            <w:shd w:val="clear" w:color="auto" w:fill="auto"/>
            <w:noWrap/>
            <w:vAlign w:val="bottom"/>
            <w:hideMark/>
          </w:tcPr>
          <w:p w14:paraId="516F7D4C" w14:textId="77777777" w:rsidR="00634730" w:rsidRPr="00C37606" w:rsidRDefault="00634730" w:rsidP="009C321B">
            <w:pPr>
              <w:spacing w:line="240" w:lineRule="auto"/>
              <w:jc w:val="right"/>
              <w:rPr>
                <w:rFonts w:eastAsia="Times New Roman" w:cs="Times New Roman"/>
                <w:b/>
                <w:bCs/>
                <w:color w:val="000000"/>
                <w:sz w:val="10"/>
                <w:szCs w:val="18"/>
              </w:rPr>
            </w:pPr>
            <w:r w:rsidRPr="00C37606">
              <w:rPr>
                <w:rFonts w:eastAsia="Times New Roman" w:cs="Times New Roman"/>
                <w:b/>
                <w:bCs/>
                <w:color w:val="000000"/>
                <w:sz w:val="10"/>
                <w:szCs w:val="18"/>
              </w:rPr>
              <w:t> </w:t>
            </w:r>
          </w:p>
        </w:tc>
      </w:tr>
      <w:tr w:rsidR="00052ED4" w:rsidRPr="00C37606" w14:paraId="3FC519D7" w14:textId="77777777" w:rsidTr="009C321B">
        <w:trPr>
          <w:trHeight w:val="300"/>
        </w:trPr>
        <w:tc>
          <w:tcPr>
            <w:tcW w:w="1905" w:type="dxa"/>
            <w:tcBorders>
              <w:top w:val="nil"/>
              <w:left w:val="nil"/>
              <w:bottom w:val="nil"/>
              <w:right w:val="nil"/>
            </w:tcBorders>
            <w:shd w:val="clear" w:color="auto" w:fill="auto"/>
            <w:noWrap/>
            <w:vAlign w:val="center"/>
            <w:hideMark/>
          </w:tcPr>
          <w:p w14:paraId="0EF1B9C5" w14:textId="77777777" w:rsidR="00052ED4" w:rsidRPr="00C37606" w:rsidRDefault="00052ED4" w:rsidP="00067077">
            <w:pPr>
              <w:rPr>
                <w:rFonts w:eastAsia="Times New Roman" w:cs="Times New Roman"/>
                <w:b/>
                <w:color w:val="000000"/>
                <w:sz w:val="18"/>
                <w:szCs w:val="18"/>
              </w:rPr>
            </w:pPr>
            <w:r w:rsidRPr="00C37606">
              <w:rPr>
                <w:rFonts w:eastAsia="Times New Roman" w:cs="Times New Roman"/>
                <w:b/>
                <w:color w:val="000000"/>
                <w:sz w:val="18"/>
                <w:szCs w:val="18"/>
              </w:rPr>
              <w:t>Owner-occupied</w:t>
            </w:r>
          </w:p>
        </w:tc>
        <w:tc>
          <w:tcPr>
            <w:tcW w:w="2306" w:type="dxa"/>
            <w:tcBorders>
              <w:top w:val="nil"/>
              <w:left w:val="nil"/>
              <w:bottom w:val="single" w:sz="4" w:space="0" w:color="808080"/>
              <w:right w:val="nil"/>
            </w:tcBorders>
            <w:shd w:val="clear" w:color="auto" w:fill="auto"/>
            <w:noWrap/>
            <w:vAlign w:val="bottom"/>
            <w:hideMark/>
          </w:tcPr>
          <w:p w14:paraId="6A7084BE" w14:textId="77777777" w:rsidR="00052ED4" w:rsidRPr="00C37606" w:rsidRDefault="00052ED4" w:rsidP="00815D5C">
            <w:pPr>
              <w:rPr>
                <w:rFonts w:eastAsia="Times New Roman" w:cs="Times New Roman"/>
                <w:color w:val="000000"/>
                <w:sz w:val="18"/>
                <w:szCs w:val="18"/>
              </w:rPr>
            </w:pPr>
            <w:r w:rsidRPr="00C37606">
              <w:rPr>
                <w:rFonts w:eastAsia="Times New Roman" w:cs="Times New Roman"/>
                <w:color w:val="000000"/>
                <w:sz w:val="18"/>
                <w:szCs w:val="18"/>
              </w:rPr>
              <w:t>Housing Problems</w:t>
            </w:r>
          </w:p>
        </w:tc>
        <w:tc>
          <w:tcPr>
            <w:tcW w:w="922" w:type="dxa"/>
            <w:tcBorders>
              <w:top w:val="nil"/>
              <w:left w:val="nil"/>
              <w:bottom w:val="single" w:sz="4" w:space="0" w:color="808080"/>
              <w:right w:val="nil"/>
            </w:tcBorders>
            <w:shd w:val="clear" w:color="auto" w:fill="auto"/>
            <w:noWrap/>
            <w:vAlign w:val="bottom"/>
            <w:hideMark/>
          </w:tcPr>
          <w:p w14:paraId="79A1667B" w14:textId="36D7BD8E"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195</w:t>
            </w:r>
          </w:p>
        </w:tc>
        <w:tc>
          <w:tcPr>
            <w:tcW w:w="898" w:type="dxa"/>
            <w:tcBorders>
              <w:top w:val="nil"/>
              <w:left w:val="nil"/>
              <w:bottom w:val="single" w:sz="4" w:space="0" w:color="808080"/>
              <w:right w:val="nil"/>
            </w:tcBorders>
            <w:shd w:val="clear" w:color="auto" w:fill="auto"/>
            <w:noWrap/>
            <w:vAlign w:val="bottom"/>
            <w:hideMark/>
          </w:tcPr>
          <w:p w14:paraId="3FE56762" w14:textId="5C3F3858"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43%</w:t>
            </w:r>
          </w:p>
        </w:tc>
        <w:tc>
          <w:tcPr>
            <w:tcW w:w="1184" w:type="dxa"/>
            <w:tcBorders>
              <w:top w:val="nil"/>
              <w:left w:val="nil"/>
              <w:bottom w:val="single" w:sz="4" w:space="0" w:color="808080"/>
              <w:right w:val="nil"/>
            </w:tcBorders>
            <w:shd w:val="clear" w:color="auto" w:fill="auto"/>
            <w:noWrap/>
            <w:vAlign w:val="bottom"/>
            <w:hideMark/>
          </w:tcPr>
          <w:p w14:paraId="5EBBE740"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59%</w:t>
            </w:r>
          </w:p>
        </w:tc>
        <w:tc>
          <w:tcPr>
            <w:tcW w:w="1170" w:type="dxa"/>
            <w:gridSpan w:val="2"/>
            <w:tcBorders>
              <w:top w:val="nil"/>
              <w:left w:val="nil"/>
              <w:bottom w:val="single" w:sz="4" w:space="0" w:color="808080"/>
              <w:right w:val="nil"/>
            </w:tcBorders>
            <w:shd w:val="clear" w:color="auto" w:fill="auto"/>
            <w:noWrap/>
            <w:vAlign w:val="bottom"/>
            <w:hideMark/>
          </w:tcPr>
          <w:p w14:paraId="69A37B7B"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61%</w:t>
            </w:r>
          </w:p>
        </w:tc>
      </w:tr>
      <w:tr w:rsidR="00052ED4" w:rsidRPr="00C37606" w14:paraId="6086342D" w14:textId="77777777" w:rsidTr="009C321B">
        <w:trPr>
          <w:trHeight w:val="300"/>
        </w:trPr>
        <w:tc>
          <w:tcPr>
            <w:tcW w:w="1905" w:type="dxa"/>
            <w:tcBorders>
              <w:top w:val="nil"/>
              <w:left w:val="nil"/>
              <w:bottom w:val="nil"/>
              <w:right w:val="nil"/>
            </w:tcBorders>
            <w:shd w:val="clear" w:color="auto" w:fill="auto"/>
            <w:noWrap/>
            <w:vAlign w:val="center"/>
            <w:hideMark/>
          </w:tcPr>
          <w:p w14:paraId="077D2620" w14:textId="77777777" w:rsidR="00052ED4" w:rsidRPr="00C37606" w:rsidRDefault="00052ED4" w:rsidP="00067077">
            <w:pPr>
              <w:rPr>
                <w:rFonts w:eastAsia="Times New Roman" w:cs="Times New Roman"/>
                <w:color w:val="000000"/>
                <w:sz w:val="18"/>
                <w:szCs w:val="18"/>
              </w:rPr>
            </w:pPr>
          </w:p>
        </w:tc>
        <w:tc>
          <w:tcPr>
            <w:tcW w:w="2306" w:type="dxa"/>
            <w:tcBorders>
              <w:top w:val="nil"/>
              <w:left w:val="nil"/>
              <w:bottom w:val="single" w:sz="4" w:space="0" w:color="808080"/>
              <w:right w:val="nil"/>
            </w:tcBorders>
            <w:shd w:val="clear" w:color="auto" w:fill="auto"/>
            <w:noWrap/>
            <w:vAlign w:val="bottom"/>
            <w:hideMark/>
          </w:tcPr>
          <w:p w14:paraId="672C4502" w14:textId="77777777" w:rsidR="00052ED4" w:rsidRPr="00C37606" w:rsidRDefault="00052ED4" w:rsidP="00815D5C">
            <w:pPr>
              <w:rPr>
                <w:rFonts w:eastAsia="Times New Roman" w:cs="Times New Roman"/>
                <w:color w:val="000000"/>
                <w:sz w:val="18"/>
                <w:szCs w:val="18"/>
              </w:rPr>
            </w:pPr>
            <w:r w:rsidRPr="00C37606">
              <w:rPr>
                <w:rFonts w:eastAsia="Times New Roman" w:cs="Times New Roman"/>
                <w:color w:val="000000"/>
                <w:sz w:val="18"/>
                <w:szCs w:val="18"/>
              </w:rPr>
              <w:t>No Housing Problems</w:t>
            </w:r>
          </w:p>
        </w:tc>
        <w:tc>
          <w:tcPr>
            <w:tcW w:w="922" w:type="dxa"/>
            <w:tcBorders>
              <w:top w:val="nil"/>
              <w:left w:val="nil"/>
              <w:bottom w:val="single" w:sz="4" w:space="0" w:color="808080"/>
              <w:right w:val="nil"/>
            </w:tcBorders>
            <w:shd w:val="clear" w:color="auto" w:fill="auto"/>
            <w:noWrap/>
            <w:vAlign w:val="bottom"/>
            <w:hideMark/>
          </w:tcPr>
          <w:p w14:paraId="28603E16" w14:textId="33764DEC"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260</w:t>
            </w:r>
          </w:p>
        </w:tc>
        <w:tc>
          <w:tcPr>
            <w:tcW w:w="898" w:type="dxa"/>
            <w:tcBorders>
              <w:top w:val="nil"/>
              <w:left w:val="nil"/>
              <w:bottom w:val="single" w:sz="4" w:space="0" w:color="808080"/>
              <w:right w:val="nil"/>
            </w:tcBorders>
            <w:shd w:val="clear" w:color="auto" w:fill="auto"/>
            <w:noWrap/>
            <w:vAlign w:val="bottom"/>
            <w:hideMark/>
          </w:tcPr>
          <w:p w14:paraId="0F3A9C19" w14:textId="55D1545B"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57%</w:t>
            </w:r>
          </w:p>
        </w:tc>
        <w:tc>
          <w:tcPr>
            <w:tcW w:w="1184" w:type="dxa"/>
            <w:tcBorders>
              <w:top w:val="nil"/>
              <w:left w:val="nil"/>
              <w:bottom w:val="single" w:sz="4" w:space="0" w:color="808080"/>
              <w:right w:val="nil"/>
            </w:tcBorders>
            <w:shd w:val="clear" w:color="auto" w:fill="auto"/>
            <w:noWrap/>
            <w:vAlign w:val="bottom"/>
            <w:hideMark/>
          </w:tcPr>
          <w:p w14:paraId="56833735"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41%</w:t>
            </w:r>
          </w:p>
        </w:tc>
        <w:tc>
          <w:tcPr>
            <w:tcW w:w="1170" w:type="dxa"/>
            <w:gridSpan w:val="2"/>
            <w:tcBorders>
              <w:top w:val="nil"/>
              <w:left w:val="nil"/>
              <w:bottom w:val="single" w:sz="4" w:space="0" w:color="808080"/>
              <w:right w:val="nil"/>
            </w:tcBorders>
            <w:shd w:val="clear" w:color="auto" w:fill="auto"/>
            <w:noWrap/>
            <w:vAlign w:val="bottom"/>
            <w:hideMark/>
          </w:tcPr>
          <w:p w14:paraId="02E9DB14"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39%</w:t>
            </w:r>
          </w:p>
        </w:tc>
      </w:tr>
      <w:tr w:rsidR="00052ED4" w:rsidRPr="00C37606" w14:paraId="40CA2D31" w14:textId="77777777" w:rsidTr="009C321B">
        <w:trPr>
          <w:trHeight w:val="300"/>
        </w:trPr>
        <w:tc>
          <w:tcPr>
            <w:tcW w:w="1905" w:type="dxa"/>
            <w:tcBorders>
              <w:top w:val="single" w:sz="4" w:space="0" w:color="auto"/>
              <w:left w:val="nil"/>
              <w:bottom w:val="nil"/>
              <w:right w:val="nil"/>
            </w:tcBorders>
            <w:shd w:val="clear" w:color="auto" w:fill="auto"/>
            <w:noWrap/>
            <w:vAlign w:val="center"/>
            <w:hideMark/>
          </w:tcPr>
          <w:p w14:paraId="178C9F1C" w14:textId="77777777" w:rsidR="00052ED4" w:rsidRPr="00C37606" w:rsidRDefault="00052ED4" w:rsidP="00067077">
            <w:pPr>
              <w:rPr>
                <w:rFonts w:eastAsia="Times New Roman" w:cs="Times New Roman"/>
                <w:b/>
                <w:color w:val="000000"/>
                <w:sz w:val="18"/>
                <w:szCs w:val="18"/>
              </w:rPr>
            </w:pPr>
            <w:r w:rsidRPr="00C37606">
              <w:rPr>
                <w:rFonts w:eastAsia="Times New Roman" w:cs="Times New Roman"/>
                <w:b/>
                <w:color w:val="000000"/>
                <w:sz w:val="18"/>
                <w:szCs w:val="18"/>
              </w:rPr>
              <w:t>Renter-occupied</w:t>
            </w:r>
          </w:p>
        </w:tc>
        <w:tc>
          <w:tcPr>
            <w:tcW w:w="2306" w:type="dxa"/>
            <w:tcBorders>
              <w:top w:val="nil"/>
              <w:left w:val="nil"/>
              <w:bottom w:val="nil"/>
              <w:right w:val="nil"/>
            </w:tcBorders>
            <w:shd w:val="clear" w:color="auto" w:fill="auto"/>
            <w:noWrap/>
            <w:vAlign w:val="bottom"/>
            <w:hideMark/>
          </w:tcPr>
          <w:p w14:paraId="08C0A9DA" w14:textId="77777777" w:rsidR="00052ED4" w:rsidRPr="00C37606" w:rsidRDefault="00052ED4" w:rsidP="00815D5C">
            <w:pPr>
              <w:rPr>
                <w:rFonts w:eastAsia="Times New Roman" w:cs="Times New Roman"/>
                <w:color w:val="000000"/>
                <w:sz w:val="18"/>
                <w:szCs w:val="18"/>
              </w:rPr>
            </w:pPr>
            <w:r w:rsidRPr="00C37606">
              <w:rPr>
                <w:rFonts w:eastAsia="Times New Roman" w:cs="Times New Roman"/>
                <w:color w:val="000000"/>
                <w:sz w:val="18"/>
                <w:szCs w:val="18"/>
              </w:rPr>
              <w:t>Housing Problems</w:t>
            </w:r>
          </w:p>
        </w:tc>
        <w:tc>
          <w:tcPr>
            <w:tcW w:w="922" w:type="dxa"/>
            <w:tcBorders>
              <w:top w:val="nil"/>
              <w:left w:val="nil"/>
              <w:bottom w:val="nil"/>
              <w:right w:val="nil"/>
            </w:tcBorders>
            <w:shd w:val="clear" w:color="auto" w:fill="auto"/>
            <w:noWrap/>
            <w:vAlign w:val="bottom"/>
            <w:hideMark/>
          </w:tcPr>
          <w:p w14:paraId="6240B7E8" w14:textId="7C38F65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0</w:t>
            </w:r>
          </w:p>
        </w:tc>
        <w:tc>
          <w:tcPr>
            <w:tcW w:w="898" w:type="dxa"/>
            <w:tcBorders>
              <w:top w:val="nil"/>
              <w:left w:val="nil"/>
              <w:bottom w:val="single" w:sz="4" w:space="0" w:color="808080"/>
              <w:right w:val="nil"/>
            </w:tcBorders>
            <w:shd w:val="clear" w:color="auto" w:fill="auto"/>
            <w:noWrap/>
            <w:vAlign w:val="bottom"/>
            <w:hideMark/>
          </w:tcPr>
          <w:p w14:paraId="67DC2375" w14:textId="730EADC5"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0%</w:t>
            </w:r>
          </w:p>
        </w:tc>
        <w:tc>
          <w:tcPr>
            <w:tcW w:w="1184" w:type="dxa"/>
            <w:tcBorders>
              <w:top w:val="nil"/>
              <w:left w:val="nil"/>
              <w:bottom w:val="nil"/>
              <w:right w:val="nil"/>
            </w:tcBorders>
            <w:shd w:val="clear" w:color="auto" w:fill="auto"/>
            <w:noWrap/>
            <w:vAlign w:val="bottom"/>
            <w:hideMark/>
          </w:tcPr>
          <w:p w14:paraId="03493A17"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84%</w:t>
            </w:r>
          </w:p>
        </w:tc>
        <w:tc>
          <w:tcPr>
            <w:tcW w:w="1170" w:type="dxa"/>
            <w:gridSpan w:val="2"/>
            <w:tcBorders>
              <w:top w:val="nil"/>
              <w:left w:val="nil"/>
              <w:bottom w:val="nil"/>
              <w:right w:val="nil"/>
            </w:tcBorders>
            <w:shd w:val="clear" w:color="auto" w:fill="auto"/>
            <w:noWrap/>
            <w:vAlign w:val="bottom"/>
            <w:hideMark/>
          </w:tcPr>
          <w:p w14:paraId="2B463E20"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81%</w:t>
            </w:r>
          </w:p>
        </w:tc>
      </w:tr>
      <w:tr w:rsidR="00052ED4" w:rsidRPr="00C37606" w14:paraId="1F00D9B6" w14:textId="77777777" w:rsidTr="009C321B">
        <w:trPr>
          <w:trHeight w:val="300"/>
        </w:trPr>
        <w:tc>
          <w:tcPr>
            <w:tcW w:w="1905" w:type="dxa"/>
            <w:tcBorders>
              <w:top w:val="nil"/>
              <w:left w:val="nil"/>
              <w:bottom w:val="single" w:sz="4" w:space="0" w:color="auto"/>
              <w:right w:val="nil"/>
            </w:tcBorders>
            <w:shd w:val="clear" w:color="auto" w:fill="auto"/>
            <w:noWrap/>
            <w:vAlign w:val="center"/>
            <w:hideMark/>
          </w:tcPr>
          <w:p w14:paraId="273479EF" w14:textId="77777777" w:rsidR="00052ED4" w:rsidRPr="00C37606" w:rsidRDefault="00052ED4" w:rsidP="00067077">
            <w:pPr>
              <w:rPr>
                <w:rFonts w:eastAsia="Times New Roman" w:cs="Times New Roman"/>
                <w:color w:val="000000"/>
                <w:sz w:val="18"/>
                <w:szCs w:val="18"/>
              </w:rPr>
            </w:pPr>
            <w:r w:rsidRPr="00C37606">
              <w:rPr>
                <w:rFonts w:eastAsia="Times New Roman" w:cs="Times New Roman"/>
                <w:color w:val="000000"/>
                <w:sz w:val="18"/>
                <w:szCs w:val="18"/>
              </w:rPr>
              <w:t> </w:t>
            </w:r>
          </w:p>
        </w:tc>
        <w:tc>
          <w:tcPr>
            <w:tcW w:w="2306" w:type="dxa"/>
            <w:tcBorders>
              <w:top w:val="single" w:sz="4" w:space="0" w:color="808080"/>
              <w:left w:val="nil"/>
              <w:bottom w:val="single" w:sz="4" w:space="0" w:color="auto"/>
              <w:right w:val="nil"/>
            </w:tcBorders>
            <w:shd w:val="clear" w:color="auto" w:fill="auto"/>
            <w:noWrap/>
            <w:vAlign w:val="bottom"/>
            <w:hideMark/>
          </w:tcPr>
          <w:p w14:paraId="23368417" w14:textId="77777777" w:rsidR="00052ED4" w:rsidRPr="00C37606" w:rsidRDefault="00052ED4" w:rsidP="00815D5C">
            <w:pPr>
              <w:rPr>
                <w:rFonts w:eastAsia="Times New Roman" w:cs="Times New Roman"/>
                <w:color w:val="000000"/>
                <w:sz w:val="18"/>
                <w:szCs w:val="18"/>
              </w:rPr>
            </w:pPr>
            <w:r w:rsidRPr="00C37606">
              <w:rPr>
                <w:rFonts w:eastAsia="Times New Roman" w:cs="Times New Roman"/>
                <w:color w:val="000000"/>
                <w:sz w:val="18"/>
                <w:szCs w:val="18"/>
              </w:rPr>
              <w:t>No Housing Problems</w:t>
            </w:r>
          </w:p>
        </w:tc>
        <w:tc>
          <w:tcPr>
            <w:tcW w:w="922" w:type="dxa"/>
            <w:tcBorders>
              <w:top w:val="single" w:sz="4" w:space="0" w:color="808080"/>
              <w:left w:val="nil"/>
              <w:bottom w:val="single" w:sz="4" w:space="0" w:color="auto"/>
              <w:right w:val="nil"/>
            </w:tcBorders>
            <w:shd w:val="clear" w:color="auto" w:fill="auto"/>
            <w:noWrap/>
            <w:vAlign w:val="bottom"/>
            <w:hideMark/>
          </w:tcPr>
          <w:p w14:paraId="7D763E05" w14:textId="05384452"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25</w:t>
            </w:r>
          </w:p>
        </w:tc>
        <w:tc>
          <w:tcPr>
            <w:tcW w:w="898" w:type="dxa"/>
            <w:tcBorders>
              <w:top w:val="nil"/>
              <w:left w:val="nil"/>
              <w:bottom w:val="single" w:sz="4" w:space="0" w:color="auto"/>
              <w:right w:val="nil"/>
            </w:tcBorders>
            <w:shd w:val="clear" w:color="auto" w:fill="auto"/>
            <w:noWrap/>
            <w:vAlign w:val="bottom"/>
            <w:hideMark/>
          </w:tcPr>
          <w:p w14:paraId="3C363396" w14:textId="064B8433"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100%</w:t>
            </w:r>
          </w:p>
        </w:tc>
        <w:tc>
          <w:tcPr>
            <w:tcW w:w="1184" w:type="dxa"/>
            <w:tcBorders>
              <w:top w:val="single" w:sz="4" w:space="0" w:color="808080"/>
              <w:left w:val="nil"/>
              <w:bottom w:val="single" w:sz="4" w:space="0" w:color="auto"/>
              <w:right w:val="nil"/>
            </w:tcBorders>
            <w:shd w:val="clear" w:color="auto" w:fill="auto"/>
            <w:noWrap/>
            <w:vAlign w:val="bottom"/>
            <w:hideMark/>
          </w:tcPr>
          <w:p w14:paraId="0665DF62"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16%</w:t>
            </w:r>
          </w:p>
        </w:tc>
        <w:tc>
          <w:tcPr>
            <w:tcW w:w="1170" w:type="dxa"/>
            <w:gridSpan w:val="2"/>
            <w:tcBorders>
              <w:top w:val="single" w:sz="4" w:space="0" w:color="808080"/>
              <w:left w:val="nil"/>
              <w:bottom w:val="single" w:sz="4" w:space="0" w:color="auto"/>
              <w:right w:val="nil"/>
            </w:tcBorders>
            <w:shd w:val="clear" w:color="auto" w:fill="auto"/>
            <w:noWrap/>
            <w:vAlign w:val="bottom"/>
            <w:hideMark/>
          </w:tcPr>
          <w:p w14:paraId="0D375692" w14:textId="77777777" w:rsidR="00052ED4" w:rsidRPr="00C37606" w:rsidRDefault="00052ED4" w:rsidP="00067077">
            <w:pPr>
              <w:jc w:val="right"/>
              <w:rPr>
                <w:rFonts w:eastAsia="Times New Roman" w:cs="Times New Roman"/>
                <w:color w:val="000000"/>
                <w:sz w:val="18"/>
                <w:szCs w:val="18"/>
              </w:rPr>
            </w:pPr>
            <w:r w:rsidRPr="00C37606">
              <w:rPr>
                <w:rFonts w:eastAsia="Times New Roman" w:cs="Times New Roman"/>
                <w:color w:val="000000"/>
                <w:sz w:val="18"/>
                <w:szCs w:val="18"/>
              </w:rPr>
              <w:t>19%</w:t>
            </w:r>
          </w:p>
        </w:tc>
      </w:tr>
      <w:tr w:rsidR="00634730" w:rsidRPr="00C37606" w14:paraId="47C90005" w14:textId="77777777" w:rsidTr="009C321B">
        <w:trPr>
          <w:gridAfter w:val="1"/>
          <w:wAfter w:w="453" w:type="dxa"/>
          <w:trHeight w:val="300"/>
        </w:trPr>
        <w:tc>
          <w:tcPr>
            <w:tcW w:w="7932" w:type="dxa"/>
            <w:gridSpan w:val="6"/>
            <w:tcBorders>
              <w:top w:val="single" w:sz="4" w:space="0" w:color="auto"/>
              <w:left w:val="nil"/>
              <w:bottom w:val="nil"/>
              <w:right w:val="nil"/>
            </w:tcBorders>
            <w:shd w:val="clear" w:color="auto" w:fill="auto"/>
            <w:noWrap/>
            <w:vAlign w:val="bottom"/>
            <w:hideMark/>
          </w:tcPr>
          <w:p w14:paraId="4836AF76" w14:textId="77777777" w:rsidR="009C321B" w:rsidRPr="00C37606" w:rsidRDefault="009C321B" w:rsidP="009C321B">
            <w:pPr>
              <w:spacing w:line="240" w:lineRule="auto"/>
              <w:rPr>
                <w:rFonts w:eastAsia="Times New Roman" w:cs="Times New Roman"/>
                <w:iCs/>
                <w:color w:val="000000"/>
                <w:sz w:val="18"/>
                <w:szCs w:val="16"/>
              </w:rPr>
            </w:pPr>
          </w:p>
          <w:p w14:paraId="7EACD735" w14:textId="77777777" w:rsidR="00634730" w:rsidRPr="00C37606" w:rsidRDefault="00634730" w:rsidP="009C321B">
            <w:pPr>
              <w:spacing w:line="240" w:lineRule="auto"/>
              <w:rPr>
                <w:rFonts w:eastAsia="Times New Roman" w:cs="Times New Roman"/>
                <w:iCs/>
                <w:color w:val="000000"/>
                <w:sz w:val="18"/>
                <w:szCs w:val="16"/>
              </w:rPr>
            </w:pPr>
            <w:r w:rsidRPr="00C37606">
              <w:rPr>
                <w:rFonts w:eastAsia="Times New Roman" w:cs="Times New Roman"/>
                <w:iCs/>
                <w:color w:val="000000"/>
                <w:sz w:val="18"/>
                <w:szCs w:val="16"/>
              </w:rPr>
              <w:t>Source: 2006-2010 CHAS Data</w:t>
            </w:r>
          </w:p>
        </w:tc>
      </w:tr>
    </w:tbl>
    <w:p w14:paraId="597B4348" w14:textId="77777777" w:rsidR="00D25635" w:rsidRPr="00C37606" w:rsidRDefault="00D25635" w:rsidP="00067077">
      <w:pPr>
        <w:rPr>
          <w:i/>
        </w:rPr>
      </w:pPr>
    </w:p>
    <w:p w14:paraId="3574B754" w14:textId="416C4BB8" w:rsidR="00D4795C" w:rsidRPr="00C37606" w:rsidRDefault="00D4795C" w:rsidP="00067077">
      <w:pPr>
        <w:pStyle w:val="21ElementsText"/>
        <w:rPr>
          <w:b/>
          <w:color w:val="0B5095"/>
          <w:sz w:val="24"/>
        </w:rPr>
      </w:pPr>
      <w:r w:rsidRPr="00C37606">
        <w:rPr>
          <w:b/>
          <w:color w:val="0B5095"/>
          <w:sz w:val="24"/>
        </w:rPr>
        <w:t>Extremely Low Income Households</w:t>
      </w:r>
    </w:p>
    <w:p w14:paraId="279EB62E" w14:textId="30A39F1F" w:rsidR="00A129A8" w:rsidRPr="00C37606" w:rsidRDefault="00A129A8" w:rsidP="00067077">
      <w:pPr>
        <w:pStyle w:val="21ElementsText"/>
      </w:pPr>
      <w:r w:rsidRPr="00C37606">
        <w:t xml:space="preserve">Extremely </w:t>
      </w:r>
      <w:r w:rsidR="009C321B" w:rsidRPr="00C37606">
        <w:t>Low I</w:t>
      </w:r>
      <w:r w:rsidRPr="00C37606">
        <w:t>ncome (ELI) households earn 30 percent of the area median income or less.</w:t>
      </w:r>
      <w:r w:rsidR="00250322" w:rsidRPr="00C37606">
        <w:t xml:space="preserve"> </w:t>
      </w:r>
      <w:r w:rsidRPr="00C37606">
        <w:t>In San Mateo County this amounts to an annual income of $33,950 or below for a family of four.</w:t>
      </w:r>
      <w:r w:rsidR="00250322" w:rsidRPr="00C37606">
        <w:t xml:space="preserve"> </w:t>
      </w:r>
      <w:r w:rsidRPr="00C37606">
        <w:t>Many ELI households live in rental housing and most likely facing overpayment, overcrowding or substandard housing conditions. Some ELI households are recipients of public assistance such as social security insurance or disability insurance. Housing types available and suitable for ELI households include affordable rentals, secondary dwelling units, emergency shelters, supportive housing and transitional housing.</w:t>
      </w:r>
    </w:p>
    <w:p w14:paraId="7834446B" w14:textId="77777777" w:rsidR="00A129A8" w:rsidRPr="00C37606" w:rsidRDefault="00A129A8" w:rsidP="00067077">
      <w:pPr>
        <w:pStyle w:val="21ElementsText"/>
      </w:pPr>
    </w:p>
    <w:p w14:paraId="0AD5B084" w14:textId="15D7EA51" w:rsidR="00D4795C" w:rsidRDefault="00DE701F" w:rsidP="00D44C9E">
      <w:r w:rsidRPr="00C37606">
        <w:t>There are 135 ELI households in Hillsborough according to 2010 CHAS data, all of which are owner households. Most of Hillsborough’s ELI households face some kind of housing problem: 93 percent</w:t>
      </w:r>
      <w:r w:rsidR="00841842">
        <w:t xml:space="preserve"> are overpaying for housing. </w:t>
      </w:r>
      <w:r>
        <w:t xml:space="preserve"> </w:t>
      </w:r>
    </w:p>
    <w:p w14:paraId="1744D2D6" w14:textId="77777777" w:rsidR="00D44C9E" w:rsidRPr="00D44C9E" w:rsidRDefault="00D44C9E" w:rsidP="00D44C9E"/>
    <w:tbl>
      <w:tblPr>
        <w:tblW w:w="8763" w:type="dxa"/>
        <w:tblInd w:w="93" w:type="dxa"/>
        <w:tblLayout w:type="fixed"/>
        <w:tblLook w:val="04A0" w:firstRow="1" w:lastRow="0" w:firstColumn="1" w:lastColumn="0" w:noHBand="0" w:noVBand="1"/>
      </w:tblPr>
      <w:tblGrid>
        <w:gridCol w:w="4965"/>
        <w:gridCol w:w="1260"/>
        <w:gridCol w:w="1260"/>
        <w:gridCol w:w="1278"/>
      </w:tblGrid>
      <w:tr w:rsidR="00D4795C" w:rsidRPr="00D4795C" w14:paraId="7359CA79" w14:textId="77777777" w:rsidTr="00D4795C">
        <w:trPr>
          <w:trHeight w:val="300"/>
        </w:trPr>
        <w:tc>
          <w:tcPr>
            <w:tcW w:w="8763" w:type="dxa"/>
            <w:gridSpan w:val="4"/>
            <w:tcBorders>
              <w:top w:val="nil"/>
              <w:left w:val="nil"/>
              <w:bottom w:val="nil"/>
              <w:right w:val="nil"/>
            </w:tcBorders>
            <w:shd w:val="clear" w:color="000000" w:fill="000000"/>
            <w:noWrap/>
            <w:vAlign w:val="bottom"/>
            <w:hideMark/>
          </w:tcPr>
          <w:p w14:paraId="7F36C613" w14:textId="31C75EB7" w:rsidR="00D4795C" w:rsidRPr="00D4795C" w:rsidRDefault="00D4795C" w:rsidP="00052ED4">
            <w:pPr>
              <w:rPr>
                <w:rFonts w:eastAsia="Times New Roman" w:cs="Times New Roman"/>
                <w:b/>
                <w:bCs/>
                <w:color w:val="FFFFFF"/>
                <w:sz w:val="20"/>
                <w:szCs w:val="20"/>
              </w:rPr>
            </w:pPr>
            <w:r w:rsidRPr="00D4795C">
              <w:rPr>
                <w:rFonts w:eastAsia="Times New Roman" w:cs="Times New Roman"/>
                <w:b/>
                <w:bCs/>
                <w:color w:val="FFFFFF"/>
                <w:sz w:val="20"/>
                <w:szCs w:val="20"/>
              </w:rPr>
              <w:t xml:space="preserve">Housing Needs </w:t>
            </w:r>
            <w:r w:rsidR="00052ED4">
              <w:rPr>
                <w:rFonts w:eastAsia="Times New Roman" w:cs="Times New Roman"/>
                <w:b/>
                <w:bCs/>
                <w:color w:val="FFFFFF"/>
                <w:sz w:val="20"/>
                <w:szCs w:val="20"/>
              </w:rPr>
              <w:t xml:space="preserve">of </w:t>
            </w:r>
            <w:r w:rsidRPr="00D4795C">
              <w:rPr>
                <w:rFonts w:eastAsia="Times New Roman" w:cs="Times New Roman"/>
                <w:b/>
                <w:bCs/>
                <w:color w:val="FFFFFF"/>
                <w:sz w:val="20"/>
                <w:szCs w:val="20"/>
              </w:rPr>
              <w:t xml:space="preserve">Extremely Low Income (ELI) Households in </w:t>
            </w:r>
            <w:r w:rsidR="00853231">
              <w:rPr>
                <w:rFonts w:eastAsia="Times New Roman" w:cs="Times New Roman"/>
                <w:b/>
                <w:bCs/>
                <w:color w:val="FFFFFF"/>
                <w:sz w:val="20"/>
                <w:szCs w:val="20"/>
              </w:rPr>
              <w:t>Hillsborough</w:t>
            </w:r>
            <w:r w:rsidR="00052ED4">
              <w:rPr>
                <w:rFonts w:eastAsia="Times New Roman" w:cs="Times New Roman"/>
                <w:b/>
                <w:bCs/>
                <w:color w:val="FFFFFF"/>
                <w:sz w:val="20"/>
                <w:szCs w:val="20"/>
              </w:rPr>
              <w:t xml:space="preserve"> (2010)</w:t>
            </w:r>
          </w:p>
        </w:tc>
      </w:tr>
      <w:tr w:rsidR="00D4795C" w:rsidRPr="008B112C" w14:paraId="02512FFF" w14:textId="77777777" w:rsidTr="00D4795C">
        <w:trPr>
          <w:trHeight w:val="520"/>
        </w:trPr>
        <w:tc>
          <w:tcPr>
            <w:tcW w:w="4965" w:type="dxa"/>
            <w:tcBorders>
              <w:top w:val="nil"/>
              <w:left w:val="nil"/>
              <w:bottom w:val="single" w:sz="8" w:space="0" w:color="auto"/>
              <w:right w:val="nil"/>
            </w:tcBorders>
            <w:shd w:val="clear" w:color="auto" w:fill="auto"/>
            <w:noWrap/>
            <w:vAlign w:val="bottom"/>
            <w:hideMark/>
          </w:tcPr>
          <w:p w14:paraId="7DD22753" w14:textId="77777777" w:rsidR="00D4795C" w:rsidRDefault="00D4795C" w:rsidP="008B112C">
            <w:pPr>
              <w:spacing w:line="240" w:lineRule="auto"/>
              <w:rPr>
                <w:rFonts w:eastAsia="Times New Roman" w:cs="Times New Roman"/>
                <w:b/>
                <w:bCs/>
                <w:color w:val="000000"/>
                <w:sz w:val="18"/>
                <w:szCs w:val="18"/>
              </w:rPr>
            </w:pPr>
            <w:r w:rsidRPr="008B112C">
              <w:rPr>
                <w:rFonts w:eastAsia="Times New Roman" w:cs="Times New Roman"/>
                <w:b/>
                <w:bCs/>
                <w:color w:val="000000"/>
                <w:sz w:val="18"/>
                <w:szCs w:val="18"/>
              </w:rPr>
              <w:t>Household Category</w:t>
            </w:r>
          </w:p>
          <w:p w14:paraId="56B982A9" w14:textId="77777777" w:rsidR="008B112C" w:rsidRPr="008B112C" w:rsidRDefault="008B112C" w:rsidP="008B112C">
            <w:pPr>
              <w:spacing w:line="240" w:lineRule="auto"/>
              <w:rPr>
                <w:rFonts w:eastAsia="Times New Roman" w:cs="Times New Roman"/>
                <w:b/>
                <w:bCs/>
                <w:color w:val="000000"/>
                <w:sz w:val="10"/>
                <w:szCs w:val="18"/>
              </w:rPr>
            </w:pPr>
          </w:p>
        </w:tc>
        <w:tc>
          <w:tcPr>
            <w:tcW w:w="1260" w:type="dxa"/>
            <w:tcBorders>
              <w:top w:val="nil"/>
              <w:left w:val="nil"/>
              <w:bottom w:val="single" w:sz="8" w:space="0" w:color="auto"/>
              <w:right w:val="nil"/>
            </w:tcBorders>
            <w:shd w:val="clear" w:color="auto" w:fill="auto"/>
            <w:vAlign w:val="center"/>
            <w:hideMark/>
          </w:tcPr>
          <w:p w14:paraId="0A44BCB6" w14:textId="77777777" w:rsidR="008B112C" w:rsidRDefault="008B112C" w:rsidP="008B112C">
            <w:pPr>
              <w:spacing w:line="240" w:lineRule="auto"/>
              <w:jc w:val="right"/>
              <w:rPr>
                <w:rFonts w:eastAsia="Times New Roman" w:cs="Times New Roman"/>
                <w:b/>
                <w:color w:val="000000"/>
                <w:sz w:val="18"/>
                <w:szCs w:val="18"/>
              </w:rPr>
            </w:pPr>
          </w:p>
          <w:p w14:paraId="0A08369C" w14:textId="77777777" w:rsidR="00D4795C" w:rsidRDefault="00D4795C" w:rsidP="008B112C">
            <w:pPr>
              <w:spacing w:line="240" w:lineRule="auto"/>
              <w:jc w:val="right"/>
              <w:rPr>
                <w:rFonts w:eastAsia="Times New Roman" w:cs="Times New Roman"/>
                <w:b/>
                <w:color w:val="000000"/>
                <w:sz w:val="18"/>
                <w:szCs w:val="18"/>
              </w:rPr>
            </w:pPr>
            <w:r w:rsidRPr="008B112C">
              <w:rPr>
                <w:rFonts w:eastAsia="Times New Roman" w:cs="Times New Roman"/>
                <w:b/>
                <w:color w:val="000000"/>
                <w:sz w:val="18"/>
                <w:szCs w:val="18"/>
              </w:rPr>
              <w:t>Renter Households</w:t>
            </w:r>
          </w:p>
          <w:p w14:paraId="25D66D3B" w14:textId="77777777" w:rsidR="008B112C" w:rsidRPr="008B112C" w:rsidRDefault="008B112C" w:rsidP="008B112C">
            <w:pPr>
              <w:spacing w:line="240" w:lineRule="auto"/>
              <w:jc w:val="right"/>
              <w:rPr>
                <w:rFonts w:eastAsia="Times New Roman" w:cs="Times New Roman"/>
                <w:b/>
                <w:color w:val="000000"/>
                <w:sz w:val="10"/>
                <w:szCs w:val="18"/>
              </w:rPr>
            </w:pPr>
          </w:p>
        </w:tc>
        <w:tc>
          <w:tcPr>
            <w:tcW w:w="1260" w:type="dxa"/>
            <w:tcBorders>
              <w:top w:val="nil"/>
              <w:left w:val="nil"/>
              <w:bottom w:val="single" w:sz="8" w:space="0" w:color="auto"/>
              <w:right w:val="nil"/>
            </w:tcBorders>
            <w:shd w:val="clear" w:color="auto" w:fill="auto"/>
            <w:vAlign w:val="center"/>
            <w:hideMark/>
          </w:tcPr>
          <w:p w14:paraId="0F19AF17" w14:textId="77777777" w:rsidR="008B112C" w:rsidRDefault="008B112C" w:rsidP="008B112C">
            <w:pPr>
              <w:spacing w:line="240" w:lineRule="auto"/>
              <w:jc w:val="right"/>
              <w:rPr>
                <w:rFonts w:eastAsia="Times New Roman" w:cs="Times New Roman"/>
                <w:b/>
                <w:color w:val="000000"/>
                <w:sz w:val="18"/>
                <w:szCs w:val="18"/>
              </w:rPr>
            </w:pPr>
          </w:p>
          <w:p w14:paraId="7823C3C1" w14:textId="77777777" w:rsidR="00D4795C" w:rsidRDefault="00D4795C" w:rsidP="008B112C">
            <w:pPr>
              <w:spacing w:line="240" w:lineRule="auto"/>
              <w:jc w:val="right"/>
              <w:rPr>
                <w:rFonts w:eastAsia="Times New Roman" w:cs="Times New Roman"/>
                <w:b/>
                <w:color w:val="000000"/>
                <w:sz w:val="18"/>
                <w:szCs w:val="18"/>
              </w:rPr>
            </w:pPr>
            <w:r w:rsidRPr="008B112C">
              <w:rPr>
                <w:rFonts w:eastAsia="Times New Roman" w:cs="Times New Roman"/>
                <w:b/>
                <w:color w:val="000000"/>
                <w:sz w:val="18"/>
                <w:szCs w:val="18"/>
              </w:rPr>
              <w:t>Owner Households</w:t>
            </w:r>
          </w:p>
          <w:p w14:paraId="2E293020" w14:textId="77777777" w:rsidR="008B112C" w:rsidRPr="008B112C" w:rsidRDefault="008B112C" w:rsidP="008B112C">
            <w:pPr>
              <w:spacing w:line="240" w:lineRule="auto"/>
              <w:jc w:val="center"/>
              <w:rPr>
                <w:rFonts w:eastAsia="Times New Roman" w:cs="Times New Roman"/>
                <w:b/>
                <w:color w:val="000000"/>
                <w:sz w:val="10"/>
                <w:szCs w:val="18"/>
              </w:rPr>
            </w:pPr>
          </w:p>
        </w:tc>
        <w:tc>
          <w:tcPr>
            <w:tcW w:w="1278" w:type="dxa"/>
            <w:tcBorders>
              <w:top w:val="nil"/>
              <w:left w:val="nil"/>
              <w:bottom w:val="single" w:sz="8" w:space="0" w:color="auto"/>
              <w:right w:val="nil"/>
            </w:tcBorders>
            <w:shd w:val="clear" w:color="auto" w:fill="auto"/>
            <w:vAlign w:val="bottom"/>
            <w:hideMark/>
          </w:tcPr>
          <w:p w14:paraId="366FE5DD" w14:textId="77777777" w:rsidR="008B112C" w:rsidRDefault="008B112C" w:rsidP="008B112C">
            <w:pPr>
              <w:spacing w:line="240" w:lineRule="auto"/>
              <w:jc w:val="right"/>
              <w:rPr>
                <w:rFonts w:eastAsia="Times New Roman" w:cs="Times New Roman"/>
                <w:b/>
                <w:color w:val="000000"/>
                <w:sz w:val="18"/>
                <w:szCs w:val="18"/>
              </w:rPr>
            </w:pPr>
          </w:p>
          <w:p w14:paraId="675EAF17" w14:textId="77777777" w:rsidR="00D4795C" w:rsidRDefault="00D4795C" w:rsidP="008B112C">
            <w:pPr>
              <w:spacing w:line="240" w:lineRule="auto"/>
              <w:jc w:val="right"/>
              <w:rPr>
                <w:rFonts w:eastAsia="Times New Roman" w:cs="Times New Roman"/>
                <w:b/>
                <w:color w:val="000000"/>
                <w:sz w:val="18"/>
                <w:szCs w:val="18"/>
              </w:rPr>
            </w:pPr>
            <w:r w:rsidRPr="008B112C">
              <w:rPr>
                <w:rFonts w:eastAsia="Times New Roman" w:cs="Times New Roman"/>
                <w:b/>
                <w:color w:val="000000"/>
                <w:sz w:val="18"/>
                <w:szCs w:val="18"/>
              </w:rPr>
              <w:t>Total Households</w:t>
            </w:r>
          </w:p>
          <w:p w14:paraId="7D27FE3C" w14:textId="77777777" w:rsidR="008B112C" w:rsidRPr="008B112C" w:rsidRDefault="008B112C" w:rsidP="008B112C">
            <w:pPr>
              <w:spacing w:line="240" w:lineRule="auto"/>
              <w:jc w:val="right"/>
              <w:rPr>
                <w:rFonts w:eastAsia="Times New Roman" w:cs="Times New Roman"/>
                <w:b/>
                <w:color w:val="000000"/>
                <w:sz w:val="10"/>
                <w:szCs w:val="18"/>
              </w:rPr>
            </w:pPr>
          </w:p>
        </w:tc>
      </w:tr>
      <w:tr w:rsidR="00052ED4" w:rsidRPr="00D4795C" w14:paraId="12978750" w14:textId="77777777" w:rsidTr="00D4795C">
        <w:trPr>
          <w:trHeight w:val="300"/>
        </w:trPr>
        <w:tc>
          <w:tcPr>
            <w:tcW w:w="4965" w:type="dxa"/>
            <w:tcBorders>
              <w:top w:val="nil"/>
              <w:left w:val="nil"/>
              <w:bottom w:val="single" w:sz="4" w:space="0" w:color="808080"/>
              <w:right w:val="nil"/>
            </w:tcBorders>
            <w:shd w:val="clear" w:color="auto" w:fill="auto"/>
            <w:noWrap/>
            <w:vAlign w:val="bottom"/>
            <w:hideMark/>
          </w:tcPr>
          <w:p w14:paraId="7FAB0833" w14:textId="77777777" w:rsidR="00052ED4" w:rsidRPr="00D4795C" w:rsidRDefault="00052ED4" w:rsidP="00067077">
            <w:pPr>
              <w:rPr>
                <w:rFonts w:eastAsia="Times New Roman" w:cs="Times New Roman"/>
                <w:color w:val="000000"/>
                <w:sz w:val="18"/>
                <w:szCs w:val="18"/>
              </w:rPr>
            </w:pPr>
            <w:r w:rsidRPr="00D4795C">
              <w:rPr>
                <w:rFonts w:eastAsia="Times New Roman" w:cs="Times New Roman"/>
                <w:color w:val="000000"/>
                <w:sz w:val="18"/>
                <w:szCs w:val="18"/>
              </w:rPr>
              <w:t>Total households any income</w:t>
            </w:r>
          </w:p>
        </w:tc>
        <w:tc>
          <w:tcPr>
            <w:tcW w:w="1260" w:type="dxa"/>
            <w:tcBorders>
              <w:top w:val="nil"/>
              <w:left w:val="nil"/>
              <w:bottom w:val="single" w:sz="4" w:space="0" w:color="808080"/>
              <w:right w:val="nil"/>
            </w:tcBorders>
            <w:shd w:val="clear" w:color="auto" w:fill="auto"/>
            <w:noWrap/>
            <w:vAlign w:val="bottom"/>
            <w:hideMark/>
          </w:tcPr>
          <w:p w14:paraId="5F668011" w14:textId="7662FCF8"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125</w:t>
            </w:r>
          </w:p>
        </w:tc>
        <w:tc>
          <w:tcPr>
            <w:tcW w:w="1260" w:type="dxa"/>
            <w:tcBorders>
              <w:top w:val="nil"/>
              <w:left w:val="nil"/>
              <w:bottom w:val="single" w:sz="4" w:space="0" w:color="808080"/>
              <w:right w:val="nil"/>
            </w:tcBorders>
            <w:shd w:val="clear" w:color="auto" w:fill="auto"/>
            <w:noWrap/>
            <w:vAlign w:val="bottom"/>
            <w:hideMark/>
          </w:tcPr>
          <w:p w14:paraId="7A4C0089" w14:textId="7A2075A0"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3525</w:t>
            </w:r>
          </w:p>
        </w:tc>
        <w:tc>
          <w:tcPr>
            <w:tcW w:w="1278" w:type="dxa"/>
            <w:tcBorders>
              <w:top w:val="nil"/>
              <w:left w:val="nil"/>
              <w:bottom w:val="single" w:sz="4" w:space="0" w:color="808080"/>
              <w:right w:val="nil"/>
            </w:tcBorders>
            <w:shd w:val="clear" w:color="auto" w:fill="auto"/>
            <w:noWrap/>
            <w:vAlign w:val="bottom"/>
            <w:hideMark/>
          </w:tcPr>
          <w:p w14:paraId="50BD8B58" w14:textId="1A86AB92"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3650</w:t>
            </w:r>
          </w:p>
        </w:tc>
      </w:tr>
      <w:tr w:rsidR="00052ED4" w:rsidRPr="00D4795C" w14:paraId="3FD26683" w14:textId="77777777" w:rsidTr="00D4795C">
        <w:trPr>
          <w:trHeight w:val="300"/>
        </w:trPr>
        <w:tc>
          <w:tcPr>
            <w:tcW w:w="4965" w:type="dxa"/>
            <w:tcBorders>
              <w:top w:val="nil"/>
              <w:left w:val="nil"/>
              <w:bottom w:val="single" w:sz="4" w:space="0" w:color="808080"/>
              <w:right w:val="nil"/>
            </w:tcBorders>
            <w:shd w:val="clear" w:color="auto" w:fill="auto"/>
            <w:noWrap/>
            <w:vAlign w:val="bottom"/>
            <w:hideMark/>
          </w:tcPr>
          <w:p w14:paraId="5A2EC175" w14:textId="77777777" w:rsidR="00052ED4" w:rsidRPr="00D4795C" w:rsidRDefault="00052ED4" w:rsidP="00067077">
            <w:pPr>
              <w:rPr>
                <w:rFonts w:eastAsia="Times New Roman" w:cs="Times New Roman"/>
                <w:color w:val="000000"/>
                <w:sz w:val="18"/>
                <w:szCs w:val="18"/>
              </w:rPr>
            </w:pPr>
            <w:r w:rsidRPr="00D4795C">
              <w:rPr>
                <w:rFonts w:eastAsia="Times New Roman" w:cs="Times New Roman"/>
                <w:color w:val="000000"/>
                <w:sz w:val="18"/>
                <w:szCs w:val="18"/>
              </w:rPr>
              <w:t>Total ELI households</w:t>
            </w:r>
          </w:p>
        </w:tc>
        <w:tc>
          <w:tcPr>
            <w:tcW w:w="1260" w:type="dxa"/>
            <w:tcBorders>
              <w:top w:val="nil"/>
              <w:left w:val="nil"/>
              <w:bottom w:val="single" w:sz="4" w:space="0" w:color="808080"/>
              <w:right w:val="nil"/>
            </w:tcBorders>
            <w:shd w:val="clear" w:color="auto" w:fill="auto"/>
            <w:noWrap/>
            <w:vAlign w:val="bottom"/>
            <w:hideMark/>
          </w:tcPr>
          <w:p w14:paraId="4EC08496" w14:textId="70F39A79"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0</w:t>
            </w:r>
          </w:p>
        </w:tc>
        <w:tc>
          <w:tcPr>
            <w:tcW w:w="1260" w:type="dxa"/>
            <w:tcBorders>
              <w:top w:val="nil"/>
              <w:left w:val="nil"/>
              <w:bottom w:val="single" w:sz="4" w:space="0" w:color="808080"/>
              <w:right w:val="nil"/>
            </w:tcBorders>
            <w:shd w:val="clear" w:color="auto" w:fill="auto"/>
            <w:noWrap/>
            <w:vAlign w:val="bottom"/>
            <w:hideMark/>
          </w:tcPr>
          <w:p w14:paraId="4AAB5B96" w14:textId="7E5C48FE"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135</w:t>
            </w:r>
          </w:p>
        </w:tc>
        <w:tc>
          <w:tcPr>
            <w:tcW w:w="1278" w:type="dxa"/>
            <w:tcBorders>
              <w:top w:val="nil"/>
              <w:left w:val="nil"/>
              <w:bottom w:val="single" w:sz="4" w:space="0" w:color="808080"/>
              <w:right w:val="nil"/>
            </w:tcBorders>
            <w:shd w:val="clear" w:color="auto" w:fill="auto"/>
            <w:noWrap/>
            <w:vAlign w:val="bottom"/>
            <w:hideMark/>
          </w:tcPr>
          <w:p w14:paraId="2AE57551" w14:textId="1E162FC3"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135</w:t>
            </w:r>
          </w:p>
        </w:tc>
      </w:tr>
      <w:tr w:rsidR="00052ED4" w:rsidRPr="00D4795C" w14:paraId="778BF09D" w14:textId="77777777" w:rsidTr="00D4795C">
        <w:trPr>
          <w:trHeight w:val="300"/>
        </w:trPr>
        <w:tc>
          <w:tcPr>
            <w:tcW w:w="4965" w:type="dxa"/>
            <w:tcBorders>
              <w:top w:val="nil"/>
              <w:left w:val="nil"/>
              <w:bottom w:val="single" w:sz="4" w:space="0" w:color="808080"/>
              <w:right w:val="nil"/>
            </w:tcBorders>
            <w:shd w:val="clear" w:color="auto" w:fill="auto"/>
            <w:noWrap/>
            <w:vAlign w:val="bottom"/>
            <w:hideMark/>
          </w:tcPr>
          <w:p w14:paraId="05B39160" w14:textId="77777777" w:rsidR="00052ED4" w:rsidRPr="00D4795C" w:rsidRDefault="00052ED4" w:rsidP="00067077">
            <w:pPr>
              <w:rPr>
                <w:rFonts w:eastAsia="Times New Roman" w:cs="Times New Roman"/>
                <w:color w:val="000000"/>
                <w:sz w:val="18"/>
                <w:szCs w:val="18"/>
              </w:rPr>
            </w:pPr>
            <w:r w:rsidRPr="00D4795C">
              <w:rPr>
                <w:rFonts w:eastAsia="Times New Roman" w:cs="Times New Roman"/>
                <w:color w:val="000000"/>
                <w:sz w:val="18"/>
                <w:szCs w:val="18"/>
              </w:rPr>
              <w:t>ELI households with housing problems</w:t>
            </w:r>
          </w:p>
        </w:tc>
        <w:tc>
          <w:tcPr>
            <w:tcW w:w="1260" w:type="dxa"/>
            <w:tcBorders>
              <w:top w:val="nil"/>
              <w:left w:val="nil"/>
              <w:bottom w:val="single" w:sz="4" w:space="0" w:color="808080"/>
              <w:right w:val="nil"/>
            </w:tcBorders>
            <w:shd w:val="clear" w:color="auto" w:fill="auto"/>
            <w:noWrap/>
            <w:vAlign w:val="bottom"/>
            <w:hideMark/>
          </w:tcPr>
          <w:p w14:paraId="54DCC4EC" w14:textId="4331BB55"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0</w:t>
            </w:r>
          </w:p>
        </w:tc>
        <w:tc>
          <w:tcPr>
            <w:tcW w:w="1260" w:type="dxa"/>
            <w:tcBorders>
              <w:top w:val="nil"/>
              <w:left w:val="nil"/>
              <w:bottom w:val="single" w:sz="4" w:space="0" w:color="808080"/>
              <w:right w:val="nil"/>
            </w:tcBorders>
            <w:shd w:val="clear" w:color="auto" w:fill="auto"/>
            <w:noWrap/>
            <w:vAlign w:val="bottom"/>
            <w:hideMark/>
          </w:tcPr>
          <w:p w14:paraId="347B82A7" w14:textId="3BF2AB1D"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93%</w:t>
            </w:r>
          </w:p>
        </w:tc>
        <w:tc>
          <w:tcPr>
            <w:tcW w:w="1278" w:type="dxa"/>
            <w:tcBorders>
              <w:top w:val="nil"/>
              <w:left w:val="nil"/>
              <w:bottom w:val="single" w:sz="4" w:space="0" w:color="808080"/>
              <w:right w:val="nil"/>
            </w:tcBorders>
            <w:shd w:val="clear" w:color="auto" w:fill="auto"/>
            <w:noWrap/>
            <w:vAlign w:val="bottom"/>
            <w:hideMark/>
          </w:tcPr>
          <w:p w14:paraId="0150103F" w14:textId="4C234655"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93%</w:t>
            </w:r>
          </w:p>
        </w:tc>
      </w:tr>
      <w:tr w:rsidR="00052ED4" w:rsidRPr="00D4795C" w14:paraId="5D86A901" w14:textId="77777777" w:rsidTr="00D4795C">
        <w:trPr>
          <w:trHeight w:val="300"/>
        </w:trPr>
        <w:tc>
          <w:tcPr>
            <w:tcW w:w="4965" w:type="dxa"/>
            <w:tcBorders>
              <w:top w:val="nil"/>
              <w:left w:val="nil"/>
              <w:bottom w:val="single" w:sz="4" w:space="0" w:color="auto"/>
              <w:right w:val="nil"/>
            </w:tcBorders>
            <w:shd w:val="clear" w:color="auto" w:fill="auto"/>
            <w:noWrap/>
            <w:vAlign w:val="bottom"/>
            <w:hideMark/>
          </w:tcPr>
          <w:p w14:paraId="4E9AABED" w14:textId="77777777" w:rsidR="00052ED4" w:rsidRPr="00D4795C" w:rsidRDefault="00052ED4" w:rsidP="00067077">
            <w:pPr>
              <w:rPr>
                <w:rFonts w:eastAsia="Times New Roman" w:cs="Times New Roman"/>
                <w:color w:val="000000"/>
                <w:sz w:val="18"/>
                <w:szCs w:val="18"/>
              </w:rPr>
            </w:pPr>
            <w:r w:rsidRPr="00D4795C">
              <w:rPr>
                <w:rFonts w:eastAsia="Times New Roman" w:cs="Times New Roman"/>
                <w:color w:val="000000"/>
                <w:sz w:val="18"/>
                <w:szCs w:val="18"/>
              </w:rPr>
              <w:t>ELI households with cost burden (paying 30% or more of income)</w:t>
            </w:r>
          </w:p>
        </w:tc>
        <w:tc>
          <w:tcPr>
            <w:tcW w:w="1260" w:type="dxa"/>
            <w:tcBorders>
              <w:top w:val="nil"/>
              <w:left w:val="nil"/>
              <w:bottom w:val="single" w:sz="4" w:space="0" w:color="808080"/>
              <w:right w:val="nil"/>
            </w:tcBorders>
            <w:shd w:val="clear" w:color="auto" w:fill="auto"/>
            <w:noWrap/>
            <w:vAlign w:val="bottom"/>
            <w:hideMark/>
          </w:tcPr>
          <w:p w14:paraId="1EC26FE7" w14:textId="4BE13AF9"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0</w:t>
            </w:r>
          </w:p>
        </w:tc>
        <w:tc>
          <w:tcPr>
            <w:tcW w:w="1260" w:type="dxa"/>
            <w:tcBorders>
              <w:top w:val="nil"/>
              <w:left w:val="nil"/>
              <w:bottom w:val="single" w:sz="4" w:space="0" w:color="808080"/>
              <w:right w:val="nil"/>
            </w:tcBorders>
            <w:shd w:val="clear" w:color="auto" w:fill="auto"/>
            <w:noWrap/>
            <w:vAlign w:val="bottom"/>
            <w:hideMark/>
          </w:tcPr>
          <w:p w14:paraId="244BAB5D" w14:textId="10612DBB"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93%</w:t>
            </w:r>
          </w:p>
        </w:tc>
        <w:tc>
          <w:tcPr>
            <w:tcW w:w="1278" w:type="dxa"/>
            <w:tcBorders>
              <w:top w:val="nil"/>
              <w:left w:val="nil"/>
              <w:bottom w:val="single" w:sz="4" w:space="0" w:color="808080"/>
              <w:right w:val="nil"/>
            </w:tcBorders>
            <w:shd w:val="clear" w:color="auto" w:fill="auto"/>
            <w:noWrap/>
            <w:vAlign w:val="bottom"/>
            <w:hideMark/>
          </w:tcPr>
          <w:p w14:paraId="05F9DC57" w14:textId="3355E722"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93%</w:t>
            </w:r>
          </w:p>
        </w:tc>
      </w:tr>
      <w:tr w:rsidR="00052ED4" w:rsidRPr="00D4795C" w14:paraId="5011A68A" w14:textId="77777777" w:rsidTr="00D4795C">
        <w:trPr>
          <w:trHeight w:val="300"/>
        </w:trPr>
        <w:tc>
          <w:tcPr>
            <w:tcW w:w="4965" w:type="dxa"/>
            <w:tcBorders>
              <w:top w:val="nil"/>
              <w:left w:val="nil"/>
              <w:bottom w:val="single" w:sz="4" w:space="0" w:color="808080"/>
              <w:right w:val="nil"/>
            </w:tcBorders>
            <w:shd w:val="clear" w:color="auto" w:fill="auto"/>
            <w:noWrap/>
            <w:vAlign w:val="bottom"/>
            <w:hideMark/>
          </w:tcPr>
          <w:p w14:paraId="120E7C6F" w14:textId="77777777" w:rsidR="00052ED4" w:rsidRPr="00D4795C" w:rsidRDefault="00052ED4" w:rsidP="00067077">
            <w:pPr>
              <w:rPr>
                <w:rFonts w:eastAsia="Times New Roman" w:cs="Times New Roman"/>
                <w:color w:val="000000"/>
                <w:sz w:val="18"/>
                <w:szCs w:val="18"/>
              </w:rPr>
            </w:pPr>
            <w:r w:rsidRPr="00D4795C">
              <w:rPr>
                <w:rFonts w:eastAsia="Times New Roman" w:cs="Times New Roman"/>
                <w:color w:val="000000"/>
                <w:sz w:val="18"/>
                <w:szCs w:val="18"/>
              </w:rPr>
              <w:t>ELI households with cost burden (paying 50% or more of income)</w:t>
            </w:r>
          </w:p>
        </w:tc>
        <w:tc>
          <w:tcPr>
            <w:tcW w:w="1260" w:type="dxa"/>
            <w:tcBorders>
              <w:top w:val="nil"/>
              <w:left w:val="nil"/>
              <w:bottom w:val="single" w:sz="4" w:space="0" w:color="808080"/>
              <w:right w:val="nil"/>
            </w:tcBorders>
            <w:shd w:val="clear" w:color="auto" w:fill="auto"/>
            <w:noWrap/>
            <w:vAlign w:val="bottom"/>
            <w:hideMark/>
          </w:tcPr>
          <w:p w14:paraId="50C86579" w14:textId="2E45E9AE"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0</w:t>
            </w:r>
          </w:p>
        </w:tc>
        <w:tc>
          <w:tcPr>
            <w:tcW w:w="1260" w:type="dxa"/>
            <w:tcBorders>
              <w:top w:val="nil"/>
              <w:left w:val="nil"/>
              <w:bottom w:val="single" w:sz="4" w:space="0" w:color="808080"/>
              <w:right w:val="nil"/>
            </w:tcBorders>
            <w:shd w:val="clear" w:color="auto" w:fill="auto"/>
            <w:noWrap/>
            <w:vAlign w:val="bottom"/>
            <w:hideMark/>
          </w:tcPr>
          <w:p w14:paraId="32E9A0CF" w14:textId="06782EDA"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93%</w:t>
            </w:r>
          </w:p>
        </w:tc>
        <w:tc>
          <w:tcPr>
            <w:tcW w:w="1278" w:type="dxa"/>
            <w:tcBorders>
              <w:top w:val="nil"/>
              <w:left w:val="nil"/>
              <w:bottom w:val="single" w:sz="4" w:space="0" w:color="808080"/>
              <w:right w:val="nil"/>
            </w:tcBorders>
            <w:shd w:val="clear" w:color="auto" w:fill="auto"/>
            <w:noWrap/>
            <w:vAlign w:val="bottom"/>
            <w:hideMark/>
          </w:tcPr>
          <w:p w14:paraId="47CAF479" w14:textId="55978B49" w:rsidR="00052ED4" w:rsidRPr="005C76CD" w:rsidRDefault="00052ED4" w:rsidP="00067077">
            <w:pPr>
              <w:jc w:val="right"/>
              <w:rPr>
                <w:rFonts w:eastAsia="Times New Roman" w:cs="Times New Roman"/>
                <w:color w:val="000000"/>
                <w:sz w:val="18"/>
                <w:szCs w:val="18"/>
                <w:highlight w:val="yellow"/>
              </w:rPr>
            </w:pPr>
            <w:r w:rsidRPr="00223E0E">
              <w:rPr>
                <w:rFonts w:eastAsia="Times New Roman" w:cs="Times New Roman"/>
                <w:color w:val="000000"/>
                <w:sz w:val="18"/>
                <w:szCs w:val="18"/>
              </w:rPr>
              <w:t>93%</w:t>
            </w:r>
          </w:p>
        </w:tc>
      </w:tr>
      <w:tr w:rsidR="00D4795C" w:rsidRPr="008B112C" w14:paraId="3099DA35" w14:textId="77777777" w:rsidTr="00D4795C">
        <w:trPr>
          <w:trHeight w:val="440"/>
        </w:trPr>
        <w:tc>
          <w:tcPr>
            <w:tcW w:w="8763" w:type="dxa"/>
            <w:gridSpan w:val="4"/>
            <w:tcBorders>
              <w:top w:val="single" w:sz="4" w:space="0" w:color="auto"/>
              <w:left w:val="nil"/>
              <w:bottom w:val="nil"/>
              <w:right w:val="nil"/>
            </w:tcBorders>
            <w:shd w:val="clear" w:color="auto" w:fill="auto"/>
            <w:vAlign w:val="bottom"/>
            <w:hideMark/>
          </w:tcPr>
          <w:p w14:paraId="502EDB24" w14:textId="77777777" w:rsidR="00D4795C" w:rsidRPr="008B112C" w:rsidRDefault="00D4795C" w:rsidP="00067077">
            <w:pPr>
              <w:rPr>
                <w:rFonts w:eastAsia="Times New Roman" w:cs="Times New Roman"/>
                <w:iCs/>
                <w:sz w:val="18"/>
                <w:szCs w:val="18"/>
              </w:rPr>
            </w:pPr>
            <w:r w:rsidRPr="008B112C">
              <w:rPr>
                <w:rFonts w:eastAsia="Times New Roman" w:cs="Times New Roman"/>
                <w:iCs/>
                <w:sz w:val="18"/>
                <w:szCs w:val="18"/>
              </w:rPr>
              <w:t>Source: HUD Comprehensive Housing Affordability Strategy (2006-2010)</w:t>
            </w:r>
          </w:p>
        </w:tc>
      </w:tr>
    </w:tbl>
    <w:p w14:paraId="27659C05" w14:textId="77777777" w:rsidR="004C427B" w:rsidRDefault="004C427B" w:rsidP="00067077">
      <w:pPr>
        <w:rPr>
          <w:i/>
          <w:sz w:val="28"/>
          <w:szCs w:val="28"/>
        </w:rPr>
      </w:pPr>
    </w:p>
    <w:p w14:paraId="46591211" w14:textId="77777777" w:rsidR="00D44C9E" w:rsidRDefault="00D44C9E" w:rsidP="00067077">
      <w:pPr>
        <w:rPr>
          <w:i/>
          <w:sz w:val="28"/>
          <w:szCs w:val="28"/>
        </w:rPr>
      </w:pPr>
    </w:p>
    <w:p w14:paraId="7527BFC9" w14:textId="5EF96217" w:rsidR="007C44B8" w:rsidRPr="009302BC" w:rsidRDefault="008B112C" w:rsidP="00067077">
      <w:pPr>
        <w:pStyle w:val="21ElementsText"/>
        <w:rPr>
          <w:b/>
          <w:color w:val="0B5095"/>
          <w:sz w:val="24"/>
          <w:szCs w:val="28"/>
        </w:rPr>
      </w:pPr>
      <w:r w:rsidRPr="009302BC">
        <w:rPr>
          <w:b/>
          <w:color w:val="0B5095"/>
          <w:sz w:val="24"/>
          <w:szCs w:val="28"/>
        </w:rPr>
        <w:t>Homeless Needs</w:t>
      </w:r>
    </w:p>
    <w:p w14:paraId="33D40A6D" w14:textId="2034E945" w:rsidR="007C44B8" w:rsidRPr="00135F56" w:rsidRDefault="007C44B8" w:rsidP="00067077">
      <w:pPr>
        <w:pStyle w:val="21ElementsText"/>
        <w:rPr>
          <w:rFonts w:cs="Times New Roman"/>
        </w:rPr>
      </w:pPr>
      <w:r w:rsidRPr="00135F56">
        <w:t>All 21 jurisdictions within San Mateo County have adopted the ten-year HOPE Plan (</w:t>
      </w:r>
      <w:r w:rsidRPr="00135F56">
        <w:rPr>
          <w:rFonts w:cs="Times New Roman"/>
        </w:rPr>
        <w:t xml:space="preserve">Housing Our People Effectively: Ending Homelessness in San Mateo County), designed </w:t>
      </w:r>
      <w:r w:rsidRPr="00135F56">
        <w:t>to end homelessness within ten years</w:t>
      </w:r>
      <w:r w:rsidRPr="00135F56">
        <w:rPr>
          <w:rFonts w:cs="Times New Roman"/>
        </w:rPr>
        <w:t xml:space="preserve">. The HOPE Plan adopts a Housing First policy, which seeks to move homeless people into permanent housing instead of shelters by increasing the stock of affordable and subsidized housing. Although the HOPE planners recognized that there is a lack of needed resources throughout the housing continuum, including emergency and transitional housing, the greatest need and the most effective use of new and/or redirected resources is </w:t>
      </w:r>
      <w:r w:rsidR="00135F56">
        <w:rPr>
          <w:rFonts w:cs="Times New Roman"/>
        </w:rPr>
        <w:t>the creation and protection of</w:t>
      </w:r>
      <w:r w:rsidRPr="00135F56">
        <w:rPr>
          <w:rFonts w:cs="Times New Roman"/>
        </w:rPr>
        <w:t xml:space="preserve"> quality affordable and supportive housing. </w:t>
      </w:r>
    </w:p>
    <w:p w14:paraId="68A0C393" w14:textId="77777777" w:rsidR="007C44B8" w:rsidRPr="00135F56" w:rsidRDefault="007C44B8" w:rsidP="00067077">
      <w:pPr>
        <w:pStyle w:val="21ElementsText"/>
        <w:rPr>
          <w:rFonts w:cs="Times New Roman"/>
        </w:rPr>
      </w:pPr>
    </w:p>
    <w:p w14:paraId="7A7BBF48" w14:textId="657BA2E3" w:rsidR="007C44B8" w:rsidRPr="00135F56" w:rsidRDefault="007C44B8" w:rsidP="00067077">
      <w:pPr>
        <w:pStyle w:val="21ElementsText"/>
        <w:rPr>
          <w:rFonts w:cs="Times New Roman"/>
        </w:rPr>
      </w:pPr>
      <w:r w:rsidRPr="00135F56">
        <w:rPr>
          <w:rFonts w:cs="Times New Roman"/>
        </w:rPr>
        <w:t xml:space="preserve">According to </w:t>
      </w:r>
      <w:r w:rsidR="008B112C">
        <w:rPr>
          <w:rFonts w:cs="Times New Roman"/>
        </w:rPr>
        <w:t>the January</w:t>
      </w:r>
      <w:r w:rsidRPr="00135F56">
        <w:rPr>
          <w:rFonts w:cs="Times New Roman"/>
        </w:rPr>
        <w:t xml:space="preserve"> 2013 countywide homeless survey</w:t>
      </w:r>
      <w:r w:rsidR="008B112C">
        <w:rPr>
          <w:rFonts w:cs="Times New Roman"/>
        </w:rPr>
        <w:t>,</w:t>
      </w:r>
      <w:r w:rsidRPr="00135F56">
        <w:rPr>
          <w:rFonts w:cs="Times New Roman"/>
        </w:rPr>
        <w:t xml:space="preserve"> there are 2,281 homeless people living in San Mateo County. Close to 90 percent of the homeless population was living in San Mateo County when they became homeless, </w:t>
      </w:r>
    </w:p>
    <w:p w14:paraId="78662809" w14:textId="77777777" w:rsidR="007C44B8" w:rsidRPr="00135F56" w:rsidRDefault="007C44B8" w:rsidP="00067077">
      <w:pPr>
        <w:pStyle w:val="21ElementsText"/>
        <w:rPr>
          <w:rFonts w:cs="Times New Roman"/>
        </w:rPr>
      </w:pPr>
    </w:p>
    <w:p w14:paraId="021ADD48" w14:textId="2C73501A" w:rsidR="007C44B8" w:rsidRPr="00135F56" w:rsidRDefault="007C44B8" w:rsidP="00067077">
      <w:pPr>
        <w:pStyle w:val="21ElementsText"/>
        <w:rPr>
          <w:rFonts w:cs="Times New Roman"/>
        </w:rPr>
      </w:pPr>
      <w:r w:rsidRPr="00135F56">
        <w:rPr>
          <w:rFonts w:cs="Times New Roman"/>
        </w:rPr>
        <w:t>The homeless in San Mateo</w:t>
      </w:r>
      <w:r w:rsidR="00E7737F">
        <w:rPr>
          <w:rFonts w:cs="Times New Roman"/>
        </w:rPr>
        <w:t xml:space="preserve"> County</w:t>
      </w:r>
      <w:r w:rsidRPr="00135F56">
        <w:rPr>
          <w:rFonts w:cs="Times New Roman"/>
        </w:rPr>
        <w:t xml:space="preserve"> are both sheltered, meaning they live in emergency shelters, transitional housing, treatment centers or other similar institutions; and unsheltered, meaning they live on the street, in encampments or in a vehicle.</w:t>
      </w:r>
    </w:p>
    <w:p w14:paraId="5BA7B7F2" w14:textId="77777777" w:rsidR="007C44B8" w:rsidRPr="00135F56" w:rsidRDefault="007C44B8" w:rsidP="00067077">
      <w:pPr>
        <w:pStyle w:val="21ElementsText"/>
        <w:rPr>
          <w:rFonts w:cs="Times New Roman"/>
        </w:rPr>
      </w:pPr>
    </w:p>
    <w:p w14:paraId="4C489FE0" w14:textId="7252E975" w:rsidR="007C44B8" w:rsidRPr="00135F56" w:rsidRDefault="007C44B8" w:rsidP="00067077">
      <w:pPr>
        <w:pStyle w:val="21ElementsText"/>
        <w:rPr>
          <w:rFonts w:cs="Times New Roman"/>
        </w:rPr>
      </w:pPr>
      <w:r w:rsidRPr="00135F56">
        <w:rPr>
          <w:rFonts w:cs="Times New Roman"/>
        </w:rPr>
        <w:t>The number of homeless people living on the street in San Mateo County has decreased since 2007, while the number living in an RV, car or encampment, has risen dramatically to just over 40 percent of the total homeless population. The remaining 43 percent ar</w:t>
      </w:r>
      <w:r w:rsidR="008B112C">
        <w:rPr>
          <w:rFonts w:cs="Times New Roman"/>
        </w:rPr>
        <w:t>e considered sheltered homeless</w:t>
      </w:r>
      <w:r w:rsidRPr="00135F56">
        <w:rPr>
          <w:rFonts w:cs="Times New Roman"/>
        </w:rPr>
        <w:t xml:space="preserve">. </w:t>
      </w:r>
    </w:p>
    <w:p w14:paraId="192A2081" w14:textId="77777777" w:rsidR="007C44B8" w:rsidRPr="00135F56" w:rsidRDefault="007C44B8" w:rsidP="00067077">
      <w:pPr>
        <w:pStyle w:val="21ElementsText"/>
        <w:rPr>
          <w:rFonts w:cs="Times New Roman"/>
        </w:rPr>
      </w:pPr>
    </w:p>
    <w:p w14:paraId="002DBD53" w14:textId="27066A77" w:rsidR="007C44B8" w:rsidRPr="00135F56" w:rsidRDefault="007C44B8" w:rsidP="00067077">
      <w:pPr>
        <w:pStyle w:val="21ElementsText"/>
        <w:rPr>
          <w:rFonts w:cs="Times New Roman"/>
        </w:rPr>
      </w:pPr>
      <w:r w:rsidRPr="00135F56">
        <w:rPr>
          <w:rFonts w:cs="Times New Roman"/>
        </w:rPr>
        <w:t>The vast majority</w:t>
      </w:r>
      <w:r w:rsidR="00E7737F">
        <w:rPr>
          <w:rFonts w:cs="Times New Roman"/>
        </w:rPr>
        <w:t xml:space="preserve"> of</w:t>
      </w:r>
      <w:r w:rsidRPr="00135F56">
        <w:rPr>
          <w:rFonts w:cs="Times New Roman"/>
        </w:rPr>
        <w:t xml:space="preserve"> homeless people are single adults (who may be living with another adult, but no children). </w:t>
      </w:r>
      <w:r w:rsidR="008B112C">
        <w:rPr>
          <w:rFonts w:cs="Times New Roman"/>
        </w:rPr>
        <w:t>However</w:t>
      </w:r>
      <w:r w:rsidRPr="00135F56">
        <w:rPr>
          <w:rFonts w:cs="Times New Roman"/>
        </w:rPr>
        <w:t xml:space="preserve">, one-fifth of the sheltered homeless are families. Most </w:t>
      </w:r>
      <w:r w:rsidR="008B112C">
        <w:rPr>
          <w:rFonts w:cs="Times New Roman"/>
        </w:rPr>
        <w:t xml:space="preserve">homeless people </w:t>
      </w:r>
      <w:r w:rsidR="00E7737F">
        <w:rPr>
          <w:rFonts w:cs="Times New Roman"/>
        </w:rPr>
        <w:t>are</w:t>
      </w:r>
      <w:r w:rsidRPr="00135F56">
        <w:rPr>
          <w:rFonts w:cs="Times New Roman"/>
        </w:rPr>
        <w:t xml:space="preserve"> white (60%) and male (</w:t>
      </w:r>
      <w:r w:rsidR="00D3324F">
        <w:rPr>
          <w:rFonts w:cs="Times New Roman"/>
        </w:rPr>
        <w:t xml:space="preserve">a range between </w:t>
      </w:r>
      <w:r w:rsidRPr="00135F56">
        <w:rPr>
          <w:rFonts w:cs="Times New Roman"/>
        </w:rPr>
        <w:t>60-71 percent</w:t>
      </w:r>
      <w:r w:rsidR="00D3324F">
        <w:rPr>
          <w:rFonts w:cs="Times New Roman"/>
        </w:rPr>
        <w:t xml:space="preserve"> depending on sheltered and unsheltered</w:t>
      </w:r>
      <w:r w:rsidRPr="00135F56">
        <w:rPr>
          <w:rFonts w:cs="Times New Roman"/>
        </w:rPr>
        <w:t xml:space="preserve">). Notably, 72 percent of the unsheltered homeless population has an alcohol </w:t>
      </w:r>
      <w:r w:rsidR="00E7737F">
        <w:rPr>
          <w:rFonts w:cs="Times New Roman"/>
        </w:rPr>
        <w:t>or</w:t>
      </w:r>
      <w:r w:rsidRPr="00135F56">
        <w:rPr>
          <w:rFonts w:cs="Times New Roman"/>
        </w:rPr>
        <w:t xml:space="preserve"> drug problem, while only eight percent of the sheltered population has a similar problem. </w:t>
      </w:r>
    </w:p>
    <w:p w14:paraId="75C4BF10" w14:textId="77777777" w:rsidR="007C44B8" w:rsidRPr="00135F56" w:rsidRDefault="007C44B8" w:rsidP="00067077">
      <w:pPr>
        <w:pStyle w:val="21ElementsText"/>
        <w:rPr>
          <w:rFonts w:cs="Times New Roman"/>
        </w:rPr>
      </w:pPr>
    </w:p>
    <w:p w14:paraId="568BFECF" w14:textId="315A74B1" w:rsidR="00D25635" w:rsidRPr="008B112C" w:rsidRDefault="00D25635" w:rsidP="00067077">
      <w:pPr>
        <w:pStyle w:val="21ElementsText"/>
        <w:rPr>
          <w:rFonts w:cs="Times New Roman"/>
          <w:b/>
          <w:color w:val="0B5095"/>
          <w:sz w:val="24"/>
        </w:rPr>
      </w:pPr>
      <w:r w:rsidRPr="008B112C">
        <w:rPr>
          <w:rFonts w:cs="Times New Roman"/>
          <w:b/>
          <w:color w:val="0B5095"/>
          <w:sz w:val="24"/>
        </w:rPr>
        <w:t xml:space="preserve">Homelessness in </w:t>
      </w:r>
      <w:r w:rsidR="008B112C" w:rsidRPr="008B112C">
        <w:rPr>
          <w:rFonts w:cs="Times New Roman"/>
          <w:b/>
          <w:color w:val="0B5095"/>
          <w:sz w:val="24"/>
        </w:rPr>
        <w:t xml:space="preserve">San Mateo County and the </w:t>
      </w:r>
      <w:r w:rsidR="003B70CF">
        <w:rPr>
          <w:rFonts w:cs="Times New Roman"/>
          <w:b/>
          <w:color w:val="0B5095"/>
          <w:sz w:val="24"/>
        </w:rPr>
        <w:t xml:space="preserve">Town of </w:t>
      </w:r>
      <w:r w:rsidR="00853231">
        <w:rPr>
          <w:rFonts w:cs="Times New Roman"/>
          <w:b/>
          <w:color w:val="0B5095"/>
          <w:sz w:val="24"/>
        </w:rPr>
        <w:t>Hillsborough</w:t>
      </w:r>
    </w:p>
    <w:p w14:paraId="5BA5C22E" w14:textId="4BF4333C" w:rsidR="00DE701F" w:rsidRPr="002029B2" w:rsidRDefault="00DE701F" w:rsidP="00DE701F">
      <w:pPr>
        <w:widowControl w:val="0"/>
        <w:autoSpaceDE w:val="0"/>
        <w:autoSpaceDN w:val="0"/>
        <w:adjustRightInd w:val="0"/>
        <w:rPr>
          <w:rFonts w:cs="Times New Roman"/>
        </w:rPr>
      </w:pPr>
      <w:r w:rsidRPr="004F4CC5">
        <w:rPr>
          <w:rFonts w:cs="Times New Roman"/>
        </w:rPr>
        <w:t>As of the 2013 San Mateo Homeless Census, there are no homeles</w:t>
      </w:r>
      <w:r w:rsidR="006D409D">
        <w:rPr>
          <w:rFonts w:cs="Times New Roman"/>
        </w:rPr>
        <w:t>s people living in Hillsborough</w:t>
      </w:r>
      <w:r w:rsidRPr="004F4CC5">
        <w:rPr>
          <w:rFonts w:cs="Times New Roman"/>
        </w:rPr>
        <w:t xml:space="preserve">. </w:t>
      </w:r>
      <w:r w:rsidR="00273BF0" w:rsidRPr="004F4CC5">
        <w:rPr>
          <w:rFonts w:cs="Times New Roman"/>
        </w:rPr>
        <w:t>The tables below provide additional information on the homeless and are from the San Mateo County January 2013 homeless count.</w:t>
      </w:r>
    </w:p>
    <w:p w14:paraId="2F22A5DF" w14:textId="0117431E" w:rsidR="004C427B" w:rsidRDefault="004C427B" w:rsidP="00726380">
      <w:pPr>
        <w:spacing w:line="240" w:lineRule="auto"/>
        <w:rPr>
          <w:rFonts w:ascii="Times New Roman" w:hAnsi="Times New Roman" w:cs="Times New Roman"/>
        </w:rPr>
      </w:pPr>
    </w:p>
    <w:tbl>
      <w:tblPr>
        <w:tblW w:w="9960" w:type="dxa"/>
        <w:tblInd w:w="93" w:type="dxa"/>
        <w:tblLook w:val="04A0" w:firstRow="1" w:lastRow="0" w:firstColumn="1" w:lastColumn="0" w:noHBand="0" w:noVBand="1"/>
      </w:tblPr>
      <w:tblGrid>
        <w:gridCol w:w="2365"/>
        <w:gridCol w:w="1429"/>
        <w:gridCol w:w="1303"/>
        <w:gridCol w:w="1055"/>
        <w:gridCol w:w="1429"/>
        <w:gridCol w:w="1303"/>
        <w:gridCol w:w="1076"/>
      </w:tblGrid>
      <w:tr w:rsidR="006D409D" w:rsidRPr="006D409D" w14:paraId="3DBEECEC" w14:textId="77777777" w:rsidTr="006D409D">
        <w:trPr>
          <w:trHeight w:val="300"/>
        </w:trPr>
        <w:tc>
          <w:tcPr>
            <w:tcW w:w="9960" w:type="dxa"/>
            <w:gridSpan w:val="7"/>
            <w:tcBorders>
              <w:top w:val="nil"/>
              <w:left w:val="nil"/>
              <w:bottom w:val="nil"/>
              <w:right w:val="nil"/>
            </w:tcBorders>
            <w:shd w:val="clear" w:color="000000" w:fill="000000"/>
            <w:noWrap/>
            <w:vAlign w:val="bottom"/>
            <w:hideMark/>
          </w:tcPr>
          <w:p w14:paraId="3880BC27" w14:textId="77777777" w:rsidR="006D409D" w:rsidRPr="006D409D" w:rsidRDefault="006D409D" w:rsidP="006D409D">
            <w:pPr>
              <w:spacing w:line="240" w:lineRule="auto"/>
              <w:rPr>
                <w:rFonts w:eastAsia="Times New Roman" w:cs="Times New Roman"/>
                <w:b/>
                <w:bCs/>
                <w:color w:val="FFFFFF"/>
                <w:sz w:val="20"/>
                <w:szCs w:val="20"/>
              </w:rPr>
            </w:pPr>
            <w:r w:rsidRPr="006D409D">
              <w:rPr>
                <w:rFonts w:eastAsia="Times New Roman" w:cs="Times New Roman"/>
                <w:b/>
                <w:bCs/>
                <w:color w:val="FFFFFF"/>
                <w:sz w:val="20"/>
                <w:szCs w:val="20"/>
              </w:rPr>
              <w:t>Homeless Count</w:t>
            </w:r>
          </w:p>
        </w:tc>
      </w:tr>
      <w:tr w:rsidR="006D409D" w:rsidRPr="006D409D" w14:paraId="6B74AC33" w14:textId="77777777" w:rsidTr="006D409D">
        <w:trPr>
          <w:trHeight w:val="300"/>
        </w:trPr>
        <w:tc>
          <w:tcPr>
            <w:tcW w:w="2365" w:type="dxa"/>
            <w:tcBorders>
              <w:top w:val="nil"/>
              <w:left w:val="nil"/>
              <w:bottom w:val="nil"/>
              <w:right w:val="nil"/>
            </w:tcBorders>
            <w:shd w:val="clear" w:color="auto" w:fill="auto"/>
            <w:noWrap/>
            <w:vAlign w:val="bottom"/>
            <w:hideMark/>
          </w:tcPr>
          <w:p w14:paraId="609401E2" w14:textId="77777777" w:rsidR="006D409D" w:rsidRPr="006D409D" w:rsidRDefault="006D409D" w:rsidP="006D409D">
            <w:pPr>
              <w:spacing w:line="240" w:lineRule="auto"/>
              <w:rPr>
                <w:rFonts w:eastAsia="Times New Roman" w:cs="Times New Roman"/>
                <w:color w:val="000000"/>
                <w:szCs w:val="22"/>
              </w:rPr>
            </w:pPr>
          </w:p>
        </w:tc>
        <w:tc>
          <w:tcPr>
            <w:tcW w:w="3787" w:type="dxa"/>
            <w:gridSpan w:val="3"/>
            <w:tcBorders>
              <w:top w:val="nil"/>
              <w:left w:val="nil"/>
              <w:bottom w:val="nil"/>
              <w:right w:val="nil"/>
            </w:tcBorders>
            <w:shd w:val="clear" w:color="auto" w:fill="auto"/>
            <w:noWrap/>
            <w:vAlign w:val="bottom"/>
            <w:hideMark/>
          </w:tcPr>
          <w:p w14:paraId="29192760" w14:textId="77777777" w:rsidR="006D409D" w:rsidRPr="006D409D" w:rsidRDefault="006D409D" w:rsidP="006D409D">
            <w:pPr>
              <w:spacing w:line="240" w:lineRule="auto"/>
              <w:jc w:val="center"/>
              <w:rPr>
                <w:rFonts w:eastAsia="Times New Roman" w:cs="Times New Roman"/>
                <w:b/>
                <w:bCs/>
                <w:color w:val="000000"/>
                <w:sz w:val="18"/>
                <w:szCs w:val="18"/>
              </w:rPr>
            </w:pPr>
            <w:r w:rsidRPr="006D409D">
              <w:rPr>
                <w:rFonts w:eastAsia="Times New Roman" w:cs="Times New Roman"/>
                <w:b/>
                <w:bCs/>
                <w:color w:val="000000"/>
                <w:sz w:val="18"/>
                <w:szCs w:val="18"/>
              </w:rPr>
              <w:t>Hillsborough</w:t>
            </w:r>
          </w:p>
        </w:tc>
        <w:tc>
          <w:tcPr>
            <w:tcW w:w="3808" w:type="dxa"/>
            <w:gridSpan w:val="3"/>
            <w:tcBorders>
              <w:top w:val="nil"/>
              <w:left w:val="nil"/>
              <w:bottom w:val="nil"/>
              <w:right w:val="nil"/>
            </w:tcBorders>
            <w:shd w:val="clear" w:color="auto" w:fill="auto"/>
            <w:noWrap/>
            <w:vAlign w:val="bottom"/>
            <w:hideMark/>
          </w:tcPr>
          <w:p w14:paraId="45085369" w14:textId="77777777" w:rsidR="006D409D" w:rsidRPr="006D409D" w:rsidRDefault="006D409D" w:rsidP="006D409D">
            <w:pPr>
              <w:spacing w:line="240" w:lineRule="auto"/>
              <w:jc w:val="center"/>
              <w:rPr>
                <w:rFonts w:eastAsia="Times New Roman" w:cs="Times New Roman"/>
                <w:b/>
                <w:bCs/>
                <w:color w:val="000000"/>
                <w:sz w:val="18"/>
                <w:szCs w:val="18"/>
              </w:rPr>
            </w:pPr>
            <w:r w:rsidRPr="006D409D">
              <w:rPr>
                <w:rFonts w:eastAsia="Times New Roman" w:cs="Times New Roman"/>
                <w:b/>
                <w:bCs/>
                <w:color w:val="000000"/>
                <w:sz w:val="18"/>
                <w:szCs w:val="18"/>
              </w:rPr>
              <w:t>County</w:t>
            </w:r>
          </w:p>
        </w:tc>
      </w:tr>
      <w:tr w:rsidR="006D409D" w:rsidRPr="006D409D" w14:paraId="26CCEF6A" w14:textId="77777777" w:rsidTr="006D409D">
        <w:trPr>
          <w:trHeight w:val="500"/>
        </w:trPr>
        <w:tc>
          <w:tcPr>
            <w:tcW w:w="2365" w:type="dxa"/>
            <w:tcBorders>
              <w:top w:val="nil"/>
              <w:left w:val="nil"/>
              <w:bottom w:val="single" w:sz="8" w:space="0" w:color="auto"/>
              <w:right w:val="nil"/>
            </w:tcBorders>
            <w:shd w:val="clear" w:color="auto" w:fill="auto"/>
            <w:noWrap/>
            <w:vAlign w:val="bottom"/>
            <w:hideMark/>
          </w:tcPr>
          <w:p w14:paraId="75FEFE2F" w14:textId="77777777" w:rsidR="006D409D" w:rsidRPr="006D409D" w:rsidRDefault="006D409D" w:rsidP="006D409D">
            <w:pPr>
              <w:spacing w:line="240" w:lineRule="auto"/>
              <w:rPr>
                <w:rFonts w:eastAsia="Times New Roman" w:cs="Times New Roman"/>
                <w:b/>
                <w:bCs/>
                <w:color w:val="000000"/>
                <w:sz w:val="18"/>
                <w:szCs w:val="18"/>
              </w:rPr>
            </w:pPr>
            <w:r w:rsidRPr="006D409D">
              <w:rPr>
                <w:rFonts w:eastAsia="Times New Roman" w:cs="Times New Roman"/>
                <w:b/>
                <w:bCs/>
                <w:color w:val="000000"/>
                <w:sz w:val="18"/>
                <w:szCs w:val="18"/>
              </w:rPr>
              <w:t>Year</w:t>
            </w:r>
          </w:p>
        </w:tc>
        <w:tc>
          <w:tcPr>
            <w:tcW w:w="1429" w:type="dxa"/>
            <w:tcBorders>
              <w:top w:val="nil"/>
              <w:left w:val="nil"/>
              <w:bottom w:val="single" w:sz="8" w:space="0" w:color="auto"/>
              <w:right w:val="nil"/>
            </w:tcBorders>
            <w:shd w:val="clear" w:color="auto" w:fill="auto"/>
            <w:vAlign w:val="center"/>
            <w:hideMark/>
          </w:tcPr>
          <w:p w14:paraId="526A5360"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Unsheltered Homeless</w:t>
            </w:r>
          </w:p>
        </w:tc>
        <w:tc>
          <w:tcPr>
            <w:tcW w:w="1303" w:type="dxa"/>
            <w:tcBorders>
              <w:top w:val="nil"/>
              <w:left w:val="nil"/>
              <w:bottom w:val="single" w:sz="8" w:space="0" w:color="auto"/>
              <w:right w:val="nil"/>
            </w:tcBorders>
            <w:shd w:val="clear" w:color="auto" w:fill="auto"/>
            <w:vAlign w:val="center"/>
            <w:hideMark/>
          </w:tcPr>
          <w:p w14:paraId="540D5EEB"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Sheltered Homeless</w:t>
            </w:r>
          </w:p>
        </w:tc>
        <w:tc>
          <w:tcPr>
            <w:tcW w:w="1055" w:type="dxa"/>
            <w:tcBorders>
              <w:top w:val="nil"/>
              <w:left w:val="nil"/>
              <w:bottom w:val="single" w:sz="8" w:space="0" w:color="auto"/>
              <w:right w:val="nil"/>
            </w:tcBorders>
            <w:shd w:val="clear" w:color="auto" w:fill="auto"/>
            <w:vAlign w:val="bottom"/>
            <w:hideMark/>
          </w:tcPr>
          <w:p w14:paraId="1FFF3D6E"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Total</w:t>
            </w:r>
          </w:p>
        </w:tc>
        <w:tc>
          <w:tcPr>
            <w:tcW w:w="1429" w:type="dxa"/>
            <w:tcBorders>
              <w:top w:val="nil"/>
              <w:left w:val="nil"/>
              <w:bottom w:val="single" w:sz="8" w:space="0" w:color="auto"/>
              <w:right w:val="nil"/>
            </w:tcBorders>
            <w:shd w:val="clear" w:color="auto" w:fill="auto"/>
            <w:vAlign w:val="center"/>
            <w:hideMark/>
          </w:tcPr>
          <w:p w14:paraId="1DE4798F"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Unsheltered Homeless</w:t>
            </w:r>
          </w:p>
        </w:tc>
        <w:tc>
          <w:tcPr>
            <w:tcW w:w="1303" w:type="dxa"/>
            <w:tcBorders>
              <w:top w:val="nil"/>
              <w:left w:val="nil"/>
              <w:bottom w:val="single" w:sz="8" w:space="0" w:color="auto"/>
              <w:right w:val="nil"/>
            </w:tcBorders>
            <w:shd w:val="clear" w:color="auto" w:fill="auto"/>
            <w:vAlign w:val="center"/>
            <w:hideMark/>
          </w:tcPr>
          <w:p w14:paraId="61181932"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Sheltered Homeless</w:t>
            </w:r>
          </w:p>
        </w:tc>
        <w:tc>
          <w:tcPr>
            <w:tcW w:w="1076" w:type="dxa"/>
            <w:tcBorders>
              <w:top w:val="nil"/>
              <w:left w:val="nil"/>
              <w:bottom w:val="single" w:sz="8" w:space="0" w:color="auto"/>
              <w:right w:val="nil"/>
            </w:tcBorders>
            <w:shd w:val="clear" w:color="auto" w:fill="auto"/>
            <w:vAlign w:val="bottom"/>
            <w:hideMark/>
          </w:tcPr>
          <w:p w14:paraId="748B807B"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Total</w:t>
            </w:r>
          </w:p>
        </w:tc>
      </w:tr>
      <w:tr w:rsidR="006D409D" w:rsidRPr="006D409D" w14:paraId="09112B9F" w14:textId="77777777" w:rsidTr="006D409D">
        <w:trPr>
          <w:trHeight w:val="300"/>
        </w:trPr>
        <w:tc>
          <w:tcPr>
            <w:tcW w:w="2365" w:type="dxa"/>
            <w:tcBorders>
              <w:top w:val="single" w:sz="4" w:space="0" w:color="808080"/>
              <w:left w:val="nil"/>
              <w:bottom w:val="single" w:sz="4" w:space="0" w:color="808080"/>
              <w:right w:val="nil"/>
            </w:tcBorders>
            <w:shd w:val="clear" w:color="auto" w:fill="auto"/>
            <w:noWrap/>
            <w:vAlign w:val="bottom"/>
            <w:hideMark/>
          </w:tcPr>
          <w:p w14:paraId="1F096B62" w14:textId="77777777" w:rsidR="006D409D" w:rsidRPr="006D409D" w:rsidRDefault="006D409D" w:rsidP="006D409D">
            <w:pPr>
              <w:spacing w:line="240" w:lineRule="auto"/>
              <w:rPr>
                <w:rFonts w:eastAsia="Times New Roman" w:cs="Times New Roman"/>
                <w:color w:val="000000"/>
                <w:sz w:val="18"/>
                <w:szCs w:val="18"/>
              </w:rPr>
            </w:pPr>
            <w:r w:rsidRPr="006D409D">
              <w:rPr>
                <w:rFonts w:eastAsia="Times New Roman" w:cs="Times New Roman"/>
                <w:color w:val="000000"/>
                <w:sz w:val="18"/>
                <w:szCs w:val="18"/>
              </w:rPr>
              <w:t>2009</w:t>
            </w:r>
          </w:p>
        </w:tc>
        <w:tc>
          <w:tcPr>
            <w:tcW w:w="1429" w:type="dxa"/>
            <w:tcBorders>
              <w:top w:val="nil"/>
              <w:left w:val="nil"/>
              <w:bottom w:val="single" w:sz="4" w:space="0" w:color="808080"/>
              <w:right w:val="nil"/>
            </w:tcBorders>
            <w:shd w:val="clear" w:color="auto" w:fill="auto"/>
            <w:noWrap/>
            <w:vAlign w:val="bottom"/>
            <w:hideMark/>
          </w:tcPr>
          <w:p w14:paraId="47695915"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303" w:type="dxa"/>
            <w:tcBorders>
              <w:top w:val="nil"/>
              <w:left w:val="nil"/>
              <w:bottom w:val="single" w:sz="4" w:space="0" w:color="808080"/>
              <w:right w:val="nil"/>
            </w:tcBorders>
            <w:shd w:val="clear" w:color="auto" w:fill="auto"/>
            <w:noWrap/>
            <w:vAlign w:val="bottom"/>
            <w:hideMark/>
          </w:tcPr>
          <w:p w14:paraId="2F8B433C"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055" w:type="dxa"/>
            <w:tcBorders>
              <w:top w:val="nil"/>
              <w:left w:val="nil"/>
              <w:bottom w:val="single" w:sz="4" w:space="0" w:color="808080"/>
              <w:right w:val="nil"/>
            </w:tcBorders>
            <w:shd w:val="clear" w:color="auto" w:fill="auto"/>
            <w:noWrap/>
            <w:vAlign w:val="bottom"/>
            <w:hideMark/>
          </w:tcPr>
          <w:p w14:paraId="0C9F2F04"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429" w:type="dxa"/>
            <w:tcBorders>
              <w:top w:val="nil"/>
              <w:left w:val="nil"/>
              <w:bottom w:val="single" w:sz="4" w:space="0" w:color="808080"/>
              <w:right w:val="nil"/>
            </w:tcBorders>
            <w:shd w:val="clear" w:color="auto" w:fill="auto"/>
            <w:noWrap/>
            <w:vAlign w:val="bottom"/>
            <w:hideMark/>
          </w:tcPr>
          <w:p w14:paraId="51DB543D"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803</w:t>
            </w:r>
          </w:p>
        </w:tc>
        <w:tc>
          <w:tcPr>
            <w:tcW w:w="1303" w:type="dxa"/>
            <w:tcBorders>
              <w:top w:val="nil"/>
              <w:left w:val="nil"/>
              <w:bottom w:val="single" w:sz="4" w:space="0" w:color="808080"/>
              <w:right w:val="nil"/>
            </w:tcBorders>
            <w:shd w:val="clear" w:color="auto" w:fill="auto"/>
            <w:noWrap/>
            <w:vAlign w:val="bottom"/>
            <w:hideMark/>
          </w:tcPr>
          <w:p w14:paraId="663B934E"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993</w:t>
            </w:r>
          </w:p>
        </w:tc>
        <w:tc>
          <w:tcPr>
            <w:tcW w:w="1076" w:type="dxa"/>
            <w:tcBorders>
              <w:top w:val="nil"/>
              <w:left w:val="nil"/>
              <w:bottom w:val="single" w:sz="4" w:space="0" w:color="808080"/>
              <w:right w:val="nil"/>
            </w:tcBorders>
            <w:shd w:val="clear" w:color="auto" w:fill="auto"/>
            <w:noWrap/>
            <w:vAlign w:val="bottom"/>
            <w:hideMark/>
          </w:tcPr>
          <w:p w14:paraId="168F0DCD"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1,796</w:t>
            </w:r>
          </w:p>
        </w:tc>
      </w:tr>
      <w:tr w:rsidR="006D409D" w:rsidRPr="006D409D" w14:paraId="67937311" w14:textId="77777777" w:rsidTr="006D409D">
        <w:trPr>
          <w:trHeight w:val="300"/>
        </w:trPr>
        <w:tc>
          <w:tcPr>
            <w:tcW w:w="2365" w:type="dxa"/>
            <w:tcBorders>
              <w:top w:val="nil"/>
              <w:left w:val="nil"/>
              <w:bottom w:val="single" w:sz="4" w:space="0" w:color="808080"/>
              <w:right w:val="nil"/>
            </w:tcBorders>
            <w:shd w:val="clear" w:color="auto" w:fill="auto"/>
            <w:noWrap/>
            <w:vAlign w:val="bottom"/>
            <w:hideMark/>
          </w:tcPr>
          <w:p w14:paraId="72C32470" w14:textId="77777777" w:rsidR="006D409D" w:rsidRPr="006D409D" w:rsidRDefault="006D409D" w:rsidP="006D409D">
            <w:pPr>
              <w:spacing w:line="240" w:lineRule="auto"/>
              <w:rPr>
                <w:rFonts w:eastAsia="Times New Roman" w:cs="Times New Roman"/>
                <w:color w:val="000000"/>
                <w:sz w:val="18"/>
                <w:szCs w:val="18"/>
              </w:rPr>
            </w:pPr>
            <w:r w:rsidRPr="006D409D">
              <w:rPr>
                <w:rFonts w:eastAsia="Times New Roman" w:cs="Times New Roman"/>
                <w:color w:val="000000"/>
                <w:sz w:val="18"/>
                <w:szCs w:val="18"/>
              </w:rPr>
              <w:t>2011</w:t>
            </w:r>
          </w:p>
        </w:tc>
        <w:tc>
          <w:tcPr>
            <w:tcW w:w="1429" w:type="dxa"/>
            <w:tcBorders>
              <w:top w:val="nil"/>
              <w:left w:val="nil"/>
              <w:bottom w:val="single" w:sz="4" w:space="0" w:color="808080"/>
              <w:right w:val="nil"/>
            </w:tcBorders>
            <w:shd w:val="clear" w:color="auto" w:fill="auto"/>
            <w:noWrap/>
            <w:vAlign w:val="bottom"/>
            <w:hideMark/>
          </w:tcPr>
          <w:p w14:paraId="4359C6F0"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303" w:type="dxa"/>
            <w:tcBorders>
              <w:top w:val="nil"/>
              <w:left w:val="nil"/>
              <w:bottom w:val="single" w:sz="4" w:space="0" w:color="808080"/>
              <w:right w:val="nil"/>
            </w:tcBorders>
            <w:shd w:val="clear" w:color="auto" w:fill="auto"/>
            <w:noWrap/>
            <w:vAlign w:val="bottom"/>
            <w:hideMark/>
          </w:tcPr>
          <w:p w14:paraId="6631AE8A"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055" w:type="dxa"/>
            <w:tcBorders>
              <w:top w:val="nil"/>
              <w:left w:val="nil"/>
              <w:bottom w:val="single" w:sz="4" w:space="0" w:color="808080"/>
              <w:right w:val="nil"/>
            </w:tcBorders>
            <w:shd w:val="clear" w:color="auto" w:fill="auto"/>
            <w:noWrap/>
            <w:vAlign w:val="bottom"/>
            <w:hideMark/>
          </w:tcPr>
          <w:p w14:paraId="1B01DDAB"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429" w:type="dxa"/>
            <w:tcBorders>
              <w:top w:val="nil"/>
              <w:left w:val="nil"/>
              <w:bottom w:val="single" w:sz="4" w:space="0" w:color="808080"/>
              <w:right w:val="nil"/>
            </w:tcBorders>
            <w:shd w:val="clear" w:color="auto" w:fill="auto"/>
            <w:noWrap/>
            <w:vAlign w:val="bottom"/>
            <w:hideMark/>
          </w:tcPr>
          <w:p w14:paraId="31A1B46D"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1,162</w:t>
            </w:r>
          </w:p>
        </w:tc>
        <w:tc>
          <w:tcPr>
            <w:tcW w:w="1303" w:type="dxa"/>
            <w:tcBorders>
              <w:top w:val="nil"/>
              <w:left w:val="nil"/>
              <w:bottom w:val="single" w:sz="4" w:space="0" w:color="808080"/>
              <w:right w:val="nil"/>
            </w:tcBorders>
            <w:shd w:val="clear" w:color="auto" w:fill="auto"/>
            <w:noWrap/>
            <w:vAlign w:val="bottom"/>
            <w:hideMark/>
          </w:tcPr>
          <w:p w14:paraId="23938221"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987</w:t>
            </w:r>
          </w:p>
        </w:tc>
        <w:tc>
          <w:tcPr>
            <w:tcW w:w="1076" w:type="dxa"/>
            <w:tcBorders>
              <w:top w:val="nil"/>
              <w:left w:val="nil"/>
              <w:bottom w:val="single" w:sz="4" w:space="0" w:color="808080"/>
              <w:right w:val="nil"/>
            </w:tcBorders>
            <w:shd w:val="clear" w:color="auto" w:fill="auto"/>
            <w:noWrap/>
            <w:vAlign w:val="bottom"/>
            <w:hideMark/>
          </w:tcPr>
          <w:p w14:paraId="6CF3FF3B"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2,149</w:t>
            </w:r>
          </w:p>
        </w:tc>
      </w:tr>
      <w:tr w:rsidR="006D409D" w:rsidRPr="006D409D" w14:paraId="5A681D33" w14:textId="77777777" w:rsidTr="006D409D">
        <w:trPr>
          <w:trHeight w:val="300"/>
        </w:trPr>
        <w:tc>
          <w:tcPr>
            <w:tcW w:w="2365" w:type="dxa"/>
            <w:tcBorders>
              <w:top w:val="nil"/>
              <w:left w:val="nil"/>
              <w:bottom w:val="single" w:sz="4" w:space="0" w:color="auto"/>
              <w:right w:val="nil"/>
            </w:tcBorders>
            <w:shd w:val="clear" w:color="auto" w:fill="auto"/>
            <w:noWrap/>
            <w:vAlign w:val="bottom"/>
            <w:hideMark/>
          </w:tcPr>
          <w:p w14:paraId="1EB23E1A" w14:textId="77777777" w:rsidR="006D409D" w:rsidRPr="006D409D" w:rsidRDefault="006D409D" w:rsidP="006D409D">
            <w:pPr>
              <w:spacing w:line="240" w:lineRule="auto"/>
              <w:rPr>
                <w:rFonts w:eastAsia="Times New Roman" w:cs="Times New Roman"/>
                <w:color w:val="000000"/>
                <w:sz w:val="18"/>
                <w:szCs w:val="18"/>
              </w:rPr>
            </w:pPr>
            <w:r w:rsidRPr="006D409D">
              <w:rPr>
                <w:rFonts w:eastAsia="Times New Roman" w:cs="Times New Roman"/>
                <w:color w:val="000000"/>
                <w:sz w:val="18"/>
                <w:szCs w:val="18"/>
              </w:rPr>
              <w:t>2013</w:t>
            </w:r>
          </w:p>
        </w:tc>
        <w:tc>
          <w:tcPr>
            <w:tcW w:w="1429" w:type="dxa"/>
            <w:tcBorders>
              <w:top w:val="nil"/>
              <w:left w:val="nil"/>
              <w:bottom w:val="single" w:sz="4" w:space="0" w:color="auto"/>
              <w:right w:val="nil"/>
            </w:tcBorders>
            <w:shd w:val="clear" w:color="auto" w:fill="auto"/>
            <w:noWrap/>
            <w:vAlign w:val="bottom"/>
            <w:hideMark/>
          </w:tcPr>
          <w:p w14:paraId="370526A4"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303" w:type="dxa"/>
            <w:tcBorders>
              <w:top w:val="nil"/>
              <w:left w:val="nil"/>
              <w:bottom w:val="single" w:sz="4" w:space="0" w:color="auto"/>
              <w:right w:val="nil"/>
            </w:tcBorders>
            <w:shd w:val="clear" w:color="auto" w:fill="auto"/>
            <w:noWrap/>
            <w:vAlign w:val="bottom"/>
            <w:hideMark/>
          </w:tcPr>
          <w:p w14:paraId="5BA82816"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055" w:type="dxa"/>
            <w:tcBorders>
              <w:top w:val="nil"/>
              <w:left w:val="nil"/>
              <w:bottom w:val="single" w:sz="4" w:space="0" w:color="auto"/>
              <w:right w:val="nil"/>
            </w:tcBorders>
            <w:shd w:val="clear" w:color="auto" w:fill="auto"/>
            <w:noWrap/>
            <w:vAlign w:val="bottom"/>
            <w:hideMark/>
          </w:tcPr>
          <w:p w14:paraId="5D16AAE8"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429" w:type="dxa"/>
            <w:tcBorders>
              <w:top w:val="nil"/>
              <w:left w:val="nil"/>
              <w:bottom w:val="single" w:sz="4" w:space="0" w:color="auto"/>
              <w:right w:val="nil"/>
            </w:tcBorders>
            <w:shd w:val="clear" w:color="auto" w:fill="auto"/>
            <w:noWrap/>
            <w:vAlign w:val="bottom"/>
            <w:hideMark/>
          </w:tcPr>
          <w:p w14:paraId="49A77B18"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1,299</w:t>
            </w:r>
          </w:p>
        </w:tc>
        <w:tc>
          <w:tcPr>
            <w:tcW w:w="1303" w:type="dxa"/>
            <w:tcBorders>
              <w:top w:val="nil"/>
              <w:left w:val="nil"/>
              <w:bottom w:val="single" w:sz="4" w:space="0" w:color="auto"/>
              <w:right w:val="nil"/>
            </w:tcBorders>
            <w:shd w:val="clear" w:color="auto" w:fill="auto"/>
            <w:noWrap/>
            <w:vAlign w:val="bottom"/>
            <w:hideMark/>
          </w:tcPr>
          <w:p w14:paraId="392A2861"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982</w:t>
            </w:r>
          </w:p>
        </w:tc>
        <w:tc>
          <w:tcPr>
            <w:tcW w:w="1076" w:type="dxa"/>
            <w:tcBorders>
              <w:top w:val="nil"/>
              <w:left w:val="nil"/>
              <w:bottom w:val="single" w:sz="4" w:space="0" w:color="auto"/>
              <w:right w:val="nil"/>
            </w:tcBorders>
            <w:shd w:val="clear" w:color="auto" w:fill="auto"/>
            <w:noWrap/>
            <w:vAlign w:val="bottom"/>
            <w:hideMark/>
          </w:tcPr>
          <w:p w14:paraId="215BD0DB"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2,281</w:t>
            </w:r>
          </w:p>
        </w:tc>
      </w:tr>
      <w:tr w:rsidR="006D409D" w:rsidRPr="006D409D" w14:paraId="688F466A" w14:textId="77777777" w:rsidTr="006D409D">
        <w:trPr>
          <w:trHeight w:val="300"/>
        </w:trPr>
        <w:tc>
          <w:tcPr>
            <w:tcW w:w="2365" w:type="dxa"/>
            <w:tcBorders>
              <w:top w:val="nil"/>
              <w:left w:val="nil"/>
              <w:bottom w:val="single" w:sz="4" w:space="0" w:color="808080"/>
              <w:right w:val="nil"/>
            </w:tcBorders>
            <w:shd w:val="clear" w:color="auto" w:fill="auto"/>
            <w:noWrap/>
            <w:vAlign w:val="bottom"/>
            <w:hideMark/>
          </w:tcPr>
          <w:p w14:paraId="67351DD8" w14:textId="77777777" w:rsidR="006D409D" w:rsidRPr="006D409D" w:rsidRDefault="006D409D" w:rsidP="006D409D">
            <w:pPr>
              <w:spacing w:line="240" w:lineRule="auto"/>
              <w:rPr>
                <w:rFonts w:eastAsia="Times New Roman" w:cs="Times New Roman"/>
                <w:color w:val="000000"/>
                <w:sz w:val="18"/>
                <w:szCs w:val="18"/>
              </w:rPr>
            </w:pPr>
            <w:r w:rsidRPr="006D409D">
              <w:rPr>
                <w:rFonts w:eastAsia="Times New Roman" w:cs="Times New Roman"/>
                <w:color w:val="000000"/>
                <w:sz w:val="18"/>
                <w:szCs w:val="18"/>
              </w:rPr>
              <w:t>2009 - 2013 Change</w:t>
            </w:r>
          </w:p>
        </w:tc>
        <w:tc>
          <w:tcPr>
            <w:tcW w:w="1429" w:type="dxa"/>
            <w:tcBorders>
              <w:top w:val="nil"/>
              <w:left w:val="nil"/>
              <w:bottom w:val="single" w:sz="4" w:space="0" w:color="808080"/>
              <w:right w:val="nil"/>
            </w:tcBorders>
            <w:shd w:val="clear" w:color="auto" w:fill="auto"/>
            <w:noWrap/>
            <w:vAlign w:val="bottom"/>
            <w:hideMark/>
          </w:tcPr>
          <w:p w14:paraId="7BC6CC05"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303" w:type="dxa"/>
            <w:tcBorders>
              <w:top w:val="nil"/>
              <w:left w:val="nil"/>
              <w:bottom w:val="single" w:sz="4" w:space="0" w:color="808080"/>
              <w:right w:val="nil"/>
            </w:tcBorders>
            <w:shd w:val="clear" w:color="auto" w:fill="auto"/>
            <w:noWrap/>
            <w:vAlign w:val="bottom"/>
            <w:hideMark/>
          </w:tcPr>
          <w:p w14:paraId="148DD2E1"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055" w:type="dxa"/>
            <w:tcBorders>
              <w:top w:val="nil"/>
              <w:left w:val="nil"/>
              <w:bottom w:val="single" w:sz="4" w:space="0" w:color="808080"/>
              <w:right w:val="nil"/>
            </w:tcBorders>
            <w:shd w:val="clear" w:color="auto" w:fill="auto"/>
            <w:noWrap/>
            <w:vAlign w:val="bottom"/>
            <w:hideMark/>
          </w:tcPr>
          <w:p w14:paraId="1FDFCD58"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429" w:type="dxa"/>
            <w:tcBorders>
              <w:top w:val="nil"/>
              <w:left w:val="nil"/>
              <w:bottom w:val="single" w:sz="4" w:space="0" w:color="808080"/>
              <w:right w:val="nil"/>
            </w:tcBorders>
            <w:shd w:val="clear" w:color="auto" w:fill="auto"/>
            <w:noWrap/>
            <w:vAlign w:val="bottom"/>
            <w:hideMark/>
          </w:tcPr>
          <w:p w14:paraId="67D56702"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205</w:t>
            </w:r>
          </w:p>
        </w:tc>
        <w:tc>
          <w:tcPr>
            <w:tcW w:w="1303" w:type="dxa"/>
            <w:tcBorders>
              <w:top w:val="nil"/>
              <w:left w:val="nil"/>
              <w:bottom w:val="single" w:sz="4" w:space="0" w:color="808080"/>
              <w:right w:val="nil"/>
            </w:tcBorders>
            <w:shd w:val="clear" w:color="auto" w:fill="auto"/>
            <w:noWrap/>
            <w:vAlign w:val="bottom"/>
            <w:hideMark/>
          </w:tcPr>
          <w:p w14:paraId="00DDA0DB"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12</w:t>
            </w:r>
          </w:p>
        </w:tc>
        <w:tc>
          <w:tcPr>
            <w:tcW w:w="1076" w:type="dxa"/>
            <w:tcBorders>
              <w:top w:val="nil"/>
              <w:left w:val="nil"/>
              <w:bottom w:val="single" w:sz="4" w:space="0" w:color="808080"/>
              <w:right w:val="nil"/>
            </w:tcBorders>
            <w:shd w:val="clear" w:color="auto" w:fill="auto"/>
            <w:noWrap/>
            <w:vAlign w:val="bottom"/>
            <w:hideMark/>
          </w:tcPr>
          <w:p w14:paraId="51709EF7"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217</w:t>
            </w:r>
          </w:p>
        </w:tc>
      </w:tr>
      <w:tr w:rsidR="006D409D" w:rsidRPr="006D409D" w14:paraId="38CB24FC" w14:textId="77777777" w:rsidTr="006D409D">
        <w:trPr>
          <w:trHeight w:val="300"/>
        </w:trPr>
        <w:tc>
          <w:tcPr>
            <w:tcW w:w="2365" w:type="dxa"/>
            <w:tcBorders>
              <w:top w:val="nil"/>
              <w:left w:val="nil"/>
              <w:bottom w:val="single" w:sz="4" w:space="0" w:color="auto"/>
              <w:right w:val="nil"/>
            </w:tcBorders>
            <w:shd w:val="clear" w:color="auto" w:fill="auto"/>
            <w:noWrap/>
            <w:vAlign w:val="bottom"/>
            <w:hideMark/>
          </w:tcPr>
          <w:p w14:paraId="5B8D5042" w14:textId="77777777" w:rsidR="006D409D" w:rsidRPr="006D409D" w:rsidRDefault="006D409D" w:rsidP="006D409D">
            <w:pPr>
              <w:spacing w:line="240" w:lineRule="auto"/>
              <w:rPr>
                <w:rFonts w:eastAsia="Times New Roman" w:cs="Times New Roman"/>
                <w:color w:val="000000"/>
                <w:sz w:val="18"/>
                <w:szCs w:val="18"/>
              </w:rPr>
            </w:pPr>
            <w:r w:rsidRPr="006D409D">
              <w:rPr>
                <w:rFonts w:eastAsia="Times New Roman" w:cs="Times New Roman"/>
                <w:color w:val="000000"/>
                <w:sz w:val="18"/>
                <w:szCs w:val="18"/>
              </w:rPr>
              <w:t>2009 - 2013 % Change</w:t>
            </w:r>
          </w:p>
        </w:tc>
        <w:tc>
          <w:tcPr>
            <w:tcW w:w="1429" w:type="dxa"/>
            <w:tcBorders>
              <w:top w:val="nil"/>
              <w:left w:val="nil"/>
              <w:bottom w:val="single" w:sz="4" w:space="0" w:color="auto"/>
              <w:right w:val="nil"/>
            </w:tcBorders>
            <w:shd w:val="clear" w:color="auto" w:fill="auto"/>
            <w:noWrap/>
            <w:vAlign w:val="bottom"/>
            <w:hideMark/>
          </w:tcPr>
          <w:p w14:paraId="574CE890"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303" w:type="dxa"/>
            <w:tcBorders>
              <w:top w:val="nil"/>
              <w:left w:val="nil"/>
              <w:bottom w:val="single" w:sz="4" w:space="0" w:color="auto"/>
              <w:right w:val="nil"/>
            </w:tcBorders>
            <w:shd w:val="clear" w:color="auto" w:fill="auto"/>
            <w:noWrap/>
            <w:vAlign w:val="bottom"/>
            <w:hideMark/>
          </w:tcPr>
          <w:p w14:paraId="3C82CE6E"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055" w:type="dxa"/>
            <w:tcBorders>
              <w:top w:val="nil"/>
              <w:left w:val="nil"/>
              <w:bottom w:val="single" w:sz="4" w:space="0" w:color="auto"/>
              <w:right w:val="nil"/>
            </w:tcBorders>
            <w:shd w:val="clear" w:color="auto" w:fill="auto"/>
            <w:noWrap/>
            <w:vAlign w:val="bottom"/>
            <w:hideMark/>
          </w:tcPr>
          <w:p w14:paraId="01361DF1"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0%</w:t>
            </w:r>
          </w:p>
        </w:tc>
        <w:tc>
          <w:tcPr>
            <w:tcW w:w="1429" w:type="dxa"/>
            <w:tcBorders>
              <w:top w:val="nil"/>
              <w:left w:val="nil"/>
              <w:bottom w:val="single" w:sz="4" w:space="0" w:color="auto"/>
              <w:right w:val="nil"/>
            </w:tcBorders>
            <w:shd w:val="clear" w:color="auto" w:fill="auto"/>
            <w:noWrap/>
            <w:vAlign w:val="bottom"/>
            <w:hideMark/>
          </w:tcPr>
          <w:p w14:paraId="14276113"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+19%</w:t>
            </w:r>
          </w:p>
        </w:tc>
        <w:tc>
          <w:tcPr>
            <w:tcW w:w="1303" w:type="dxa"/>
            <w:tcBorders>
              <w:top w:val="nil"/>
              <w:left w:val="nil"/>
              <w:bottom w:val="single" w:sz="4" w:space="0" w:color="auto"/>
              <w:right w:val="nil"/>
            </w:tcBorders>
            <w:shd w:val="clear" w:color="auto" w:fill="auto"/>
            <w:noWrap/>
            <w:vAlign w:val="bottom"/>
            <w:hideMark/>
          </w:tcPr>
          <w:p w14:paraId="45C3C40F"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+1%</w:t>
            </w:r>
          </w:p>
        </w:tc>
        <w:tc>
          <w:tcPr>
            <w:tcW w:w="1076" w:type="dxa"/>
            <w:tcBorders>
              <w:top w:val="nil"/>
              <w:left w:val="nil"/>
              <w:bottom w:val="single" w:sz="4" w:space="0" w:color="auto"/>
              <w:right w:val="nil"/>
            </w:tcBorders>
            <w:shd w:val="clear" w:color="auto" w:fill="auto"/>
            <w:noWrap/>
            <w:vAlign w:val="bottom"/>
            <w:hideMark/>
          </w:tcPr>
          <w:p w14:paraId="02455499" w14:textId="77777777" w:rsidR="006D409D" w:rsidRPr="006D409D" w:rsidRDefault="006D409D" w:rsidP="006D409D">
            <w:pPr>
              <w:spacing w:line="240" w:lineRule="auto"/>
              <w:jc w:val="right"/>
              <w:rPr>
                <w:rFonts w:eastAsia="Times New Roman" w:cs="Times New Roman"/>
                <w:color w:val="000000"/>
                <w:sz w:val="18"/>
                <w:szCs w:val="18"/>
              </w:rPr>
            </w:pPr>
            <w:r w:rsidRPr="006D409D">
              <w:rPr>
                <w:rFonts w:eastAsia="Times New Roman" w:cs="Times New Roman"/>
                <w:color w:val="000000"/>
                <w:sz w:val="18"/>
                <w:szCs w:val="18"/>
              </w:rPr>
              <w:t>+11%</w:t>
            </w:r>
          </w:p>
        </w:tc>
      </w:tr>
      <w:tr w:rsidR="006D409D" w:rsidRPr="006D409D" w14:paraId="6A9B65C3" w14:textId="77777777" w:rsidTr="006D409D">
        <w:trPr>
          <w:trHeight w:val="540"/>
        </w:trPr>
        <w:tc>
          <w:tcPr>
            <w:tcW w:w="9960" w:type="dxa"/>
            <w:gridSpan w:val="7"/>
            <w:tcBorders>
              <w:top w:val="single" w:sz="4" w:space="0" w:color="auto"/>
              <w:left w:val="nil"/>
              <w:bottom w:val="nil"/>
              <w:right w:val="nil"/>
            </w:tcBorders>
            <w:shd w:val="clear" w:color="auto" w:fill="auto"/>
            <w:vAlign w:val="bottom"/>
            <w:hideMark/>
          </w:tcPr>
          <w:p w14:paraId="6456A240" w14:textId="77777777" w:rsidR="006D409D" w:rsidRPr="006D409D" w:rsidRDefault="006D409D" w:rsidP="006D409D">
            <w:pPr>
              <w:spacing w:line="240" w:lineRule="auto"/>
              <w:rPr>
                <w:rFonts w:eastAsia="Times New Roman" w:cs="Times New Roman"/>
                <w:i/>
                <w:iCs/>
                <w:sz w:val="16"/>
                <w:szCs w:val="16"/>
              </w:rPr>
            </w:pPr>
            <w:r w:rsidRPr="006D409D">
              <w:rPr>
                <w:rFonts w:eastAsia="Times New Roman" w:cs="Times New Roman"/>
                <w:i/>
                <w:iCs/>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19917249" w14:textId="6216E419" w:rsidR="00052ED4" w:rsidRDefault="00052ED4" w:rsidP="004F4CC5">
      <w:pPr>
        <w:spacing w:line="240" w:lineRule="auto"/>
      </w:pPr>
    </w:p>
    <w:tbl>
      <w:tblPr>
        <w:tblW w:w="7616" w:type="dxa"/>
        <w:tblInd w:w="93" w:type="dxa"/>
        <w:tblLayout w:type="fixed"/>
        <w:tblLook w:val="04A0" w:firstRow="1" w:lastRow="0" w:firstColumn="1" w:lastColumn="0" w:noHBand="0" w:noVBand="1"/>
      </w:tblPr>
      <w:tblGrid>
        <w:gridCol w:w="3615"/>
        <w:gridCol w:w="2111"/>
        <w:gridCol w:w="1546"/>
        <w:gridCol w:w="344"/>
      </w:tblGrid>
      <w:tr w:rsidR="00052ED4" w:rsidRPr="0046564E" w14:paraId="664070C2" w14:textId="77777777" w:rsidTr="001C0A99">
        <w:trPr>
          <w:trHeight w:val="300"/>
        </w:trPr>
        <w:tc>
          <w:tcPr>
            <w:tcW w:w="7616" w:type="dxa"/>
            <w:gridSpan w:val="4"/>
            <w:tcBorders>
              <w:top w:val="nil"/>
              <w:left w:val="nil"/>
              <w:bottom w:val="nil"/>
              <w:right w:val="nil"/>
            </w:tcBorders>
            <w:shd w:val="clear" w:color="000000" w:fill="000000"/>
            <w:noWrap/>
            <w:vAlign w:val="bottom"/>
            <w:hideMark/>
          </w:tcPr>
          <w:p w14:paraId="4E3F1CCB" w14:textId="77777777" w:rsidR="00052ED4" w:rsidRPr="0046564E" w:rsidRDefault="00052ED4" w:rsidP="001C0A99">
            <w:pPr>
              <w:rPr>
                <w:rFonts w:eastAsia="Times New Roman" w:cs="Times New Roman"/>
                <w:b/>
                <w:bCs/>
                <w:color w:val="FFFFFF"/>
                <w:sz w:val="20"/>
                <w:szCs w:val="20"/>
              </w:rPr>
            </w:pPr>
            <w:r w:rsidRPr="0046564E">
              <w:rPr>
                <w:rFonts w:eastAsia="Times New Roman" w:cs="Times New Roman"/>
                <w:b/>
                <w:bCs/>
                <w:color w:val="FFFFFF"/>
                <w:sz w:val="20"/>
                <w:szCs w:val="20"/>
              </w:rPr>
              <w:t xml:space="preserve">Demographics of </w:t>
            </w:r>
            <w:r>
              <w:rPr>
                <w:rFonts w:eastAsia="Times New Roman" w:cs="Times New Roman"/>
                <w:b/>
                <w:bCs/>
                <w:color w:val="FFFFFF"/>
                <w:sz w:val="20"/>
                <w:szCs w:val="20"/>
              </w:rPr>
              <w:t xml:space="preserve">the </w:t>
            </w:r>
            <w:r w:rsidRPr="0046564E">
              <w:rPr>
                <w:rFonts w:eastAsia="Times New Roman" w:cs="Times New Roman"/>
                <w:b/>
                <w:bCs/>
                <w:color w:val="FFFFFF"/>
                <w:sz w:val="20"/>
                <w:szCs w:val="20"/>
              </w:rPr>
              <w:t>Homeless Population</w:t>
            </w:r>
            <w:r>
              <w:rPr>
                <w:rFonts w:eastAsia="Times New Roman" w:cs="Times New Roman"/>
                <w:b/>
                <w:bCs/>
                <w:color w:val="FFFFFF"/>
                <w:sz w:val="20"/>
                <w:szCs w:val="20"/>
              </w:rPr>
              <w:t xml:space="preserve"> in San Mateo County</w:t>
            </w:r>
            <w:r w:rsidRPr="0046564E">
              <w:rPr>
                <w:rFonts w:eastAsia="Times New Roman" w:cs="Times New Roman"/>
                <w:b/>
                <w:bCs/>
                <w:color w:val="FFFFFF"/>
                <w:sz w:val="20"/>
                <w:szCs w:val="20"/>
              </w:rPr>
              <w:t xml:space="preserve"> </w:t>
            </w:r>
            <w:r>
              <w:rPr>
                <w:rFonts w:eastAsia="Times New Roman" w:cs="Times New Roman"/>
                <w:b/>
                <w:bCs/>
                <w:color w:val="FFFFFF"/>
                <w:sz w:val="20"/>
                <w:szCs w:val="20"/>
              </w:rPr>
              <w:t xml:space="preserve"> (2013)</w:t>
            </w:r>
          </w:p>
        </w:tc>
      </w:tr>
      <w:tr w:rsidR="00052ED4" w:rsidRPr="0046564E" w14:paraId="07FE64E8" w14:textId="77777777" w:rsidTr="001C0A99">
        <w:trPr>
          <w:trHeight w:val="300"/>
        </w:trPr>
        <w:tc>
          <w:tcPr>
            <w:tcW w:w="3615" w:type="dxa"/>
            <w:tcBorders>
              <w:top w:val="nil"/>
              <w:left w:val="nil"/>
              <w:bottom w:val="nil"/>
              <w:right w:val="nil"/>
            </w:tcBorders>
            <w:shd w:val="clear" w:color="auto" w:fill="auto"/>
            <w:noWrap/>
            <w:vAlign w:val="bottom"/>
            <w:hideMark/>
          </w:tcPr>
          <w:p w14:paraId="5132BA96" w14:textId="77777777" w:rsidR="00052ED4" w:rsidRPr="0046564E" w:rsidRDefault="00052ED4" w:rsidP="001C0A99">
            <w:pPr>
              <w:spacing w:line="240" w:lineRule="auto"/>
              <w:rPr>
                <w:rFonts w:eastAsia="Times New Roman" w:cs="Times New Roman"/>
                <w:b/>
                <w:bCs/>
                <w:color w:val="FFFFFF"/>
                <w:sz w:val="20"/>
                <w:szCs w:val="20"/>
              </w:rPr>
            </w:pPr>
          </w:p>
        </w:tc>
        <w:tc>
          <w:tcPr>
            <w:tcW w:w="4001" w:type="dxa"/>
            <w:gridSpan w:val="3"/>
            <w:tcBorders>
              <w:top w:val="nil"/>
              <w:left w:val="nil"/>
              <w:bottom w:val="nil"/>
              <w:right w:val="nil"/>
            </w:tcBorders>
            <w:shd w:val="clear" w:color="auto" w:fill="auto"/>
            <w:noWrap/>
            <w:vAlign w:val="bottom"/>
            <w:hideMark/>
          </w:tcPr>
          <w:p w14:paraId="222CECDA" w14:textId="77777777" w:rsidR="00052ED4" w:rsidRDefault="00052ED4" w:rsidP="001C0A99">
            <w:pPr>
              <w:spacing w:line="240" w:lineRule="auto"/>
              <w:ind w:left="473" w:hanging="473"/>
              <w:jc w:val="center"/>
              <w:rPr>
                <w:rFonts w:eastAsia="Times New Roman" w:cs="Times New Roman"/>
                <w:b/>
                <w:bCs/>
                <w:sz w:val="18"/>
                <w:szCs w:val="18"/>
              </w:rPr>
            </w:pPr>
          </w:p>
          <w:p w14:paraId="3087314D" w14:textId="77777777" w:rsidR="00052ED4" w:rsidRDefault="00052ED4" w:rsidP="001C0A99">
            <w:pPr>
              <w:spacing w:line="240" w:lineRule="auto"/>
              <w:ind w:left="473" w:right="-1057" w:hanging="473"/>
              <w:jc w:val="center"/>
              <w:rPr>
                <w:rFonts w:eastAsia="Times New Roman" w:cs="Times New Roman"/>
                <w:b/>
                <w:bCs/>
                <w:sz w:val="18"/>
                <w:szCs w:val="18"/>
              </w:rPr>
            </w:pPr>
            <w:r>
              <w:rPr>
                <w:rFonts w:eastAsia="Times New Roman" w:cs="Times New Roman"/>
                <w:b/>
                <w:bCs/>
                <w:sz w:val="18"/>
                <w:szCs w:val="18"/>
              </w:rPr>
              <w:t xml:space="preserve">San Mateo </w:t>
            </w:r>
            <w:r w:rsidRPr="0046564E">
              <w:rPr>
                <w:rFonts w:eastAsia="Times New Roman" w:cs="Times New Roman"/>
                <w:b/>
                <w:bCs/>
                <w:sz w:val="18"/>
                <w:szCs w:val="18"/>
              </w:rPr>
              <w:t>County</w:t>
            </w:r>
            <w:r>
              <w:rPr>
                <w:rFonts w:eastAsia="Times New Roman" w:cs="Times New Roman"/>
                <w:b/>
                <w:bCs/>
                <w:sz w:val="18"/>
                <w:szCs w:val="18"/>
              </w:rPr>
              <w:t xml:space="preserve"> 2013</w:t>
            </w:r>
          </w:p>
          <w:p w14:paraId="4D7B2319" w14:textId="77777777" w:rsidR="00052ED4" w:rsidRPr="0046564E" w:rsidRDefault="00052ED4" w:rsidP="001C0A99">
            <w:pPr>
              <w:spacing w:line="240" w:lineRule="auto"/>
              <w:ind w:left="473" w:right="-1057" w:hanging="473"/>
              <w:jc w:val="center"/>
              <w:rPr>
                <w:rFonts w:eastAsia="Times New Roman" w:cs="Times New Roman"/>
                <w:b/>
                <w:bCs/>
                <w:sz w:val="18"/>
                <w:szCs w:val="18"/>
              </w:rPr>
            </w:pPr>
            <w:r>
              <w:rPr>
                <w:rFonts w:eastAsia="Times New Roman" w:cs="Times New Roman"/>
                <w:b/>
                <w:bCs/>
                <w:sz w:val="18"/>
                <w:szCs w:val="18"/>
              </w:rPr>
              <w:t>Homeless Count</w:t>
            </w:r>
          </w:p>
        </w:tc>
      </w:tr>
      <w:tr w:rsidR="00052ED4" w:rsidRPr="0046564E" w14:paraId="48E6C18A" w14:textId="77777777" w:rsidTr="001C0A99">
        <w:trPr>
          <w:trHeight w:val="320"/>
        </w:trPr>
        <w:tc>
          <w:tcPr>
            <w:tcW w:w="3615" w:type="dxa"/>
            <w:tcBorders>
              <w:top w:val="nil"/>
              <w:left w:val="nil"/>
              <w:bottom w:val="single" w:sz="8" w:space="0" w:color="auto"/>
              <w:right w:val="nil"/>
            </w:tcBorders>
            <w:shd w:val="clear" w:color="auto" w:fill="auto"/>
            <w:noWrap/>
            <w:vAlign w:val="bottom"/>
            <w:hideMark/>
          </w:tcPr>
          <w:p w14:paraId="4571BE32" w14:textId="77777777" w:rsidR="00052ED4" w:rsidRPr="0046564E" w:rsidRDefault="00052ED4" w:rsidP="001C0A99">
            <w:pPr>
              <w:spacing w:line="240" w:lineRule="auto"/>
              <w:rPr>
                <w:rFonts w:eastAsia="Times New Roman" w:cs="Times New Roman"/>
                <w:color w:val="000000"/>
                <w:sz w:val="18"/>
                <w:szCs w:val="18"/>
              </w:rPr>
            </w:pPr>
            <w:r w:rsidRPr="0046564E">
              <w:rPr>
                <w:rFonts w:eastAsia="Times New Roman" w:cs="Times New Roman"/>
                <w:color w:val="000000"/>
                <w:sz w:val="18"/>
                <w:szCs w:val="18"/>
              </w:rPr>
              <w:t> </w:t>
            </w:r>
          </w:p>
        </w:tc>
        <w:tc>
          <w:tcPr>
            <w:tcW w:w="2111" w:type="dxa"/>
            <w:tcBorders>
              <w:top w:val="nil"/>
              <w:left w:val="nil"/>
              <w:bottom w:val="single" w:sz="8" w:space="0" w:color="auto"/>
              <w:right w:val="nil"/>
            </w:tcBorders>
            <w:shd w:val="clear" w:color="auto" w:fill="auto"/>
            <w:noWrap/>
            <w:vAlign w:val="bottom"/>
            <w:hideMark/>
          </w:tcPr>
          <w:p w14:paraId="379A5A8F" w14:textId="77777777" w:rsidR="00052ED4" w:rsidRDefault="00052ED4" w:rsidP="001C0A99">
            <w:pPr>
              <w:spacing w:line="240" w:lineRule="auto"/>
              <w:jc w:val="right"/>
              <w:rPr>
                <w:rFonts w:eastAsia="Times New Roman" w:cs="Times New Roman"/>
                <w:color w:val="000000"/>
                <w:sz w:val="18"/>
                <w:szCs w:val="18"/>
              </w:rPr>
            </w:pPr>
            <w:r w:rsidRPr="0046564E">
              <w:rPr>
                <w:rFonts w:eastAsia="Times New Roman" w:cs="Times New Roman"/>
                <w:color w:val="000000"/>
                <w:sz w:val="18"/>
                <w:szCs w:val="18"/>
              </w:rPr>
              <w:t>Unsheltered Homeless</w:t>
            </w:r>
          </w:p>
          <w:p w14:paraId="3790E3FC" w14:textId="77777777" w:rsidR="00052ED4" w:rsidRPr="007C15A6" w:rsidRDefault="00052ED4" w:rsidP="001C0A99">
            <w:pPr>
              <w:spacing w:line="240" w:lineRule="auto"/>
              <w:jc w:val="right"/>
              <w:rPr>
                <w:rFonts w:eastAsia="Times New Roman" w:cs="Times New Roman"/>
                <w:color w:val="000000"/>
                <w:sz w:val="10"/>
                <w:szCs w:val="18"/>
              </w:rPr>
            </w:pPr>
          </w:p>
        </w:tc>
        <w:tc>
          <w:tcPr>
            <w:tcW w:w="1890" w:type="dxa"/>
            <w:gridSpan w:val="2"/>
            <w:tcBorders>
              <w:top w:val="nil"/>
              <w:left w:val="nil"/>
              <w:bottom w:val="single" w:sz="8" w:space="0" w:color="auto"/>
              <w:right w:val="nil"/>
            </w:tcBorders>
            <w:shd w:val="clear" w:color="auto" w:fill="auto"/>
            <w:noWrap/>
            <w:vAlign w:val="bottom"/>
            <w:hideMark/>
          </w:tcPr>
          <w:p w14:paraId="4C8711B0" w14:textId="77777777" w:rsidR="00052ED4" w:rsidRDefault="00052ED4" w:rsidP="001C0A99">
            <w:pPr>
              <w:spacing w:line="240" w:lineRule="auto"/>
              <w:jc w:val="right"/>
              <w:rPr>
                <w:rFonts w:eastAsia="Times New Roman" w:cs="Times New Roman"/>
                <w:color w:val="000000"/>
                <w:sz w:val="18"/>
                <w:szCs w:val="18"/>
              </w:rPr>
            </w:pPr>
            <w:r w:rsidRPr="0046564E">
              <w:rPr>
                <w:rFonts w:eastAsia="Times New Roman" w:cs="Times New Roman"/>
                <w:color w:val="000000"/>
                <w:sz w:val="18"/>
                <w:szCs w:val="18"/>
              </w:rPr>
              <w:t>Sheltered Homeless</w:t>
            </w:r>
          </w:p>
          <w:p w14:paraId="74BE704A" w14:textId="77777777" w:rsidR="00052ED4" w:rsidRPr="007C15A6" w:rsidRDefault="00052ED4" w:rsidP="001C0A99">
            <w:pPr>
              <w:spacing w:line="240" w:lineRule="auto"/>
              <w:jc w:val="right"/>
              <w:rPr>
                <w:rFonts w:eastAsia="Times New Roman" w:cs="Times New Roman"/>
                <w:color w:val="000000"/>
                <w:sz w:val="10"/>
                <w:szCs w:val="18"/>
              </w:rPr>
            </w:pPr>
          </w:p>
        </w:tc>
      </w:tr>
      <w:tr w:rsidR="00052ED4" w:rsidRPr="0046564E" w14:paraId="1564C08F"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579BB24F"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Single Adult or Living w/Another Adult</w:t>
            </w:r>
          </w:p>
        </w:tc>
        <w:tc>
          <w:tcPr>
            <w:tcW w:w="2111" w:type="dxa"/>
            <w:tcBorders>
              <w:top w:val="nil"/>
              <w:left w:val="nil"/>
              <w:bottom w:val="single" w:sz="4" w:space="0" w:color="808080"/>
              <w:right w:val="nil"/>
            </w:tcBorders>
            <w:shd w:val="clear" w:color="auto" w:fill="auto"/>
            <w:noWrap/>
            <w:vAlign w:val="bottom"/>
            <w:hideMark/>
          </w:tcPr>
          <w:p w14:paraId="0B145F1D"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94%</w:t>
            </w:r>
          </w:p>
        </w:tc>
        <w:tc>
          <w:tcPr>
            <w:tcW w:w="1890" w:type="dxa"/>
            <w:gridSpan w:val="2"/>
            <w:tcBorders>
              <w:top w:val="nil"/>
              <w:left w:val="nil"/>
              <w:bottom w:val="single" w:sz="4" w:space="0" w:color="808080"/>
              <w:right w:val="nil"/>
            </w:tcBorders>
            <w:shd w:val="clear" w:color="auto" w:fill="auto"/>
            <w:noWrap/>
            <w:vAlign w:val="bottom"/>
            <w:hideMark/>
          </w:tcPr>
          <w:p w14:paraId="279189EB"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79%</w:t>
            </w:r>
          </w:p>
        </w:tc>
      </w:tr>
      <w:tr w:rsidR="00052ED4" w:rsidRPr="0046564E" w14:paraId="2003C939" w14:textId="77777777" w:rsidTr="001C0A99">
        <w:trPr>
          <w:trHeight w:val="300"/>
        </w:trPr>
        <w:tc>
          <w:tcPr>
            <w:tcW w:w="3615" w:type="dxa"/>
            <w:tcBorders>
              <w:top w:val="nil"/>
              <w:left w:val="nil"/>
              <w:bottom w:val="single" w:sz="4" w:space="0" w:color="auto"/>
              <w:right w:val="nil"/>
            </w:tcBorders>
            <w:shd w:val="clear" w:color="auto" w:fill="auto"/>
            <w:noWrap/>
            <w:vAlign w:val="bottom"/>
            <w:hideMark/>
          </w:tcPr>
          <w:p w14:paraId="553BECAA"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Family</w:t>
            </w:r>
          </w:p>
        </w:tc>
        <w:tc>
          <w:tcPr>
            <w:tcW w:w="2111" w:type="dxa"/>
            <w:tcBorders>
              <w:top w:val="nil"/>
              <w:left w:val="nil"/>
              <w:bottom w:val="single" w:sz="4" w:space="0" w:color="auto"/>
              <w:right w:val="nil"/>
            </w:tcBorders>
            <w:shd w:val="clear" w:color="auto" w:fill="auto"/>
            <w:noWrap/>
            <w:vAlign w:val="bottom"/>
            <w:hideMark/>
          </w:tcPr>
          <w:p w14:paraId="76F310DE"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6%</w:t>
            </w:r>
          </w:p>
        </w:tc>
        <w:tc>
          <w:tcPr>
            <w:tcW w:w="1890" w:type="dxa"/>
            <w:gridSpan w:val="2"/>
            <w:tcBorders>
              <w:top w:val="nil"/>
              <w:left w:val="nil"/>
              <w:bottom w:val="single" w:sz="4" w:space="0" w:color="auto"/>
              <w:right w:val="nil"/>
            </w:tcBorders>
            <w:shd w:val="clear" w:color="auto" w:fill="auto"/>
            <w:noWrap/>
            <w:vAlign w:val="bottom"/>
            <w:hideMark/>
          </w:tcPr>
          <w:p w14:paraId="65DB100E"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21%</w:t>
            </w:r>
          </w:p>
        </w:tc>
      </w:tr>
      <w:tr w:rsidR="00052ED4" w:rsidRPr="0046564E" w14:paraId="7FBA782E"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4C4B44E8"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Male</w:t>
            </w:r>
          </w:p>
        </w:tc>
        <w:tc>
          <w:tcPr>
            <w:tcW w:w="2111" w:type="dxa"/>
            <w:tcBorders>
              <w:top w:val="nil"/>
              <w:left w:val="nil"/>
              <w:bottom w:val="single" w:sz="4" w:space="0" w:color="808080"/>
              <w:right w:val="nil"/>
            </w:tcBorders>
            <w:shd w:val="clear" w:color="auto" w:fill="auto"/>
            <w:noWrap/>
            <w:vAlign w:val="bottom"/>
            <w:hideMark/>
          </w:tcPr>
          <w:p w14:paraId="7E9F50C5"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71%</w:t>
            </w:r>
          </w:p>
        </w:tc>
        <w:tc>
          <w:tcPr>
            <w:tcW w:w="1890" w:type="dxa"/>
            <w:gridSpan w:val="2"/>
            <w:tcBorders>
              <w:top w:val="nil"/>
              <w:left w:val="nil"/>
              <w:bottom w:val="single" w:sz="4" w:space="0" w:color="808080"/>
              <w:right w:val="nil"/>
            </w:tcBorders>
            <w:shd w:val="clear" w:color="auto" w:fill="auto"/>
            <w:noWrap/>
            <w:vAlign w:val="bottom"/>
            <w:hideMark/>
          </w:tcPr>
          <w:p w14:paraId="40EA8343"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60%</w:t>
            </w:r>
          </w:p>
        </w:tc>
      </w:tr>
      <w:tr w:rsidR="00052ED4" w:rsidRPr="0046564E" w14:paraId="0F4D8E47" w14:textId="77777777" w:rsidTr="001C0A99">
        <w:trPr>
          <w:trHeight w:val="300"/>
        </w:trPr>
        <w:tc>
          <w:tcPr>
            <w:tcW w:w="3615" w:type="dxa"/>
            <w:tcBorders>
              <w:top w:val="nil"/>
              <w:left w:val="nil"/>
              <w:bottom w:val="single" w:sz="4" w:space="0" w:color="auto"/>
              <w:right w:val="nil"/>
            </w:tcBorders>
            <w:shd w:val="clear" w:color="auto" w:fill="auto"/>
            <w:noWrap/>
            <w:vAlign w:val="bottom"/>
            <w:hideMark/>
          </w:tcPr>
          <w:p w14:paraId="2FA16A8F"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Female</w:t>
            </w:r>
          </w:p>
        </w:tc>
        <w:tc>
          <w:tcPr>
            <w:tcW w:w="2111" w:type="dxa"/>
            <w:tcBorders>
              <w:top w:val="nil"/>
              <w:left w:val="nil"/>
              <w:bottom w:val="single" w:sz="4" w:space="0" w:color="auto"/>
              <w:right w:val="nil"/>
            </w:tcBorders>
            <w:shd w:val="clear" w:color="auto" w:fill="auto"/>
            <w:noWrap/>
            <w:vAlign w:val="bottom"/>
            <w:hideMark/>
          </w:tcPr>
          <w:p w14:paraId="5E81AE83"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29%</w:t>
            </w:r>
          </w:p>
        </w:tc>
        <w:tc>
          <w:tcPr>
            <w:tcW w:w="1890" w:type="dxa"/>
            <w:gridSpan w:val="2"/>
            <w:tcBorders>
              <w:top w:val="nil"/>
              <w:left w:val="nil"/>
              <w:bottom w:val="single" w:sz="4" w:space="0" w:color="auto"/>
              <w:right w:val="nil"/>
            </w:tcBorders>
            <w:shd w:val="clear" w:color="auto" w:fill="auto"/>
            <w:noWrap/>
            <w:vAlign w:val="bottom"/>
            <w:hideMark/>
          </w:tcPr>
          <w:p w14:paraId="3010CB21"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40%</w:t>
            </w:r>
          </w:p>
        </w:tc>
      </w:tr>
      <w:tr w:rsidR="00052ED4" w:rsidRPr="0046564E" w14:paraId="26E4A4C0"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2D57F2BD"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White</w:t>
            </w:r>
          </w:p>
        </w:tc>
        <w:tc>
          <w:tcPr>
            <w:tcW w:w="2111" w:type="dxa"/>
            <w:tcBorders>
              <w:top w:val="nil"/>
              <w:left w:val="nil"/>
              <w:bottom w:val="single" w:sz="4" w:space="0" w:color="808080"/>
              <w:right w:val="nil"/>
            </w:tcBorders>
            <w:shd w:val="clear" w:color="auto" w:fill="auto"/>
            <w:noWrap/>
            <w:vAlign w:val="bottom"/>
            <w:hideMark/>
          </w:tcPr>
          <w:p w14:paraId="2208184D"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60%</w:t>
            </w:r>
          </w:p>
        </w:tc>
        <w:tc>
          <w:tcPr>
            <w:tcW w:w="1890" w:type="dxa"/>
            <w:gridSpan w:val="2"/>
            <w:tcBorders>
              <w:top w:val="nil"/>
              <w:left w:val="nil"/>
              <w:bottom w:val="single" w:sz="4" w:space="0" w:color="808080"/>
              <w:right w:val="nil"/>
            </w:tcBorders>
            <w:shd w:val="clear" w:color="auto" w:fill="auto"/>
            <w:noWrap/>
            <w:vAlign w:val="bottom"/>
            <w:hideMark/>
          </w:tcPr>
          <w:p w14:paraId="2B98FB12" w14:textId="77777777" w:rsidR="00052ED4" w:rsidRPr="0046564E" w:rsidRDefault="00052ED4" w:rsidP="001C0A99">
            <w:pPr>
              <w:jc w:val="right"/>
              <w:rPr>
                <w:rFonts w:eastAsia="Times New Roman" w:cs="Times New Roman"/>
                <w:color w:val="000000"/>
                <w:sz w:val="18"/>
                <w:szCs w:val="18"/>
              </w:rPr>
            </w:pPr>
            <w:r>
              <w:rPr>
                <w:rFonts w:eastAsia="Times New Roman" w:cs="Times New Roman"/>
                <w:color w:val="000000"/>
                <w:sz w:val="18"/>
                <w:szCs w:val="18"/>
              </w:rPr>
              <w:t>—</w:t>
            </w:r>
          </w:p>
        </w:tc>
      </w:tr>
      <w:tr w:rsidR="00052ED4" w:rsidRPr="0046564E" w14:paraId="4B573E74"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2C9130F8"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Latino</w:t>
            </w:r>
          </w:p>
        </w:tc>
        <w:tc>
          <w:tcPr>
            <w:tcW w:w="2111" w:type="dxa"/>
            <w:tcBorders>
              <w:top w:val="nil"/>
              <w:left w:val="nil"/>
              <w:bottom w:val="single" w:sz="4" w:space="0" w:color="808080"/>
              <w:right w:val="nil"/>
            </w:tcBorders>
            <w:shd w:val="clear" w:color="auto" w:fill="auto"/>
            <w:noWrap/>
            <w:vAlign w:val="bottom"/>
            <w:hideMark/>
          </w:tcPr>
          <w:p w14:paraId="59105E0D"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19%</w:t>
            </w:r>
          </w:p>
        </w:tc>
        <w:tc>
          <w:tcPr>
            <w:tcW w:w="1890" w:type="dxa"/>
            <w:gridSpan w:val="2"/>
            <w:tcBorders>
              <w:top w:val="nil"/>
              <w:left w:val="nil"/>
              <w:bottom w:val="single" w:sz="4" w:space="0" w:color="808080"/>
              <w:right w:val="nil"/>
            </w:tcBorders>
            <w:shd w:val="clear" w:color="auto" w:fill="auto"/>
            <w:noWrap/>
            <w:vAlign w:val="bottom"/>
            <w:hideMark/>
          </w:tcPr>
          <w:p w14:paraId="63F50F42" w14:textId="77777777" w:rsidR="00052ED4" w:rsidRPr="0046564E" w:rsidRDefault="00052ED4" w:rsidP="001C0A99">
            <w:pPr>
              <w:jc w:val="right"/>
              <w:rPr>
                <w:rFonts w:eastAsia="Times New Roman" w:cs="Times New Roman"/>
                <w:color w:val="000000"/>
                <w:sz w:val="18"/>
                <w:szCs w:val="18"/>
              </w:rPr>
            </w:pPr>
            <w:r>
              <w:rPr>
                <w:rFonts w:eastAsia="Times New Roman" w:cs="Times New Roman"/>
                <w:color w:val="000000"/>
                <w:sz w:val="18"/>
                <w:szCs w:val="18"/>
              </w:rPr>
              <w:t>—</w:t>
            </w:r>
          </w:p>
        </w:tc>
      </w:tr>
      <w:tr w:rsidR="00052ED4" w:rsidRPr="0046564E" w14:paraId="08233D5C"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6D03BC0F"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African American</w:t>
            </w:r>
          </w:p>
        </w:tc>
        <w:tc>
          <w:tcPr>
            <w:tcW w:w="2111" w:type="dxa"/>
            <w:tcBorders>
              <w:top w:val="nil"/>
              <w:left w:val="nil"/>
              <w:bottom w:val="single" w:sz="4" w:space="0" w:color="808080"/>
              <w:right w:val="nil"/>
            </w:tcBorders>
            <w:shd w:val="clear" w:color="auto" w:fill="auto"/>
            <w:noWrap/>
            <w:vAlign w:val="bottom"/>
            <w:hideMark/>
          </w:tcPr>
          <w:p w14:paraId="43527613"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13%</w:t>
            </w:r>
          </w:p>
        </w:tc>
        <w:tc>
          <w:tcPr>
            <w:tcW w:w="1890" w:type="dxa"/>
            <w:gridSpan w:val="2"/>
            <w:tcBorders>
              <w:top w:val="nil"/>
              <w:left w:val="nil"/>
              <w:bottom w:val="single" w:sz="4" w:space="0" w:color="808080"/>
              <w:right w:val="nil"/>
            </w:tcBorders>
            <w:shd w:val="clear" w:color="auto" w:fill="auto"/>
            <w:noWrap/>
            <w:vAlign w:val="bottom"/>
            <w:hideMark/>
          </w:tcPr>
          <w:p w14:paraId="4D887CA9" w14:textId="77777777" w:rsidR="00052ED4" w:rsidRPr="0046564E" w:rsidRDefault="00052ED4" w:rsidP="001C0A99">
            <w:pPr>
              <w:jc w:val="right"/>
              <w:rPr>
                <w:rFonts w:eastAsia="Times New Roman" w:cs="Times New Roman"/>
                <w:color w:val="000000"/>
                <w:sz w:val="18"/>
                <w:szCs w:val="18"/>
              </w:rPr>
            </w:pPr>
            <w:r>
              <w:rPr>
                <w:rFonts w:eastAsia="Times New Roman" w:cs="Times New Roman"/>
                <w:color w:val="000000"/>
                <w:sz w:val="18"/>
                <w:szCs w:val="18"/>
              </w:rPr>
              <w:t>—</w:t>
            </w:r>
          </w:p>
        </w:tc>
      </w:tr>
      <w:tr w:rsidR="00052ED4" w:rsidRPr="0046564E" w14:paraId="432B71FA" w14:textId="77777777" w:rsidTr="001C0A99">
        <w:trPr>
          <w:trHeight w:val="300"/>
        </w:trPr>
        <w:tc>
          <w:tcPr>
            <w:tcW w:w="3615" w:type="dxa"/>
            <w:tcBorders>
              <w:top w:val="nil"/>
              <w:left w:val="nil"/>
              <w:bottom w:val="single" w:sz="4" w:space="0" w:color="auto"/>
              <w:right w:val="nil"/>
            </w:tcBorders>
            <w:shd w:val="clear" w:color="auto" w:fill="auto"/>
            <w:noWrap/>
            <w:vAlign w:val="bottom"/>
            <w:hideMark/>
          </w:tcPr>
          <w:p w14:paraId="4AF59D5B"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Other Races</w:t>
            </w:r>
          </w:p>
        </w:tc>
        <w:tc>
          <w:tcPr>
            <w:tcW w:w="2111" w:type="dxa"/>
            <w:tcBorders>
              <w:top w:val="nil"/>
              <w:left w:val="nil"/>
              <w:bottom w:val="single" w:sz="4" w:space="0" w:color="auto"/>
              <w:right w:val="nil"/>
            </w:tcBorders>
            <w:shd w:val="clear" w:color="auto" w:fill="auto"/>
            <w:noWrap/>
            <w:vAlign w:val="bottom"/>
            <w:hideMark/>
          </w:tcPr>
          <w:p w14:paraId="4BA288F8"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10%</w:t>
            </w:r>
          </w:p>
        </w:tc>
        <w:tc>
          <w:tcPr>
            <w:tcW w:w="1890" w:type="dxa"/>
            <w:gridSpan w:val="2"/>
            <w:tcBorders>
              <w:top w:val="nil"/>
              <w:left w:val="nil"/>
              <w:bottom w:val="single" w:sz="4" w:space="0" w:color="auto"/>
              <w:right w:val="nil"/>
            </w:tcBorders>
            <w:shd w:val="clear" w:color="auto" w:fill="auto"/>
            <w:noWrap/>
            <w:vAlign w:val="bottom"/>
            <w:hideMark/>
          </w:tcPr>
          <w:p w14:paraId="356D74ED" w14:textId="77777777" w:rsidR="00052ED4" w:rsidRPr="0046564E" w:rsidRDefault="00052ED4" w:rsidP="001C0A99">
            <w:pPr>
              <w:jc w:val="right"/>
              <w:rPr>
                <w:rFonts w:eastAsia="Times New Roman" w:cs="Times New Roman"/>
                <w:color w:val="000000"/>
                <w:sz w:val="18"/>
                <w:szCs w:val="18"/>
              </w:rPr>
            </w:pPr>
            <w:r>
              <w:rPr>
                <w:rFonts w:eastAsia="Times New Roman" w:cs="Times New Roman"/>
                <w:color w:val="000000"/>
                <w:sz w:val="18"/>
                <w:szCs w:val="18"/>
              </w:rPr>
              <w:t>—</w:t>
            </w:r>
          </w:p>
        </w:tc>
      </w:tr>
      <w:tr w:rsidR="00052ED4" w:rsidRPr="0046564E" w14:paraId="2A4DC20A"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74C06167"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Non-Veteran</w:t>
            </w:r>
          </w:p>
        </w:tc>
        <w:tc>
          <w:tcPr>
            <w:tcW w:w="2111" w:type="dxa"/>
            <w:tcBorders>
              <w:top w:val="nil"/>
              <w:left w:val="nil"/>
              <w:bottom w:val="single" w:sz="4" w:space="0" w:color="808080"/>
              <w:right w:val="nil"/>
            </w:tcBorders>
            <w:shd w:val="clear" w:color="auto" w:fill="auto"/>
            <w:noWrap/>
            <w:vAlign w:val="bottom"/>
            <w:hideMark/>
          </w:tcPr>
          <w:p w14:paraId="1365A79A"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89%</w:t>
            </w:r>
          </w:p>
        </w:tc>
        <w:tc>
          <w:tcPr>
            <w:tcW w:w="1890" w:type="dxa"/>
            <w:gridSpan w:val="2"/>
            <w:tcBorders>
              <w:top w:val="nil"/>
              <w:left w:val="nil"/>
              <w:bottom w:val="single" w:sz="4" w:space="0" w:color="808080"/>
              <w:right w:val="nil"/>
            </w:tcBorders>
            <w:shd w:val="clear" w:color="auto" w:fill="auto"/>
            <w:noWrap/>
            <w:vAlign w:val="bottom"/>
            <w:hideMark/>
          </w:tcPr>
          <w:p w14:paraId="3DDB8A19"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76%</w:t>
            </w:r>
          </w:p>
        </w:tc>
      </w:tr>
      <w:tr w:rsidR="00052ED4" w:rsidRPr="0046564E" w14:paraId="592EC97F" w14:textId="77777777" w:rsidTr="001C0A99">
        <w:trPr>
          <w:trHeight w:val="300"/>
        </w:trPr>
        <w:tc>
          <w:tcPr>
            <w:tcW w:w="3615" w:type="dxa"/>
            <w:tcBorders>
              <w:top w:val="nil"/>
              <w:left w:val="nil"/>
              <w:bottom w:val="single" w:sz="4" w:space="0" w:color="auto"/>
              <w:right w:val="nil"/>
            </w:tcBorders>
            <w:shd w:val="clear" w:color="auto" w:fill="auto"/>
            <w:noWrap/>
            <w:vAlign w:val="bottom"/>
            <w:hideMark/>
          </w:tcPr>
          <w:p w14:paraId="0419D520"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Veteran</w:t>
            </w:r>
          </w:p>
        </w:tc>
        <w:tc>
          <w:tcPr>
            <w:tcW w:w="2111" w:type="dxa"/>
            <w:tcBorders>
              <w:top w:val="nil"/>
              <w:left w:val="nil"/>
              <w:bottom w:val="single" w:sz="4" w:space="0" w:color="auto"/>
              <w:right w:val="nil"/>
            </w:tcBorders>
            <w:shd w:val="clear" w:color="auto" w:fill="auto"/>
            <w:noWrap/>
            <w:vAlign w:val="bottom"/>
            <w:hideMark/>
          </w:tcPr>
          <w:p w14:paraId="6E11D7C8"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11%</w:t>
            </w:r>
          </w:p>
        </w:tc>
        <w:tc>
          <w:tcPr>
            <w:tcW w:w="1890" w:type="dxa"/>
            <w:gridSpan w:val="2"/>
            <w:tcBorders>
              <w:top w:val="nil"/>
              <w:left w:val="nil"/>
              <w:bottom w:val="single" w:sz="4" w:space="0" w:color="auto"/>
              <w:right w:val="nil"/>
            </w:tcBorders>
            <w:shd w:val="clear" w:color="auto" w:fill="auto"/>
            <w:noWrap/>
            <w:vAlign w:val="bottom"/>
            <w:hideMark/>
          </w:tcPr>
          <w:p w14:paraId="3D900579"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24%</w:t>
            </w:r>
          </w:p>
        </w:tc>
      </w:tr>
      <w:tr w:rsidR="00052ED4" w:rsidRPr="0046564E" w14:paraId="3FCD70E1"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72F50578"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Alcohol / Drug Problems</w:t>
            </w:r>
          </w:p>
        </w:tc>
        <w:tc>
          <w:tcPr>
            <w:tcW w:w="2111" w:type="dxa"/>
            <w:tcBorders>
              <w:top w:val="nil"/>
              <w:left w:val="nil"/>
              <w:bottom w:val="single" w:sz="4" w:space="0" w:color="808080"/>
              <w:right w:val="nil"/>
            </w:tcBorders>
            <w:shd w:val="clear" w:color="auto" w:fill="auto"/>
            <w:noWrap/>
            <w:vAlign w:val="bottom"/>
            <w:hideMark/>
          </w:tcPr>
          <w:p w14:paraId="3CDFC1DB"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72%</w:t>
            </w:r>
          </w:p>
        </w:tc>
        <w:tc>
          <w:tcPr>
            <w:tcW w:w="1890" w:type="dxa"/>
            <w:gridSpan w:val="2"/>
            <w:tcBorders>
              <w:top w:val="nil"/>
              <w:left w:val="nil"/>
              <w:bottom w:val="single" w:sz="4" w:space="0" w:color="808080"/>
              <w:right w:val="nil"/>
            </w:tcBorders>
            <w:shd w:val="clear" w:color="auto" w:fill="auto"/>
            <w:noWrap/>
            <w:vAlign w:val="bottom"/>
            <w:hideMark/>
          </w:tcPr>
          <w:p w14:paraId="6F1CD2BC"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8%</w:t>
            </w:r>
          </w:p>
        </w:tc>
      </w:tr>
      <w:tr w:rsidR="00052ED4" w:rsidRPr="0046564E" w14:paraId="00A07487"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477047DF"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Physical Disability</w:t>
            </w:r>
          </w:p>
        </w:tc>
        <w:tc>
          <w:tcPr>
            <w:tcW w:w="2111" w:type="dxa"/>
            <w:tcBorders>
              <w:top w:val="nil"/>
              <w:left w:val="nil"/>
              <w:bottom w:val="single" w:sz="4" w:space="0" w:color="808080"/>
              <w:right w:val="nil"/>
            </w:tcBorders>
            <w:shd w:val="clear" w:color="auto" w:fill="auto"/>
            <w:noWrap/>
            <w:vAlign w:val="bottom"/>
            <w:hideMark/>
          </w:tcPr>
          <w:p w14:paraId="39821193"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52%</w:t>
            </w:r>
          </w:p>
        </w:tc>
        <w:tc>
          <w:tcPr>
            <w:tcW w:w="1890" w:type="dxa"/>
            <w:gridSpan w:val="2"/>
            <w:tcBorders>
              <w:top w:val="nil"/>
              <w:left w:val="nil"/>
              <w:bottom w:val="single" w:sz="4" w:space="0" w:color="808080"/>
              <w:right w:val="nil"/>
            </w:tcBorders>
            <w:shd w:val="clear" w:color="auto" w:fill="auto"/>
            <w:noWrap/>
            <w:vAlign w:val="bottom"/>
            <w:hideMark/>
          </w:tcPr>
          <w:p w14:paraId="4DE90CE4" w14:textId="77777777" w:rsidR="00052ED4" w:rsidRPr="0046564E" w:rsidRDefault="00052ED4" w:rsidP="001C0A99">
            <w:pPr>
              <w:jc w:val="right"/>
              <w:rPr>
                <w:rFonts w:eastAsia="Times New Roman" w:cs="Times New Roman"/>
                <w:color w:val="000000"/>
                <w:sz w:val="18"/>
                <w:szCs w:val="18"/>
              </w:rPr>
            </w:pPr>
            <w:r>
              <w:rPr>
                <w:rFonts w:eastAsia="Times New Roman" w:cs="Times New Roman"/>
                <w:color w:val="000000"/>
                <w:sz w:val="18"/>
                <w:szCs w:val="18"/>
              </w:rPr>
              <w:t>—</w:t>
            </w:r>
          </w:p>
        </w:tc>
      </w:tr>
      <w:tr w:rsidR="00052ED4" w:rsidRPr="0046564E" w14:paraId="7B403445" w14:textId="77777777" w:rsidTr="001C0A99">
        <w:trPr>
          <w:trHeight w:val="300"/>
        </w:trPr>
        <w:tc>
          <w:tcPr>
            <w:tcW w:w="3615" w:type="dxa"/>
            <w:tcBorders>
              <w:top w:val="nil"/>
              <w:left w:val="nil"/>
              <w:bottom w:val="single" w:sz="4" w:space="0" w:color="808080"/>
              <w:right w:val="nil"/>
            </w:tcBorders>
            <w:shd w:val="clear" w:color="auto" w:fill="auto"/>
            <w:noWrap/>
            <w:vAlign w:val="bottom"/>
            <w:hideMark/>
          </w:tcPr>
          <w:p w14:paraId="26A30F86"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Chronic Health Problem</w:t>
            </w:r>
          </w:p>
        </w:tc>
        <w:tc>
          <w:tcPr>
            <w:tcW w:w="2111" w:type="dxa"/>
            <w:tcBorders>
              <w:top w:val="nil"/>
              <w:left w:val="nil"/>
              <w:bottom w:val="single" w:sz="4" w:space="0" w:color="808080"/>
              <w:right w:val="nil"/>
            </w:tcBorders>
            <w:shd w:val="clear" w:color="auto" w:fill="auto"/>
            <w:noWrap/>
            <w:vAlign w:val="bottom"/>
            <w:hideMark/>
          </w:tcPr>
          <w:p w14:paraId="58974F29"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47%</w:t>
            </w:r>
          </w:p>
        </w:tc>
        <w:tc>
          <w:tcPr>
            <w:tcW w:w="1890" w:type="dxa"/>
            <w:gridSpan w:val="2"/>
            <w:tcBorders>
              <w:top w:val="nil"/>
              <w:left w:val="nil"/>
              <w:bottom w:val="single" w:sz="4" w:space="0" w:color="808080"/>
              <w:right w:val="nil"/>
            </w:tcBorders>
            <w:shd w:val="clear" w:color="auto" w:fill="auto"/>
            <w:noWrap/>
            <w:vAlign w:val="bottom"/>
            <w:hideMark/>
          </w:tcPr>
          <w:p w14:paraId="3FC4C82D" w14:textId="77777777" w:rsidR="00052ED4" w:rsidRPr="0046564E" w:rsidRDefault="00052ED4" w:rsidP="001C0A99">
            <w:pPr>
              <w:jc w:val="right"/>
              <w:rPr>
                <w:rFonts w:eastAsia="Times New Roman" w:cs="Times New Roman"/>
                <w:color w:val="000000"/>
                <w:sz w:val="18"/>
                <w:szCs w:val="18"/>
              </w:rPr>
            </w:pPr>
            <w:r>
              <w:rPr>
                <w:rFonts w:eastAsia="Times New Roman" w:cs="Times New Roman"/>
                <w:color w:val="000000"/>
                <w:sz w:val="18"/>
                <w:szCs w:val="18"/>
              </w:rPr>
              <w:t>—</w:t>
            </w:r>
          </w:p>
        </w:tc>
      </w:tr>
      <w:tr w:rsidR="00052ED4" w:rsidRPr="0046564E" w14:paraId="07FCAC1C" w14:textId="77777777" w:rsidTr="001C0A99">
        <w:trPr>
          <w:trHeight w:val="300"/>
        </w:trPr>
        <w:tc>
          <w:tcPr>
            <w:tcW w:w="3615" w:type="dxa"/>
            <w:tcBorders>
              <w:top w:val="nil"/>
              <w:left w:val="nil"/>
              <w:bottom w:val="single" w:sz="4" w:space="0" w:color="000000"/>
              <w:right w:val="nil"/>
            </w:tcBorders>
            <w:shd w:val="clear" w:color="auto" w:fill="auto"/>
            <w:noWrap/>
            <w:vAlign w:val="bottom"/>
            <w:hideMark/>
          </w:tcPr>
          <w:p w14:paraId="692237AC" w14:textId="77777777" w:rsidR="00052ED4" w:rsidRPr="0046564E" w:rsidRDefault="00052ED4" w:rsidP="001C0A99">
            <w:pPr>
              <w:rPr>
                <w:rFonts w:eastAsia="Times New Roman" w:cs="Times New Roman"/>
                <w:color w:val="000000"/>
                <w:sz w:val="18"/>
                <w:szCs w:val="18"/>
              </w:rPr>
            </w:pPr>
            <w:r w:rsidRPr="0046564E">
              <w:rPr>
                <w:rFonts w:eastAsia="Times New Roman" w:cs="Times New Roman"/>
                <w:color w:val="000000"/>
                <w:sz w:val="18"/>
                <w:szCs w:val="18"/>
              </w:rPr>
              <w:t>Mental Illness</w:t>
            </w:r>
          </w:p>
        </w:tc>
        <w:tc>
          <w:tcPr>
            <w:tcW w:w="2111" w:type="dxa"/>
            <w:tcBorders>
              <w:top w:val="nil"/>
              <w:left w:val="nil"/>
              <w:bottom w:val="single" w:sz="4" w:space="0" w:color="000000"/>
              <w:right w:val="nil"/>
            </w:tcBorders>
            <w:shd w:val="clear" w:color="auto" w:fill="auto"/>
            <w:noWrap/>
            <w:vAlign w:val="bottom"/>
            <w:hideMark/>
          </w:tcPr>
          <w:p w14:paraId="60BE9E05"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37%</w:t>
            </w:r>
          </w:p>
        </w:tc>
        <w:tc>
          <w:tcPr>
            <w:tcW w:w="1890" w:type="dxa"/>
            <w:gridSpan w:val="2"/>
            <w:tcBorders>
              <w:top w:val="nil"/>
              <w:left w:val="nil"/>
              <w:bottom w:val="single" w:sz="4" w:space="0" w:color="000000"/>
              <w:right w:val="nil"/>
            </w:tcBorders>
            <w:shd w:val="clear" w:color="auto" w:fill="auto"/>
            <w:noWrap/>
            <w:vAlign w:val="bottom"/>
            <w:hideMark/>
          </w:tcPr>
          <w:p w14:paraId="0BC10C2C" w14:textId="77777777" w:rsidR="00052ED4" w:rsidRPr="0046564E" w:rsidRDefault="00052ED4" w:rsidP="001C0A99">
            <w:pPr>
              <w:jc w:val="right"/>
              <w:rPr>
                <w:rFonts w:eastAsia="Times New Roman" w:cs="Times New Roman"/>
                <w:color w:val="000000"/>
                <w:sz w:val="18"/>
                <w:szCs w:val="18"/>
              </w:rPr>
            </w:pPr>
            <w:r w:rsidRPr="0046564E">
              <w:rPr>
                <w:rFonts w:eastAsia="Times New Roman" w:cs="Times New Roman"/>
                <w:color w:val="000000"/>
                <w:sz w:val="18"/>
                <w:szCs w:val="18"/>
              </w:rPr>
              <w:t>10%</w:t>
            </w:r>
          </w:p>
        </w:tc>
      </w:tr>
      <w:tr w:rsidR="00052ED4" w:rsidRPr="007C15A6" w14:paraId="3BAE1D7A" w14:textId="77777777" w:rsidTr="001C0A99">
        <w:trPr>
          <w:gridAfter w:val="1"/>
          <w:wAfter w:w="344" w:type="dxa"/>
          <w:trHeight w:val="720"/>
        </w:trPr>
        <w:tc>
          <w:tcPr>
            <w:tcW w:w="7272" w:type="dxa"/>
            <w:gridSpan w:val="3"/>
            <w:tcBorders>
              <w:top w:val="single" w:sz="4" w:space="0" w:color="000000"/>
              <w:left w:val="nil"/>
              <w:bottom w:val="nil"/>
              <w:right w:val="nil"/>
            </w:tcBorders>
            <w:shd w:val="clear" w:color="auto" w:fill="auto"/>
            <w:vAlign w:val="bottom"/>
            <w:hideMark/>
          </w:tcPr>
          <w:p w14:paraId="03636386" w14:textId="77777777" w:rsidR="00052ED4" w:rsidRPr="007C15A6" w:rsidRDefault="00052ED4" w:rsidP="001C0A99">
            <w:pPr>
              <w:spacing w:line="240" w:lineRule="auto"/>
              <w:rPr>
                <w:rFonts w:eastAsia="Times New Roman" w:cs="Times New Roman"/>
                <w:iCs/>
                <w:sz w:val="16"/>
                <w:szCs w:val="16"/>
              </w:rPr>
            </w:pPr>
          </w:p>
          <w:p w14:paraId="16EDCBBF" w14:textId="77777777" w:rsidR="00052ED4" w:rsidRPr="007C15A6" w:rsidRDefault="00052ED4" w:rsidP="001C0A99">
            <w:pPr>
              <w:spacing w:line="240" w:lineRule="auto"/>
              <w:rPr>
                <w:rFonts w:eastAsia="Times New Roman" w:cs="Times New Roman"/>
                <w:iCs/>
                <w:sz w:val="18"/>
                <w:szCs w:val="16"/>
              </w:rPr>
            </w:pPr>
            <w:r w:rsidRPr="007C15A6">
              <w:rPr>
                <w:rFonts w:eastAsia="Times New Roman" w:cs="Times New Roman"/>
                <w:iCs/>
                <w:sz w:val="18"/>
                <w:szCs w:val="16"/>
              </w:rPr>
              <w:t>Source: 2013 San Mateo County Homeless Census and Survey, prepared by the San Mateo Human Services Agency, Center on Homelessness. May not total 100% due to rounding</w:t>
            </w:r>
          </w:p>
        </w:tc>
      </w:tr>
    </w:tbl>
    <w:p w14:paraId="1CA2042E" w14:textId="0F7E7042" w:rsidR="0049718F" w:rsidRDefault="0049718F" w:rsidP="0049718F"/>
    <w:p w14:paraId="23398FB1" w14:textId="77777777" w:rsidR="00D44C9E" w:rsidRDefault="00D44C9E" w:rsidP="0049718F"/>
    <w:p w14:paraId="724A2F65" w14:textId="77777777" w:rsidR="00D44C9E" w:rsidRDefault="00D44C9E" w:rsidP="0049718F"/>
    <w:p w14:paraId="23093B71" w14:textId="77777777" w:rsidR="00D44C9E" w:rsidRDefault="00D44C9E" w:rsidP="0049718F"/>
    <w:p w14:paraId="343A1A5E" w14:textId="77777777" w:rsidR="00D44C9E" w:rsidRDefault="00D44C9E" w:rsidP="0049718F"/>
    <w:p w14:paraId="34126A75" w14:textId="77777777" w:rsidR="00D44C9E" w:rsidRDefault="00D44C9E" w:rsidP="0049718F"/>
    <w:tbl>
      <w:tblPr>
        <w:tblW w:w="6855" w:type="dxa"/>
        <w:tblInd w:w="93" w:type="dxa"/>
        <w:tblLook w:val="04A0" w:firstRow="1" w:lastRow="0" w:firstColumn="1" w:lastColumn="0" w:noHBand="0" w:noVBand="1"/>
      </w:tblPr>
      <w:tblGrid>
        <w:gridCol w:w="5284"/>
        <w:gridCol w:w="846"/>
        <w:gridCol w:w="725"/>
      </w:tblGrid>
      <w:tr w:rsidR="0049718F" w:rsidRPr="0046564E" w14:paraId="6DD46024" w14:textId="77777777" w:rsidTr="005C76CD">
        <w:trPr>
          <w:trHeight w:val="390"/>
        </w:trPr>
        <w:tc>
          <w:tcPr>
            <w:tcW w:w="6855" w:type="dxa"/>
            <w:gridSpan w:val="3"/>
            <w:tcBorders>
              <w:top w:val="nil"/>
              <w:left w:val="nil"/>
              <w:bottom w:val="nil"/>
              <w:right w:val="nil"/>
            </w:tcBorders>
            <w:shd w:val="clear" w:color="000000" w:fill="000000"/>
            <w:vAlign w:val="bottom"/>
            <w:hideMark/>
          </w:tcPr>
          <w:p w14:paraId="0E870B97" w14:textId="77777777" w:rsidR="0049718F" w:rsidRPr="0046564E" w:rsidRDefault="0049718F" w:rsidP="005C76CD">
            <w:pPr>
              <w:rPr>
                <w:rFonts w:eastAsia="Times New Roman" w:cs="Times New Roman"/>
                <w:b/>
                <w:bCs/>
                <w:color w:val="FFFFFF"/>
                <w:sz w:val="20"/>
                <w:szCs w:val="20"/>
              </w:rPr>
            </w:pPr>
            <w:r w:rsidRPr="0046564E">
              <w:rPr>
                <w:rFonts w:eastAsia="Times New Roman" w:cs="Times New Roman"/>
                <w:b/>
                <w:bCs/>
                <w:color w:val="FFFFFF"/>
                <w:sz w:val="20"/>
                <w:szCs w:val="20"/>
              </w:rPr>
              <w:t xml:space="preserve">Location </w:t>
            </w:r>
            <w:r>
              <w:rPr>
                <w:rFonts w:eastAsia="Times New Roman" w:cs="Times New Roman"/>
                <w:b/>
                <w:bCs/>
                <w:color w:val="FFFFFF"/>
                <w:sz w:val="20"/>
                <w:szCs w:val="20"/>
              </w:rPr>
              <w:t>W</w:t>
            </w:r>
            <w:r w:rsidRPr="0046564E">
              <w:rPr>
                <w:rFonts w:eastAsia="Times New Roman" w:cs="Times New Roman"/>
                <w:b/>
                <w:bCs/>
                <w:color w:val="FFFFFF"/>
                <w:sz w:val="20"/>
                <w:szCs w:val="20"/>
              </w:rPr>
              <w:t>hen Homelessness Occurred</w:t>
            </w:r>
            <w:r>
              <w:rPr>
                <w:rFonts w:eastAsia="Times New Roman" w:cs="Times New Roman"/>
                <w:b/>
                <w:bCs/>
                <w:color w:val="FFFFFF"/>
                <w:sz w:val="20"/>
                <w:szCs w:val="20"/>
              </w:rPr>
              <w:t xml:space="preserve"> (2013)</w:t>
            </w:r>
          </w:p>
        </w:tc>
      </w:tr>
      <w:tr w:rsidR="0049718F" w:rsidRPr="0046564E" w14:paraId="108087E7" w14:textId="77777777" w:rsidTr="005C76CD">
        <w:trPr>
          <w:trHeight w:val="320"/>
        </w:trPr>
        <w:tc>
          <w:tcPr>
            <w:tcW w:w="5284" w:type="dxa"/>
            <w:tcBorders>
              <w:top w:val="nil"/>
              <w:left w:val="nil"/>
              <w:bottom w:val="single" w:sz="8" w:space="0" w:color="auto"/>
              <w:right w:val="nil"/>
            </w:tcBorders>
            <w:shd w:val="clear" w:color="auto" w:fill="auto"/>
            <w:noWrap/>
            <w:vAlign w:val="bottom"/>
            <w:hideMark/>
          </w:tcPr>
          <w:p w14:paraId="07793F71" w14:textId="77777777" w:rsidR="0049718F" w:rsidRPr="0046564E" w:rsidRDefault="0049718F" w:rsidP="005C76CD">
            <w:pPr>
              <w:spacing w:line="240" w:lineRule="auto"/>
              <w:rPr>
                <w:rFonts w:eastAsia="Times New Roman" w:cs="Times New Roman"/>
                <w:color w:val="000000"/>
                <w:sz w:val="18"/>
                <w:szCs w:val="18"/>
              </w:rPr>
            </w:pPr>
            <w:r w:rsidRPr="0046564E">
              <w:rPr>
                <w:rFonts w:eastAsia="Times New Roman" w:cs="Times New Roman"/>
                <w:color w:val="000000"/>
                <w:sz w:val="18"/>
                <w:szCs w:val="18"/>
              </w:rPr>
              <w:t> </w:t>
            </w:r>
          </w:p>
        </w:tc>
        <w:tc>
          <w:tcPr>
            <w:tcW w:w="1571" w:type="dxa"/>
            <w:gridSpan w:val="2"/>
            <w:tcBorders>
              <w:top w:val="nil"/>
              <w:left w:val="nil"/>
              <w:bottom w:val="single" w:sz="8" w:space="0" w:color="auto"/>
              <w:right w:val="nil"/>
            </w:tcBorders>
            <w:shd w:val="clear" w:color="auto" w:fill="auto"/>
            <w:noWrap/>
            <w:vAlign w:val="bottom"/>
            <w:hideMark/>
          </w:tcPr>
          <w:p w14:paraId="518376FD" w14:textId="77777777" w:rsidR="0049718F" w:rsidRPr="009C441F" w:rsidRDefault="0049718F" w:rsidP="005C76CD">
            <w:pPr>
              <w:spacing w:line="240" w:lineRule="auto"/>
              <w:jc w:val="right"/>
              <w:rPr>
                <w:rFonts w:eastAsia="Times New Roman" w:cs="Times New Roman"/>
                <w:b/>
                <w:bCs/>
                <w:color w:val="000000"/>
                <w:sz w:val="12"/>
                <w:szCs w:val="18"/>
              </w:rPr>
            </w:pPr>
          </w:p>
          <w:p w14:paraId="3B78B6CE" w14:textId="77777777" w:rsidR="0049718F" w:rsidRDefault="0049718F" w:rsidP="005C76CD">
            <w:pPr>
              <w:spacing w:line="240" w:lineRule="auto"/>
              <w:jc w:val="right"/>
              <w:rPr>
                <w:rFonts w:eastAsia="Times New Roman" w:cs="Times New Roman"/>
                <w:b/>
                <w:bCs/>
                <w:color w:val="000000"/>
                <w:sz w:val="18"/>
                <w:szCs w:val="18"/>
              </w:rPr>
            </w:pPr>
            <w:r>
              <w:rPr>
                <w:rFonts w:eastAsia="Times New Roman" w:cs="Times New Roman"/>
                <w:b/>
                <w:bCs/>
                <w:color w:val="000000"/>
                <w:sz w:val="18"/>
                <w:szCs w:val="18"/>
              </w:rPr>
              <w:t xml:space="preserve">San Mateo </w:t>
            </w:r>
            <w:r w:rsidRPr="0046564E">
              <w:rPr>
                <w:rFonts w:eastAsia="Times New Roman" w:cs="Times New Roman"/>
                <w:b/>
                <w:bCs/>
                <w:color w:val="000000"/>
                <w:sz w:val="18"/>
                <w:szCs w:val="18"/>
              </w:rPr>
              <w:t>County</w:t>
            </w:r>
            <w:r>
              <w:rPr>
                <w:rFonts w:eastAsia="Times New Roman" w:cs="Times New Roman"/>
                <w:b/>
                <w:bCs/>
                <w:color w:val="000000"/>
                <w:sz w:val="18"/>
                <w:szCs w:val="18"/>
              </w:rPr>
              <w:t xml:space="preserve"> Count</w:t>
            </w:r>
          </w:p>
          <w:p w14:paraId="2109D015" w14:textId="77777777" w:rsidR="0049718F" w:rsidRPr="007C15A6" w:rsidRDefault="0049718F" w:rsidP="005C76CD">
            <w:pPr>
              <w:spacing w:line="240" w:lineRule="auto"/>
              <w:jc w:val="right"/>
              <w:rPr>
                <w:rFonts w:eastAsia="Times New Roman" w:cs="Times New Roman"/>
                <w:b/>
                <w:bCs/>
                <w:color w:val="000000"/>
                <w:sz w:val="10"/>
                <w:szCs w:val="18"/>
              </w:rPr>
            </w:pPr>
          </w:p>
        </w:tc>
      </w:tr>
      <w:tr w:rsidR="0049718F" w:rsidRPr="0046564E" w14:paraId="2B922477" w14:textId="77777777" w:rsidTr="005C76CD">
        <w:trPr>
          <w:trHeight w:val="300"/>
        </w:trPr>
        <w:tc>
          <w:tcPr>
            <w:tcW w:w="5284" w:type="dxa"/>
            <w:tcBorders>
              <w:top w:val="single" w:sz="4" w:space="0" w:color="auto"/>
              <w:left w:val="nil"/>
              <w:bottom w:val="single" w:sz="4" w:space="0" w:color="808080"/>
              <w:right w:val="nil"/>
            </w:tcBorders>
            <w:shd w:val="clear" w:color="auto" w:fill="auto"/>
            <w:noWrap/>
            <w:vAlign w:val="bottom"/>
            <w:hideMark/>
          </w:tcPr>
          <w:p w14:paraId="2DEA6D54" w14:textId="77777777" w:rsidR="0049718F" w:rsidRPr="0046564E" w:rsidRDefault="0049718F" w:rsidP="005C76CD">
            <w:pPr>
              <w:rPr>
                <w:rFonts w:eastAsia="Times New Roman" w:cs="Times New Roman"/>
                <w:color w:val="000000"/>
                <w:sz w:val="18"/>
                <w:szCs w:val="18"/>
              </w:rPr>
            </w:pPr>
            <w:r w:rsidRPr="0046564E">
              <w:rPr>
                <w:rFonts w:eastAsia="Times New Roman" w:cs="Times New Roman"/>
                <w:color w:val="000000"/>
                <w:sz w:val="18"/>
                <w:szCs w:val="18"/>
              </w:rPr>
              <w:t>Living in San Mateo County when became homeless</w:t>
            </w:r>
          </w:p>
        </w:tc>
        <w:tc>
          <w:tcPr>
            <w:tcW w:w="1571" w:type="dxa"/>
            <w:gridSpan w:val="2"/>
            <w:tcBorders>
              <w:top w:val="single" w:sz="4" w:space="0" w:color="auto"/>
              <w:left w:val="nil"/>
              <w:bottom w:val="single" w:sz="4" w:space="0" w:color="808080"/>
              <w:right w:val="nil"/>
            </w:tcBorders>
            <w:shd w:val="clear" w:color="auto" w:fill="auto"/>
            <w:noWrap/>
            <w:vAlign w:val="bottom"/>
            <w:hideMark/>
          </w:tcPr>
          <w:p w14:paraId="15710323" w14:textId="77777777" w:rsidR="0049718F" w:rsidRPr="0046564E" w:rsidRDefault="0049718F" w:rsidP="005C76CD">
            <w:pPr>
              <w:jc w:val="right"/>
              <w:rPr>
                <w:rFonts w:eastAsia="Times New Roman" w:cs="Times New Roman"/>
                <w:color w:val="000000"/>
                <w:sz w:val="18"/>
                <w:szCs w:val="18"/>
              </w:rPr>
            </w:pPr>
            <w:r w:rsidRPr="0046564E">
              <w:rPr>
                <w:rFonts w:eastAsia="Times New Roman" w:cs="Times New Roman"/>
                <w:color w:val="000000"/>
                <w:sz w:val="18"/>
                <w:szCs w:val="18"/>
              </w:rPr>
              <w:t>87%</w:t>
            </w:r>
          </w:p>
        </w:tc>
      </w:tr>
      <w:tr w:rsidR="0049718F" w:rsidRPr="0046564E" w14:paraId="571ABB5D" w14:textId="77777777" w:rsidTr="005C76CD">
        <w:trPr>
          <w:trHeight w:val="300"/>
        </w:trPr>
        <w:tc>
          <w:tcPr>
            <w:tcW w:w="5284" w:type="dxa"/>
            <w:tcBorders>
              <w:top w:val="nil"/>
              <w:left w:val="nil"/>
              <w:bottom w:val="single" w:sz="4" w:space="0" w:color="auto"/>
              <w:right w:val="nil"/>
            </w:tcBorders>
            <w:shd w:val="clear" w:color="auto" w:fill="auto"/>
            <w:noWrap/>
            <w:vAlign w:val="bottom"/>
            <w:hideMark/>
          </w:tcPr>
          <w:p w14:paraId="208DBF66" w14:textId="77777777" w:rsidR="0049718F" w:rsidRPr="0046564E" w:rsidRDefault="0049718F" w:rsidP="005C76CD">
            <w:pPr>
              <w:rPr>
                <w:rFonts w:eastAsia="Times New Roman" w:cs="Times New Roman"/>
                <w:color w:val="000000"/>
                <w:sz w:val="18"/>
                <w:szCs w:val="18"/>
              </w:rPr>
            </w:pPr>
            <w:r w:rsidRPr="0046564E">
              <w:rPr>
                <w:rFonts w:eastAsia="Times New Roman" w:cs="Times New Roman"/>
                <w:color w:val="000000"/>
                <w:sz w:val="18"/>
                <w:szCs w:val="18"/>
              </w:rPr>
              <w:t>Hometown in San Mateo County</w:t>
            </w:r>
          </w:p>
        </w:tc>
        <w:tc>
          <w:tcPr>
            <w:tcW w:w="1571" w:type="dxa"/>
            <w:gridSpan w:val="2"/>
            <w:tcBorders>
              <w:top w:val="nil"/>
              <w:left w:val="nil"/>
              <w:bottom w:val="single" w:sz="4" w:space="0" w:color="auto"/>
              <w:right w:val="nil"/>
            </w:tcBorders>
            <w:shd w:val="clear" w:color="auto" w:fill="auto"/>
            <w:noWrap/>
            <w:vAlign w:val="bottom"/>
            <w:hideMark/>
          </w:tcPr>
          <w:p w14:paraId="78F4818B" w14:textId="77777777" w:rsidR="0049718F" w:rsidRPr="0046564E" w:rsidRDefault="0049718F" w:rsidP="005C76CD">
            <w:pPr>
              <w:jc w:val="right"/>
              <w:rPr>
                <w:rFonts w:eastAsia="Times New Roman" w:cs="Times New Roman"/>
                <w:color w:val="000000"/>
                <w:sz w:val="18"/>
                <w:szCs w:val="18"/>
              </w:rPr>
            </w:pPr>
            <w:r w:rsidRPr="0046564E">
              <w:rPr>
                <w:rFonts w:eastAsia="Times New Roman" w:cs="Times New Roman"/>
                <w:color w:val="000000"/>
                <w:sz w:val="18"/>
                <w:szCs w:val="18"/>
              </w:rPr>
              <w:t>69%</w:t>
            </w:r>
          </w:p>
        </w:tc>
      </w:tr>
      <w:tr w:rsidR="0049718F" w:rsidRPr="0046564E" w14:paraId="6883F640" w14:textId="77777777" w:rsidTr="005C76CD">
        <w:trPr>
          <w:gridAfter w:val="1"/>
          <w:wAfter w:w="725" w:type="dxa"/>
          <w:trHeight w:val="540"/>
        </w:trPr>
        <w:tc>
          <w:tcPr>
            <w:tcW w:w="6130" w:type="dxa"/>
            <w:gridSpan w:val="2"/>
            <w:tcBorders>
              <w:top w:val="single" w:sz="4" w:space="0" w:color="auto"/>
              <w:left w:val="nil"/>
              <w:bottom w:val="nil"/>
              <w:right w:val="nil"/>
            </w:tcBorders>
            <w:shd w:val="clear" w:color="auto" w:fill="auto"/>
            <w:vAlign w:val="bottom"/>
            <w:hideMark/>
          </w:tcPr>
          <w:p w14:paraId="3792C104" w14:textId="77777777" w:rsidR="0049718F" w:rsidRPr="009C441F" w:rsidRDefault="0049718F" w:rsidP="005C76CD">
            <w:pPr>
              <w:spacing w:line="240" w:lineRule="auto"/>
              <w:rPr>
                <w:rFonts w:eastAsia="Times New Roman" w:cs="Times New Roman"/>
                <w:iCs/>
                <w:sz w:val="10"/>
                <w:szCs w:val="16"/>
              </w:rPr>
            </w:pPr>
          </w:p>
          <w:p w14:paraId="14039551" w14:textId="77777777" w:rsidR="0049718F" w:rsidRPr="007C15A6" w:rsidRDefault="0049718F" w:rsidP="005C76CD">
            <w:pPr>
              <w:spacing w:line="240" w:lineRule="auto"/>
              <w:rPr>
                <w:rFonts w:eastAsia="Times New Roman" w:cs="Times New Roman"/>
                <w:iCs/>
                <w:sz w:val="18"/>
                <w:szCs w:val="16"/>
              </w:rPr>
            </w:pPr>
            <w:r w:rsidRPr="007C15A6">
              <w:rPr>
                <w:rFonts w:eastAsia="Times New Roman" w:cs="Times New Roman"/>
                <w:iCs/>
                <w:sz w:val="18"/>
                <w:szCs w:val="16"/>
              </w:rPr>
              <w:t>Source: 2013 San Mateo County Homeless Census and Survey, prepared by the San Mateo Human Services Agency, Center on Homelessness</w:t>
            </w:r>
          </w:p>
        </w:tc>
      </w:tr>
    </w:tbl>
    <w:p w14:paraId="60B2D34D" w14:textId="418AC9F8" w:rsidR="00726380" w:rsidRDefault="00726380" w:rsidP="0049718F">
      <w:pPr>
        <w:spacing w:line="240" w:lineRule="auto"/>
      </w:pPr>
    </w:p>
    <w:tbl>
      <w:tblPr>
        <w:tblW w:w="7035" w:type="dxa"/>
        <w:tblInd w:w="93" w:type="dxa"/>
        <w:tblLayout w:type="fixed"/>
        <w:tblLook w:val="04A0" w:firstRow="1" w:lastRow="0" w:firstColumn="1" w:lastColumn="0" w:noHBand="0" w:noVBand="1"/>
      </w:tblPr>
      <w:tblGrid>
        <w:gridCol w:w="3838"/>
        <w:gridCol w:w="734"/>
        <w:gridCol w:w="1113"/>
        <w:gridCol w:w="1350"/>
      </w:tblGrid>
      <w:tr w:rsidR="00726380" w:rsidRPr="0046564E" w14:paraId="2ECEADE8" w14:textId="77777777" w:rsidTr="00D85134">
        <w:trPr>
          <w:trHeight w:val="300"/>
        </w:trPr>
        <w:tc>
          <w:tcPr>
            <w:tcW w:w="7035" w:type="dxa"/>
            <w:gridSpan w:val="4"/>
            <w:tcBorders>
              <w:top w:val="nil"/>
              <w:left w:val="nil"/>
              <w:bottom w:val="nil"/>
              <w:right w:val="nil"/>
            </w:tcBorders>
            <w:shd w:val="clear" w:color="000000" w:fill="000000"/>
            <w:noWrap/>
            <w:vAlign w:val="bottom"/>
            <w:hideMark/>
          </w:tcPr>
          <w:p w14:paraId="702AA37C" w14:textId="77777777" w:rsidR="00726380" w:rsidRPr="0046564E" w:rsidRDefault="00726380" w:rsidP="00D85134">
            <w:pPr>
              <w:ind w:left="-53"/>
              <w:rPr>
                <w:rFonts w:eastAsia="Times New Roman" w:cs="Times New Roman"/>
                <w:b/>
                <w:bCs/>
                <w:color w:val="FFFFFF"/>
                <w:sz w:val="20"/>
                <w:szCs w:val="20"/>
              </w:rPr>
            </w:pPr>
            <w:r>
              <w:rPr>
                <w:rFonts w:eastAsia="Times New Roman" w:cs="Times New Roman"/>
                <w:b/>
                <w:bCs/>
                <w:color w:val="FFFFFF"/>
                <w:sz w:val="20"/>
                <w:szCs w:val="20"/>
              </w:rPr>
              <w:t xml:space="preserve">Location of the Homeless Population in San Mateo </w:t>
            </w:r>
            <w:r w:rsidRPr="0046564E">
              <w:rPr>
                <w:rFonts w:eastAsia="Times New Roman" w:cs="Times New Roman"/>
                <w:b/>
                <w:bCs/>
                <w:color w:val="FFFFFF"/>
                <w:sz w:val="20"/>
                <w:szCs w:val="20"/>
              </w:rPr>
              <w:t xml:space="preserve">County </w:t>
            </w:r>
            <w:r>
              <w:rPr>
                <w:rFonts w:eastAsia="Times New Roman" w:cs="Times New Roman"/>
                <w:b/>
                <w:bCs/>
                <w:color w:val="FFFFFF"/>
                <w:sz w:val="20"/>
                <w:szCs w:val="20"/>
              </w:rPr>
              <w:t>(</w:t>
            </w:r>
            <w:r w:rsidRPr="0046564E">
              <w:rPr>
                <w:rFonts w:eastAsia="Times New Roman" w:cs="Times New Roman"/>
                <w:b/>
                <w:bCs/>
                <w:color w:val="FFFFFF"/>
                <w:sz w:val="20"/>
                <w:szCs w:val="20"/>
              </w:rPr>
              <w:t>2007-2013</w:t>
            </w:r>
            <w:r>
              <w:rPr>
                <w:rFonts w:eastAsia="Times New Roman" w:cs="Times New Roman"/>
                <w:b/>
                <w:bCs/>
                <w:color w:val="FFFFFF"/>
                <w:sz w:val="20"/>
                <w:szCs w:val="20"/>
              </w:rPr>
              <w:t>)</w:t>
            </w:r>
          </w:p>
        </w:tc>
      </w:tr>
      <w:tr w:rsidR="00726380" w:rsidRPr="0046564E" w14:paraId="1FE65AB5" w14:textId="77777777" w:rsidTr="00D85134">
        <w:trPr>
          <w:trHeight w:val="320"/>
        </w:trPr>
        <w:tc>
          <w:tcPr>
            <w:tcW w:w="3838" w:type="dxa"/>
            <w:tcBorders>
              <w:top w:val="nil"/>
              <w:left w:val="nil"/>
              <w:bottom w:val="single" w:sz="8" w:space="0" w:color="auto"/>
              <w:right w:val="nil"/>
            </w:tcBorders>
            <w:shd w:val="clear" w:color="auto" w:fill="auto"/>
            <w:noWrap/>
            <w:vAlign w:val="bottom"/>
            <w:hideMark/>
          </w:tcPr>
          <w:p w14:paraId="49F25973" w14:textId="77777777" w:rsidR="00726380" w:rsidRPr="0046564E" w:rsidRDefault="00726380" w:rsidP="00D85134">
            <w:pPr>
              <w:spacing w:line="240" w:lineRule="auto"/>
              <w:ind w:left="-53"/>
              <w:rPr>
                <w:rFonts w:eastAsia="Times New Roman" w:cs="Times New Roman"/>
                <w:b/>
                <w:bCs/>
                <w:sz w:val="18"/>
                <w:szCs w:val="18"/>
              </w:rPr>
            </w:pPr>
            <w:r w:rsidRPr="0046564E">
              <w:rPr>
                <w:rFonts w:eastAsia="Times New Roman" w:cs="Times New Roman"/>
                <w:b/>
                <w:bCs/>
                <w:sz w:val="18"/>
                <w:szCs w:val="18"/>
              </w:rPr>
              <w:t> </w:t>
            </w:r>
          </w:p>
        </w:tc>
        <w:tc>
          <w:tcPr>
            <w:tcW w:w="734" w:type="dxa"/>
            <w:tcBorders>
              <w:top w:val="nil"/>
              <w:left w:val="nil"/>
              <w:bottom w:val="single" w:sz="8" w:space="0" w:color="auto"/>
              <w:right w:val="nil"/>
            </w:tcBorders>
            <w:shd w:val="clear" w:color="auto" w:fill="auto"/>
            <w:noWrap/>
            <w:vAlign w:val="bottom"/>
            <w:hideMark/>
          </w:tcPr>
          <w:p w14:paraId="715E6525" w14:textId="77777777" w:rsidR="00726380" w:rsidRDefault="00726380" w:rsidP="00D85134">
            <w:pPr>
              <w:spacing w:line="240" w:lineRule="auto"/>
              <w:ind w:left="-53"/>
              <w:jc w:val="right"/>
              <w:rPr>
                <w:rFonts w:eastAsia="Times New Roman" w:cs="Times New Roman"/>
                <w:b/>
                <w:bCs/>
                <w:sz w:val="18"/>
                <w:szCs w:val="18"/>
              </w:rPr>
            </w:pPr>
          </w:p>
          <w:p w14:paraId="4D5B2A83" w14:textId="77777777" w:rsidR="00726380" w:rsidRDefault="00726380" w:rsidP="00D85134">
            <w:pPr>
              <w:spacing w:line="240" w:lineRule="auto"/>
              <w:ind w:left="-53"/>
              <w:jc w:val="right"/>
              <w:rPr>
                <w:rFonts w:eastAsia="Times New Roman" w:cs="Times New Roman"/>
                <w:b/>
                <w:bCs/>
                <w:sz w:val="18"/>
                <w:szCs w:val="18"/>
              </w:rPr>
            </w:pPr>
            <w:r w:rsidRPr="0046564E">
              <w:rPr>
                <w:rFonts w:eastAsia="Times New Roman" w:cs="Times New Roman"/>
                <w:b/>
                <w:bCs/>
                <w:sz w:val="18"/>
                <w:szCs w:val="18"/>
              </w:rPr>
              <w:t>2007</w:t>
            </w:r>
          </w:p>
          <w:p w14:paraId="3D7AB6FC" w14:textId="77777777" w:rsidR="00726380" w:rsidRPr="007C15A6" w:rsidRDefault="00726380" w:rsidP="00D85134">
            <w:pPr>
              <w:spacing w:line="240" w:lineRule="auto"/>
              <w:ind w:left="-53"/>
              <w:jc w:val="right"/>
              <w:rPr>
                <w:rFonts w:eastAsia="Times New Roman" w:cs="Times New Roman"/>
                <w:b/>
                <w:bCs/>
                <w:sz w:val="10"/>
                <w:szCs w:val="18"/>
              </w:rPr>
            </w:pPr>
          </w:p>
        </w:tc>
        <w:tc>
          <w:tcPr>
            <w:tcW w:w="1113" w:type="dxa"/>
            <w:tcBorders>
              <w:top w:val="nil"/>
              <w:left w:val="nil"/>
              <w:bottom w:val="single" w:sz="8" w:space="0" w:color="auto"/>
              <w:right w:val="nil"/>
            </w:tcBorders>
            <w:shd w:val="clear" w:color="auto" w:fill="auto"/>
            <w:noWrap/>
            <w:vAlign w:val="bottom"/>
            <w:hideMark/>
          </w:tcPr>
          <w:p w14:paraId="27CAC1C2" w14:textId="77777777" w:rsidR="00726380" w:rsidRDefault="00726380" w:rsidP="00D85134">
            <w:pPr>
              <w:spacing w:line="240" w:lineRule="auto"/>
              <w:ind w:left="-53"/>
              <w:jc w:val="right"/>
              <w:rPr>
                <w:rFonts w:eastAsia="Times New Roman" w:cs="Times New Roman"/>
                <w:b/>
                <w:bCs/>
                <w:sz w:val="18"/>
                <w:szCs w:val="18"/>
              </w:rPr>
            </w:pPr>
            <w:r w:rsidRPr="0046564E">
              <w:rPr>
                <w:rFonts w:eastAsia="Times New Roman" w:cs="Times New Roman"/>
                <w:b/>
                <w:bCs/>
                <w:sz w:val="18"/>
                <w:szCs w:val="18"/>
              </w:rPr>
              <w:t>2013</w:t>
            </w:r>
          </w:p>
          <w:p w14:paraId="2877EBA5" w14:textId="77777777" w:rsidR="00726380" w:rsidRPr="007C15A6" w:rsidRDefault="00726380" w:rsidP="00D85134">
            <w:pPr>
              <w:spacing w:line="240" w:lineRule="auto"/>
              <w:ind w:left="-53"/>
              <w:jc w:val="right"/>
              <w:rPr>
                <w:rFonts w:eastAsia="Times New Roman" w:cs="Times New Roman"/>
                <w:b/>
                <w:bCs/>
                <w:sz w:val="10"/>
                <w:szCs w:val="18"/>
              </w:rPr>
            </w:pPr>
          </w:p>
        </w:tc>
        <w:tc>
          <w:tcPr>
            <w:tcW w:w="1350" w:type="dxa"/>
            <w:tcBorders>
              <w:top w:val="nil"/>
              <w:left w:val="nil"/>
              <w:bottom w:val="single" w:sz="8" w:space="0" w:color="auto"/>
              <w:right w:val="nil"/>
            </w:tcBorders>
            <w:shd w:val="clear" w:color="auto" w:fill="auto"/>
            <w:noWrap/>
            <w:vAlign w:val="bottom"/>
            <w:hideMark/>
          </w:tcPr>
          <w:p w14:paraId="1B97ED50" w14:textId="77777777" w:rsidR="00726380" w:rsidRDefault="00726380" w:rsidP="00D85134">
            <w:pPr>
              <w:spacing w:line="240" w:lineRule="auto"/>
              <w:ind w:left="-53"/>
              <w:jc w:val="right"/>
              <w:rPr>
                <w:rFonts w:eastAsia="Times New Roman" w:cs="Times New Roman"/>
                <w:b/>
                <w:bCs/>
                <w:sz w:val="18"/>
                <w:szCs w:val="18"/>
              </w:rPr>
            </w:pPr>
          </w:p>
          <w:p w14:paraId="2E77DDC5" w14:textId="77777777" w:rsidR="00726380" w:rsidRDefault="00726380" w:rsidP="00D85134">
            <w:pPr>
              <w:spacing w:line="240" w:lineRule="auto"/>
              <w:ind w:left="-53"/>
              <w:jc w:val="right"/>
              <w:rPr>
                <w:rFonts w:eastAsia="Times New Roman" w:cs="Times New Roman"/>
                <w:b/>
                <w:bCs/>
                <w:sz w:val="18"/>
                <w:szCs w:val="18"/>
              </w:rPr>
            </w:pPr>
            <w:r>
              <w:rPr>
                <w:rFonts w:eastAsia="Times New Roman" w:cs="Times New Roman"/>
                <w:b/>
                <w:bCs/>
                <w:sz w:val="18"/>
                <w:szCs w:val="18"/>
              </w:rPr>
              <w:t xml:space="preserve">Percent </w:t>
            </w:r>
            <w:r w:rsidRPr="0046564E">
              <w:rPr>
                <w:rFonts w:eastAsia="Times New Roman" w:cs="Times New Roman"/>
                <w:b/>
                <w:bCs/>
                <w:sz w:val="18"/>
                <w:szCs w:val="18"/>
              </w:rPr>
              <w:t>Change</w:t>
            </w:r>
          </w:p>
          <w:p w14:paraId="4783A1E3" w14:textId="77777777" w:rsidR="00726380" w:rsidRPr="007C15A6" w:rsidRDefault="00726380" w:rsidP="00D85134">
            <w:pPr>
              <w:spacing w:line="240" w:lineRule="auto"/>
              <w:ind w:left="-53"/>
              <w:jc w:val="right"/>
              <w:rPr>
                <w:rFonts w:eastAsia="Times New Roman" w:cs="Times New Roman"/>
                <w:b/>
                <w:bCs/>
                <w:sz w:val="10"/>
                <w:szCs w:val="18"/>
              </w:rPr>
            </w:pPr>
          </w:p>
        </w:tc>
      </w:tr>
      <w:tr w:rsidR="00726380" w:rsidRPr="0046564E" w14:paraId="2A7DACF7" w14:textId="77777777" w:rsidTr="00D85134">
        <w:trPr>
          <w:trHeight w:val="300"/>
        </w:trPr>
        <w:tc>
          <w:tcPr>
            <w:tcW w:w="3838" w:type="dxa"/>
            <w:tcBorders>
              <w:top w:val="nil"/>
              <w:left w:val="nil"/>
              <w:bottom w:val="single" w:sz="4" w:space="0" w:color="808080"/>
              <w:right w:val="nil"/>
            </w:tcBorders>
            <w:shd w:val="clear" w:color="auto" w:fill="auto"/>
            <w:noWrap/>
            <w:vAlign w:val="bottom"/>
            <w:hideMark/>
          </w:tcPr>
          <w:p w14:paraId="6332920A" w14:textId="77777777" w:rsidR="00726380" w:rsidRPr="0046564E" w:rsidRDefault="00726380" w:rsidP="00D85134">
            <w:pPr>
              <w:ind w:left="-53"/>
              <w:rPr>
                <w:rFonts w:eastAsia="Times New Roman" w:cs="Times New Roman"/>
                <w:color w:val="000000"/>
                <w:sz w:val="18"/>
                <w:szCs w:val="18"/>
              </w:rPr>
            </w:pPr>
            <w:r w:rsidRPr="0046564E">
              <w:rPr>
                <w:rFonts w:eastAsia="Times New Roman" w:cs="Times New Roman"/>
                <w:color w:val="000000"/>
                <w:sz w:val="18"/>
                <w:szCs w:val="18"/>
              </w:rPr>
              <w:t>On the Street</w:t>
            </w:r>
          </w:p>
        </w:tc>
        <w:tc>
          <w:tcPr>
            <w:tcW w:w="734" w:type="dxa"/>
            <w:tcBorders>
              <w:top w:val="nil"/>
              <w:left w:val="nil"/>
              <w:bottom w:val="single" w:sz="4" w:space="0" w:color="808080"/>
              <w:right w:val="nil"/>
            </w:tcBorders>
            <w:shd w:val="clear" w:color="auto" w:fill="auto"/>
            <w:noWrap/>
            <w:vAlign w:val="bottom"/>
            <w:hideMark/>
          </w:tcPr>
          <w:p w14:paraId="261983FE"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29%</w:t>
            </w:r>
          </w:p>
        </w:tc>
        <w:tc>
          <w:tcPr>
            <w:tcW w:w="1113" w:type="dxa"/>
            <w:tcBorders>
              <w:top w:val="nil"/>
              <w:left w:val="nil"/>
              <w:bottom w:val="single" w:sz="4" w:space="0" w:color="808080"/>
              <w:right w:val="nil"/>
            </w:tcBorders>
            <w:shd w:val="clear" w:color="auto" w:fill="auto"/>
            <w:noWrap/>
            <w:vAlign w:val="bottom"/>
            <w:hideMark/>
          </w:tcPr>
          <w:p w14:paraId="3BE97281"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15%</w:t>
            </w:r>
          </w:p>
        </w:tc>
        <w:tc>
          <w:tcPr>
            <w:tcW w:w="1350" w:type="dxa"/>
            <w:tcBorders>
              <w:top w:val="nil"/>
              <w:left w:val="nil"/>
              <w:bottom w:val="single" w:sz="4" w:space="0" w:color="808080"/>
              <w:right w:val="nil"/>
            </w:tcBorders>
            <w:shd w:val="clear" w:color="auto" w:fill="auto"/>
            <w:noWrap/>
            <w:vAlign w:val="bottom"/>
            <w:hideMark/>
          </w:tcPr>
          <w:p w14:paraId="05DA806E"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-41%</w:t>
            </w:r>
          </w:p>
        </w:tc>
      </w:tr>
      <w:tr w:rsidR="00726380" w:rsidRPr="0046564E" w14:paraId="597EFFC7" w14:textId="77777777" w:rsidTr="00D85134">
        <w:trPr>
          <w:trHeight w:val="300"/>
        </w:trPr>
        <w:tc>
          <w:tcPr>
            <w:tcW w:w="3838" w:type="dxa"/>
            <w:tcBorders>
              <w:top w:val="nil"/>
              <w:left w:val="nil"/>
              <w:bottom w:val="single" w:sz="4" w:space="0" w:color="808080"/>
              <w:right w:val="nil"/>
            </w:tcBorders>
            <w:shd w:val="clear" w:color="auto" w:fill="auto"/>
            <w:noWrap/>
            <w:vAlign w:val="bottom"/>
            <w:hideMark/>
          </w:tcPr>
          <w:p w14:paraId="326151A1" w14:textId="77777777" w:rsidR="00726380" w:rsidRPr="0046564E" w:rsidRDefault="00726380" w:rsidP="00D85134">
            <w:pPr>
              <w:ind w:left="-53"/>
              <w:rPr>
                <w:rFonts w:eastAsia="Times New Roman" w:cs="Times New Roman"/>
                <w:color w:val="000000"/>
                <w:sz w:val="18"/>
                <w:szCs w:val="18"/>
              </w:rPr>
            </w:pPr>
            <w:r w:rsidRPr="0046564E">
              <w:rPr>
                <w:rFonts w:eastAsia="Times New Roman" w:cs="Times New Roman"/>
                <w:color w:val="000000"/>
                <w:sz w:val="18"/>
                <w:szCs w:val="18"/>
              </w:rPr>
              <w:t>In Car, R.V., or Encampment</w:t>
            </w:r>
          </w:p>
        </w:tc>
        <w:tc>
          <w:tcPr>
            <w:tcW w:w="734" w:type="dxa"/>
            <w:tcBorders>
              <w:top w:val="nil"/>
              <w:left w:val="nil"/>
              <w:bottom w:val="single" w:sz="4" w:space="0" w:color="808080"/>
              <w:right w:val="nil"/>
            </w:tcBorders>
            <w:shd w:val="clear" w:color="auto" w:fill="auto"/>
            <w:noWrap/>
            <w:vAlign w:val="bottom"/>
            <w:hideMark/>
          </w:tcPr>
          <w:p w14:paraId="5A85556B"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24%</w:t>
            </w:r>
          </w:p>
        </w:tc>
        <w:tc>
          <w:tcPr>
            <w:tcW w:w="1113" w:type="dxa"/>
            <w:tcBorders>
              <w:top w:val="nil"/>
              <w:left w:val="nil"/>
              <w:bottom w:val="single" w:sz="4" w:space="0" w:color="808080"/>
              <w:right w:val="nil"/>
            </w:tcBorders>
            <w:shd w:val="clear" w:color="auto" w:fill="auto"/>
            <w:noWrap/>
            <w:vAlign w:val="bottom"/>
            <w:hideMark/>
          </w:tcPr>
          <w:p w14:paraId="482AD219"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41%</w:t>
            </w:r>
          </w:p>
        </w:tc>
        <w:tc>
          <w:tcPr>
            <w:tcW w:w="1350" w:type="dxa"/>
            <w:tcBorders>
              <w:top w:val="nil"/>
              <w:left w:val="nil"/>
              <w:bottom w:val="single" w:sz="4" w:space="0" w:color="808080"/>
              <w:right w:val="nil"/>
            </w:tcBorders>
            <w:shd w:val="clear" w:color="auto" w:fill="auto"/>
            <w:noWrap/>
            <w:vAlign w:val="bottom"/>
            <w:hideMark/>
          </w:tcPr>
          <w:p w14:paraId="2DCAD5F6"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90%</w:t>
            </w:r>
          </w:p>
        </w:tc>
      </w:tr>
      <w:tr w:rsidR="00726380" w:rsidRPr="0046564E" w14:paraId="32DF8077" w14:textId="77777777" w:rsidTr="00D85134">
        <w:trPr>
          <w:trHeight w:val="300"/>
        </w:trPr>
        <w:tc>
          <w:tcPr>
            <w:tcW w:w="3838" w:type="dxa"/>
            <w:tcBorders>
              <w:top w:val="nil"/>
              <w:left w:val="nil"/>
              <w:bottom w:val="single" w:sz="4" w:space="0" w:color="808080"/>
              <w:right w:val="nil"/>
            </w:tcBorders>
            <w:shd w:val="clear" w:color="auto" w:fill="auto"/>
            <w:noWrap/>
            <w:vAlign w:val="bottom"/>
            <w:hideMark/>
          </w:tcPr>
          <w:p w14:paraId="78276515" w14:textId="77777777" w:rsidR="00726380" w:rsidRPr="0046564E" w:rsidRDefault="00726380" w:rsidP="00D85134">
            <w:pPr>
              <w:ind w:left="-53"/>
              <w:rPr>
                <w:rFonts w:eastAsia="Times New Roman" w:cs="Times New Roman"/>
                <w:color w:val="000000"/>
                <w:sz w:val="18"/>
                <w:szCs w:val="18"/>
              </w:rPr>
            </w:pPr>
            <w:r w:rsidRPr="0046564E">
              <w:rPr>
                <w:rFonts w:eastAsia="Times New Roman" w:cs="Times New Roman"/>
                <w:color w:val="000000"/>
                <w:sz w:val="18"/>
                <w:szCs w:val="18"/>
              </w:rPr>
              <w:t>In Emergency Shelter</w:t>
            </w:r>
          </w:p>
        </w:tc>
        <w:tc>
          <w:tcPr>
            <w:tcW w:w="734" w:type="dxa"/>
            <w:tcBorders>
              <w:top w:val="nil"/>
              <w:left w:val="nil"/>
              <w:bottom w:val="single" w:sz="4" w:space="0" w:color="808080"/>
              <w:right w:val="nil"/>
            </w:tcBorders>
            <w:shd w:val="clear" w:color="auto" w:fill="auto"/>
            <w:noWrap/>
            <w:vAlign w:val="bottom"/>
            <w:hideMark/>
          </w:tcPr>
          <w:p w14:paraId="1A5DD722"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14%</w:t>
            </w:r>
          </w:p>
        </w:tc>
        <w:tc>
          <w:tcPr>
            <w:tcW w:w="1113" w:type="dxa"/>
            <w:tcBorders>
              <w:top w:val="nil"/>
              <w:left w:val="nil"/>
              <w:bottom w:val="single" w:sz="4" w:space="0" w:color="808080"/>
              <w:right w:val="nil"/>
            </w:tcBorders>
            <w:shd w:val="clear" w:color="auto" w:fill="auto"/>
            <w:noWrap/>
            <w:vAlign w:val="bottom"/>
            <w:hideMark/>
          </w:tcPr>
          <w:p w14:paraId="1D12FA9C"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11%</w:t>
            </w:r>
          </w:p>
        </w:tc>
        <w:tc>
          <w:tcPr>
            <w:tcW w:w="1350" w:type="dxa"/>
            <w:tcBorders>
              <w:top w:val="nil"/>
              <w:left w:val="nil"/>
              <w:bottom w:val="single" w:sz="4" w:space="0" w:color="808080"/>
              <w:right w:val="nil"/>
            </w:tcBorders>
            <w:shd w:val="clear" w:color="auto" w:fill="auto"/>
            <w:noWrap/>
            <w:vAlign w:val="bottom"/>
            <w:hideMark/>
          </w:tcPr>
          <w:p w14:paraId="7C25028B"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-18%</w:t>
            </w:r>
          </w:p>
        </w:tc>
      </w:tr>
      <w:tr w:rsidR="00726380" w:rsidRPr="0046564E" w14:paraId="5E8693CF" w14:textId="77777777" w:rsidTr="00D85134">
        <w:trPr>
          <w:trHeight w:val="300"/>
        </w:trPr>
        <w:tc>
          <w:tcPr>
            <w:tcW w:w="3838" w:type="dxa"/>
            <w:tcBorders>
              <w:top w:val="nil"/>
              <w:left w:val="nil"/>
              <w:bottom w:val="single" w:sz="4" w:space="0" w:color="808080"/>
              <w:right w:val="nil"/>
            </w:tcBorders>
            <w:shd w:val="clear" w:color="auto" w:fill="auto"/>
            <w:noWrap/>
            <w:vAlign w:val="bottom"/>
            <w:hideMark/>
          </w:tcPr>
          <w:p w14:paraId="43501359" w14:textId="77777777" w:rsidR="00726380" w:rsidRPr="0046564E" w:rsidRDefault="00726380" w:rsidP="00D85134">
            <w:pPr>
              <w:ind w:left="-53"/>
              <w:rPr>
                <w:rFonts w:eastAsia="Times New Roman" w:cs="Times New Roman"/>
                <w:color w:val="000000"/>
                <w:sz w:val="18"/>
                <w:szCs w:val="18"/>
              </w:rPr>
            </w:pPr>
            <w:r w:rsidRPr="0046564E">
              <w:rPr>
                <w:rFonts w:eastAsia="Times New Roman" w:cs="Times New Roman"/>
                <w:color w:val="000000"/>
                <w:sz w:val="18"/>
                <w:szCs w:val="18"/>
              </w:rPr>
              <w:t>In Motel with Motel Voucher</w:t>
            </w:r>
          </w:p>
        </w:tc>
        <w:tc>
          <w:tcPr>
            <w:tcW w:w="734" w:type="dxa"/>
            <w:tcBorders>
              <w:top w:val="nil"/>
              <w:left w:val="nil"/>
              <w:bottom w:val="single" w:sz="4" w:space="0" w:color="808080"/>
              <w:right w:val="nil"/>
            </w:tcBorders>
            <w:shd w:val="clear" w:color="auto" w:fill="auto"/>
            <w:noWrap/>
            <w:vAlign w:val="bottom"/>
            <w:hideMark/>
          </w:tcPr>
          <w:p w14:paraId="7203070F"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5%</w:t>
            </w:r>
          </w:p>
        </w:tc>
        <w:tc>
          <w:tcPr>
            <w:tcW w:w="1113" w:type="dxa"/>
            <w:tcBorders>
              <w:top w:val="nil"/>
              <w:left w:val="nil"/>
              <w:bottom w:val="single" w:sz="4" w:space="0" w:color="808080"/>
              <w:right w:val="nil"/>
            </w:tcBorders>
            <w:shd w:val="clear" w:color="auto" w:fill="auto"/>
            <w:noWrap/>
            <w:vAlign w:val="bottom"/>
            <w:hideMark/>
          </w:tcPr>
          <w:p w14:paraId="7932C075"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w:t>
            </w:r>
          </w:p>
        </w:tc>
        <w:tc>
          <w:tcPr>
            <w:tcW w:w="1350" w:type="dxa"/>
            <w:tcBorders>
              <w:top w:val="nil"/>
              <w:left w:val="nil"/>
              <w:bottom w:val="single" w:sz="4" w:space="0" w:color="808080"/>
              <w:right w:val="nil"/>
            </w:tcBorders>
            <w:shd w:val="clear" w:color="auto" w:fill="auto"/>
            <w:noWrap/>
            <w:vAlign w:val="bottom"/>
            <w:hideMark/>
          </w:tcPr>
          <w:p w14:paraId="2B0E4C01"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-73%</w:t>
            </w:r>
          </w:p>
        </w:tc>
      </w:tr>
      <w:tr w:rsidR="00726380" w:rsidRPr="0046564E" w14:paraId="5B91E583" w14:textId="77777777" w:rsidTr="00D85134">
        <w:trPr>
          <w:trHeight w:val="300"/>
        </w:trPr>
        <w:tc>
          <w:tcPr>
            <w:tcW w:w="3838" w:type="dxa"/>
            <w:tcBorders>
              <w:top w:val="nil"/>
              <w:left w:val="nil"/>
              <w:bottom w:val="single" w:sz="4" w:space="0" w:color="808080"/>
              <w:right w:val="nil"/>
            </w:tcBorders>
            <w:shd w:val="clear" w:color="auto" w:fill="auto"/>
            <w:noWrap/>
            <w:vAlign w:val="bottom"/>
            <w:hideMark/>
          </w:tcPr>
          <w:p w14:paraId="6BE1570B" w14:textId="77777777" w:rsidR="00726380" w:rsidRPr="0046564E" w:rsidRDefault="00726380" w:rsidP="00D85134">
            <w:pPr>
              <w:ind w:left="-53"/>
              <w:rPr>
                <w:rFonts w:eastAsia="Times New Roman" w:cs="Times New Roman"/>
                <w:color w:val="000000"/>
                <w:sz w:val="18"/>
                <w:szCs w:val="18"/>
              </w:rPr>
            </w:pPr>
            <w:r w:rsidRPr="0046564E">
              <w:rPr>
                <w:rFonts w:eastAsia="Times New Roman" w:cs="Times New Roman"/>
                <w:color w:val="000000"/>
                <w:sz w:val="18"/>
                <w:szCs w:val="18"/>
              </w:rPr>
              <w:t xml:space="preserve">In Transitional Housing </w:t>
            </w:r>
          </w:p>
        </w:tc>
        <w:tc>
          <w:tcPr>
            <w:tcW w:w="734" w:type="dxa"/>
            <w:tcBorders>
              <w:top w:val="nil"/>
              <w:left w:val="nil"/>
              <w:bottom w:val="single" w:sz="4" w:space="0" w:color="808080"/>
              <w:right w:val="nil"/>
            </w:tcBorders>
            <w:shd w:val="clear" w:color="auto" w:fill="auto"/>
            <w:noWrap/>
            <w:vAlign w:val="bottom"/>
            <w:hideMark/>
          </w:tcPr>
          <w:p w14:paraId="3ED541F3"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15%</w:t>
            </w:r>
          </w:p>
        </w:tc>
        <w:tc>
          <w:tcPr>
            <w:tcW w:w="1113" w:type="dxa"/>
            <w:tcBorders>
              <w:top w:val="nil"/>
              <w:left w:val="nil"/>
              <w:bottom w:val="single" w:sz="4" w:space="0" w:color="808080"/>
              <w:right w:val="nil"/>
            </w:tcBorders>
            <w:shd w:val="clear" w:color="auto" w:fill="auto"/>
            <w:noWrap/>
            <w:vAlign w:val="bottom"/>
            <w:hideMark/>
          </w:tcPr>
          <w:p w14:paraId="164FD1FC"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19%</w:t>
            </w:r>
          </w:p>
        </w:tc>
        <w:tc>
          <w:tcPr>
            <w:tcW w:w="1350" w:type="dxa"/>
            <w:tcBorders>
              <w:top w:val="nil"/>
              <w:left w:val="nil"/>
              <w:bottom w:val="single" w:sz="4" w:space="0" w:color="808080"/>
              <w:right w:val="nil"/>
            </w:tcBorders>
            <w:shd w:val="clear" w:color="auto" w:fill="auto"/>
            <w:noWrap/>
            <w:vAlign w:val="bottom"/>
            <w:hideMark/>
          </w:tcPr>
          <w:p w14:paraId="0F3767B3"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41%</w:t>
            </w:r>
          </w:p>
        </w:tc>
      </w:tr>
      <w:tr w:rsidR="00726380" w:rsidRPr="0046564E" w14:paraId="77977466" w14:textId="77777777" w:rsidTr="00D85134">
        <w:trPr>
          <w:trHeight w:val="300"/>
        </w:trPr>
        <w:tc>
          <w:tcPr>
            <w:tcW w:w="3838" w:type="dxa"/>
            <w:tcBorders>
              <w:top w:val="nil"/>
              <w:left w:val="nil"/>
              <w:bottom w:val="single" w:sz="4" w:space="0" w:color="808080"/>
              <w:right w:val="nil"/>
            </w:tcBorders>
            <w:shd w:val="clear" w:color="auto" w:fill="auto"/>
            <w:noWrap/>
            <w:vAlign w:val="bottom"/>
            <w:hideMark/>
          </w:tcPr>
          <w:p w14:paraId="071EC83B" w14:textId="77777777" w:rsidR="00726380" w:rsidRPr="0046564E" w:rsidRDefault="00726380" w:rsidP="00D85134">
            <w:pPr>
              <w:ind w:left="-53"/>
              <w:rPr>
                <w:rFonts w:eastAsia="Times New Roman" w:cs="Times New Roman"/>
                <w:color w:val="000000"/>
                <w:sz w:val="18"/>
                <w:szCs w:val="18"/>
              </w:rPr>
            </w:pPr>
            <w:r w:rsidRPr="0046564E">
              <w:rPr>
                <w:rFonts w:eastAsia="Times New Roman" w:cs="Times New Roman"/>
                <w:color w:val="000000"/>
                <w:sz w:val="18"/>
                <w:szCs w:val="18"/>
              </w:rPr>
              <w:t>In Institution</w:t>
            </w:r>
          </w:p>
        </w:tc>
        <w:tc>
          <w:tcPr>
            <w:tcW w:w="734" w:type="dxa"/>
            <w:tcBorders>
              <w:top w:val="nil"/>
              <w:left w:val="nil"/>
              <w:bottom w:val="single" w:sz="4" w:space="0" w:color="808080"/>
              <w:right w:val="nil"/>
            </w:tcBorders>
            <w:shd w:val="clear" w:color="auto" w:fill="auto"/>
            <w:noWrap/>
            <w:vAlign w:val="bottom"/>
            <w:hideMark/>
          </w:tcPr>
          <w:p w14:paraId="42F439A7"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13%</w:t>
            </w:r>
          </w:p>
        </w:tc>
        <w:tc>
          <w:tcPr>
            <w:tcW w:w="1113" w:type="dxa"/>
            <w:tcBorders>
              <w:top w:val="nil"/>
              <w:left w:val="nil"/>
              <w:bottom w:val="single" w:sz="4" w:space="0" w:color="808080"/>
              <w:right w:val="nil"/>
            </w:tcBorders>
            <w:shd w:val="clear" w:color="auto" w:fill="auto"/>
            <w:noWrap/>
            <w:vAlign w:val="bottom"/>
            <w:hideMark/>
          </w:tcPr>
          <w:p w14:paraId="2E549AAE"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12%</w:t>
            </w:r>
          </w:p>
        </w:tc>
        <w:tc>
          <w:tcPr>
            <w:tcW w:w="1350" w:type="dxa"/>
            <w:tcBorders>
              <w:top w:val="nil"/>
              <w:left w:val="nil"/>
              <w:bottom w:val="single" w:sz="4" w:space="0" w:color="808080"/>
              <w:right w:val="nil"/>
            </w:tcBorders>
            <w:shd w:val="clear" w:color="auto" w:fill="auto"/>
            <w:noWrap/>
            <w:vAlign w:val="bottom"/>
            <w:hideMark/>
          </w:tcPr>
          <w:p w14:paraId="7EBEC4F9"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7%</w:t>
            </w:r>
          </w:p>
        </w:tc>
      </w:tr>
      <w:tr w:rsidR="00726380" w:rsidRPr="0046564E" w14:paraId="1FCB29B5" w14:textId="77777777" w:rsidTr="00D85134">
        <w:trPr>
          <w:trHeight w:val="300"/>
        </w:trPr>
        <w:tc>
          <w:tcPr>
            <w:tcW w:w="3838" w:type="dxa"/>
            <w:tcBorders>
              <w:top w:val="single" w:sz="4" w:space="0" w:color="auto"/>
              <w:left w:val="nil"/>
              <w:bottom w:val="single" w:sz="4" w:space="0" w:color="auto"/>
              <w:right w:val="nil"/>
            </w:tcBorders>
            <w:shd w:val="clear" w:color="auto" w:fill="auto"/>
            <w:noWrap/>
            <w:vAlign w:val="bottom"/>
            <w:hideMark/>
          </w:tcPr>
          <w:p w14:paraId="08595549" w14:textId="77777777" w:rsidR="00726380" w:rsidRPr="0046564E" w:rsidRDefault="00726380" w:rsidP="00D85134">
            <w:pPr>
              <w:ind w:left="-53"/>
              <w:rPr>
                <w:rFonts w:eastAsia="Times New Roman" w:cs="Times New Roman"/>
                <w:color w:val="000000"/>
                <w:sz w:val="18"/>
                <w:szCs w:val="18"/>
              </w:rPr>
            </w:pPr>
            <w:r w:rsidRPr="0046564E">
              <w:rPr>
                <w:rFonts w:eastAsia="Times New Roman" w:cs="Times New Roman"/>
                <w:color w:val="000000"/>
                <w:sz w:val="18"/>
                <w:szCs w:val="18"/>
              </w:rPr>
              <w:t>Total:</w:t>
            </w:r>
          </w:p>
        </w:tc>
        <w:tc>
          <w:tcPr>
            <w:tcW w:w="734" w:type="dxa"/>
            <w:tcBorders>
              <w:top w:val="single" w:sz="4" w:space="0" w:color="auto"/>
              <w:left w:val="nil"/>
              <w:bottom w:val="single" w:sz="4" w:space="0" w:color="auto"/>
              <w:right w:val="nil"/>
            </w:tcBorders>
            <w:shd w:val="clear" w:color="auto" w:fill="auto"/>
            <w:noWrap/>
            <w:vAlign w:val="bottom"/>
            <w:hideMark/>
          </w:tcPr>
          <w:p w14:paraId="6629781B"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2,064</w:t>
            </w:r>
          </w:p>
        </w:tc>
        <w:tc>
          <w:tcPr>
            <w:tcW w:w="1113" w:type="dxa"/>
            <w:tcBorders>
              <w:top w:val="single" w:sz="4" w:space="0" w:color="auto"/>
              <w:left w:val="nil"/>
              <w:bottom w:val="single" w:sz="4" w:space="0" w:color="auto"/>
              <w:right w:val="nil"/>
            </w:tcBorders>
            <w:shd w:val="clear" w:color="auto" w:fill="auto"/>
            <w:noWrap/>
            <w:vAlign w:val="bottom"/>
            <w:hideMark/>
          </w:tcPr>
          <w:p w14:paraId="5FF1928D"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2,281</w:t>
            </w:r>
          </w:p>
        </w:tc>
        <w:tc>
          <w:tcPr>
            <w:tcW w:w="1350" w:type="dxa"/>
            <w:tcBorders>
              <w:top w:val="single" w:sz="4" w:space="0" w:color="auto"/>
              <w:left w:val="nil"/>
              <w:bottom w:val="single" w:sz="4" w:space="0" w:color="auto"/>
              <w:right w:val="nil"/>
            </w:tcBorders>
            <w:shd w:val="clear" w:color="auto" w:fill="auto"/>
            <w:noWrap/>
            <w:vAlign w:val="bottom"/>
            <w:hideMark/>
          </w:tcPr>
          <w:p w14:paraId="519016E5" w14:textId="77777777" w:rsidR="00726380" w:rsidRPr="0046564E" w:rsidRDefault="00726380" w:rsidP="00D85134">
            <w:pPr>
              <w:ind w:left="-53"/>
              <w:jc w:val="right"/>
              <w:rPr>
                <w:rFonts w:eastAsia="Times New Roman" w:cs="Times New Roman"/>
                <w:color w:val="000000"/>
                <w:sz w:val="18"/>
                <w:szCs w:val="18"/>
              </w:rPr>
            </w:pPr>
            <w:r w:rsidRPr="0046564E">
              <w:rPr>
                <w:rFonts w:eastAsia="Times New Roman" w:cs="Times New Roman"/>
                <w:color w:val="000000"/>
                <w:sz w:val="18"/>
                <w:szCs w:val="18"/>
              </w:rPr>
              <w:t>217</w:t>
            </w:r>
          </w:p>
        </w:tc>
      </w:tr>
      <w:tr w:rsidR="00726380" w:rsidRPr="007C15A6" w14:paraId="7C7A1A94" w14:textId="77777777" w:rsidTr="00D85134">
        <w:trPr>
          <w:trHeight w:val="540"/>
        </w:trPr>
        <w:tc>
          <w:tcPr>
            <w:tcW w:w="7035" w:type="dxa"/>
            <w:gridSpan w:val="4"/>
            <w:tcBorders>
              <w:top w:val="single" w:sz="4" w:space="0" w:color="auto"/>
              <w:left w:val="nil"/>
              <w:bottom w:val="nil"/>
              <w:right w:val="nil"/>
            </w:tcBorders>
            <w:shd w:val="clear" w:color="auto" w:fill="auto"/>
            <w:vAlign w:val="bottom"/>
            <w:hideMark/>
          </w:tcPr>
          <w:p w14:paraId="500BC86A" w14:textId="77777777" w:rsidR="00726380" w:rsidRDefault="00726380" w:rsidP="00D85134">
            <w:pPr>
              <w:spacing w:line="240" w:lineRule="auto"/>
              <w:rPr>
                <w:rFonts w:eastAsia="Times New Roman" w:cs="Times New Roman"/>
                <w:iCs/>
                <w:sz w:val="18"/>
                <w:szCs w:val="16"/>
              </w:rPr>
            </w:pPr>
          </w:p>
          <w:p w14:paraId="6F14652B" w14:textId="77777777" w:rsidR="00726380" w:rsidRPr="007C15A6" w:rsidRDefault="00726380" w:rsidP="00D85134">
            <w:pPr>
              <w:spacing w:line="240" w:lineRule="auto"/>
              <w:rPr>
                <w:rFonts w:eastAsia="Times New Roman" w:cs="Times New Roman"/>
                <w:iCs/>
                <w:sz w:val="18"/>
                <w:szCs w:val="16"/>
              </w:rPr>
            </w:pPr>
            <w:r w:rsidRPr="007C15A6">
              <w:rPr>
                <w:rFonts w:eastAsia="Times New Roman" w:cs="Times New Roman"/>
                <w:iCs/>
                <w:sz w:val="18"/>
                <w:szCs w:val="16"/>
              </w:rPr>
              <w:t>Source: 2013 San Mateo County Homeless Census and Survey, 2011 San Mateo County Homeless Census and Survey, 2009 San Mateo County Homeless Census and Survey, prepared by the San Mateo Human Services Agency, Center on Homelessness</w:t>
            </w:r>
          </w:p>
        </w:tc>
      </w:tr>
    </w:tbl>
    <w:p w14:paraId="735A989F" w14:textId="77777777" w:rsidR="00726380" w:rsidRDefault="00726380" w:rsidP="00726380"/>
    <w:p w14:paraId="678B7E9B" w14:textId="77777777" w:rsidR="00D25635" w:rsidRPr="007C15A6" w:rsidRDefault="00D25635" w:rsidP="00067077">
      <w:pPr>
        <w:pStyle w:val="21ElementsText"/>
        <w:rPr>
          <w:b/>
          <w:color w:val="0B5095"/>
          <w:sz w:val="24"/>
        </w:rPr>
      </w:pPr>
      <w:r w:rsidRPr="007C15A6">
        <w:rPr>
          <w:b/>
          <w:color w:val="0B5095"/>
          <w:sz w:val="24"/>
        </w:rPr>
        <w:t xml:space="preserve">Farm Workers </w:t>
      </w:r>
    </w:p>
    <w:p w14:paraId="2199DCF7" w14:textId="58A5F564" w:rsidR="00D25635" w:rsidRPr="007C15A6" w:rsidRDefault="00D25635" w:rsidP="007C15A6">
      <w:pPr>
        <w:pStyle w:val="21ElementsText"/>
        <w:rPr>
          <w:rFonts w:cs="Times New Roman"/>
        </w:rPr>
      </w:pPr>
      <w:r w:rsidRPr="007C15A6">
        <w:t>Farmworkers are traditionally defined as persons whose primary incomes are earned through seasonal agricultural labor. They have special housing needs because of their relatively low income and the unstable nature of their job (i.e. having to move throughout the year from one harvest to the next).</w:t>
      </w:r>
      <w:r w:rsidR="00195DA8" w:rsidRPr="007C15A6">
        <w:t xml:space="preserve"> </w:t>
      </w:r>
      <w:r w:rsidRPr="007C15A6">
        <w:rPr>
          <w:rFonts w:cs="Times New Roman"/>
        </w:rPr>
        <w:t>ABAG has determined that housing for farmworkers is not suitable in the urbanized portion of the Bay Area located far from agricultural areas.</w:t>
      </w:r>
    </w:p>
    <w:p w14:paraId="26BEA502" w14:textId="770106F5" w:rsidR="007C6D79" w:rsidRPr="007C15A6" w:rsidRDefault="007C6D79" w:rsidP="007C15A6">
      <w:pPr>
        <w:pStyle w:val="21ElementsText"/>
        <w:rPr>
          <w:b/>
        </w:rPr>
      </w:pPr>
      <w:r w:rsidRPr="007C15A6">
        <w:rPr>
          <w:b/>
        </w:rPr>
        <w:br w:type="page"/>
      </w:r>
    </w:p>
    <w:p w14:paraId="221D56C7" w14:textId="77777777" w:rsidR="007C6D79" w:rsidRPr="007C15A6" w:rsidRDefault="007C6D79" w:rsidP="00067077">
      <w:pPr>
        <w:pStyle w:val="21ElementsText"/>
        <w:rPr>
          <w:b/>
          <w:color w:val="0B5095"/>
          <w:sz w:val="28"/>
        </w:rPr>
      </w:pPr>
      <w:r w:rsidRPr="007C15A6">
        <w:rPr>
          <w:b/>
          <w:color w:val="0B5095"/>
          <w:sz w:val="28"/>
        </w:rPr>
        <w:t>Sources Referenced</w:t>
      </w:r>
    </w:p>
    <w:p w14:paraId="5A96C80A" w14:textId="77777777" w:rsidR="007C6D79" w:rsidRDefault="007C6D79" w:rsidP="00067077">
      <w:pPr>
        <w:pStyle w:val="21ElementsText"/>
      </w:pPr>
    </w:p>
    <w:p w14:paraId="27EC7D93" w14:textId="77777777" w:rsidR="00052ED4" w:rsidRDefault="00052ED4" w:rsidP="00052ED4">
      <w:pPr>
        <w:pStyle w:val="21ElementsText"/>
      </w:pPr>
      <w:r>
        <w:t xml:space="preserve">“How Much House Can I Afford?” Mortgage calculator. </w:t>
      </w:r>
      <w:r w:rsidRPr="006B6BE5">
        <w:t>www.hsh.com/calc-howmuch.html</w:t>
      </w:r>
      <w:r>
        <w:t xml:space="preserve"> </w:t>
      </w:r>
    </w:p>
    <w:p w14:paraId="369A28E6" w14:textId="77777777" w:rsidR="00052ED4" w:rsidRPr="00D651BA" w:rsidRDefault="00052ED4" w:rsidP="00052ED4">
      <w:pPr>
        <w:pStyle w:val="21ElementsText"/>
        <w:rPr>
          <w:iCs/>
          <w:szCs w:val="22"/>
        </w:rPr>
      </w:pPr>
      <w:r w:rsidRPr="00D651BA">
        <w:rPr>
          <w:iCs/>
          <w:szCs w:val="22"/>
        </w:rPr>
        <w:t>Notes: Maximum affordable house price is based on the following assumptions: 4.5% interest rate; 30-year fixed loan; 50% Yearly Salary as Down Payment; 1% property tax; PMI, .5% insurance rate; and no other monthly payments/debt.</w:t>
      </w:r>
    </w:p>
    <w:p w14:paraId="531FD7BF" w14:textId="77777777" w:rsidR="00052ED4" w:rsidRDefault="00052ED4" w:rsidP="00052ED4">
      <w:pPr>
        <w:pStyle w:val="21ElementsText"/>
      </w:pPr>
    </w:p>
    <w:p w14:paraId="07A48C36" w14:textId="4969BF4F" w:rsidR="00052ED4" w:rsidRDefault="0020362E" w:rsidP="00052ED4">
      <w:pPr>
        <w:pStyle w:val="21ElementsText"/>
        <w:rPr>
          <w:rStyle w:val="Hyperlink"/>
        </w:rPr>
      </w:pPr>
      <w:r>
        <w:t>2007-2011</w:t>
      </w:r>
      <w:r w:rsidR="00052ED4">
        <w:t xml:space="preserve"> American Community Survey 3- year estimates and 2007-2011 American Community Survey 5-year estimates. </w:t>
      </w:r>
      <w:r w:rsidR="00052ED4" w:rsidRPr="006B6BE5">
        <w:t>www.census.gov/acs</w:t>
      </w:r>
    </w:p>
    <w:p w14:paraId="4EA3B494" w14:textId="77777777" w:rsidR="00052ED4" w:rsidRPr="00D651BA" w:rsidRDefault="00052ED4" w:rsidP="00052ED4">
      <w:pPr>
        <w:pStyle w:val="21ElementsText"/>
        <w:rPr>
          <w:rStyle w:val="Hyperlink"/>
          <w:i/>
          <w:szCs w:val="22"/>
        </w:rPr>
      </w:pPr>
      <w:r w:rsidRPr="00D651BA">
        <w:rPr>
          <w:szCs w:val="22"/>
        </w:rPr>
        <w:t xml:space="preserve">Notes: </w:t>
      </w:r>
      <w:r>
        <w:rPr>
          <w:szCs w:val="22"/>
        </w:rPr>
        <w:t xml:space="preserve">The American Community Survey is conducted by the US Census. </w:t>
      </w:r>
      <w:r w:rsidRPr="00D651BA">
        <w:rPr>
          <w:szCs w:val="22"/>
        </w:rPr>
        <w:t xml:space="preserve">While data from the ACS is actually the result of a three-year or five-year running average, it </w:t>
      </w:r>
      <w:r>
        <w:rPr>
          <w:szCs w:val="22"/>
        </w:rPr>
        <w:t>has</w:t>
      </w:r>
      <w:r w:rsidRPr="00D651BA">
        <w:rPr>
          <w:szCs w:val="22"/>
        </w:rPr>
        <w:t xml:space="preserve"> b</w:t>
      </w:r>
      <w:r>
        <w:rPr>
          <w:szCs w:val="22"/>
        </w:rPr>
        <w:t>e</w:t>
      </w:r>
      <w:r w:rsidRPr="00D651BA">
        <w:rPr>
          <w:szCs w:val="22"/>
        </w:rPr>
        <w:t>e</w:t>
      </w:r>
      <w:r>
        <w:rPr>
          <w:szCs w:val="22"/>
        </w:rPr>
        <w:t>n</w:t>
      </w:r>
      <w:r w:rsidRPr="00D651BA">
        <w:rPr>
          <w:szCs w:val="22"/>
        </w:rPr>
        <w:t xml:space="preserve"> referred to as 2011 data for simplicity’s sa</w:t>
      </w:r>
      <w:r>
        <w:rPr>
          <w:szCs w:val="22"/>
        </w:rPr>
        <w:t>k</w:t>
      </w:r>
      <w:r w:rsidRPr="00D651BA">
        <w:rPr>
          <w:szCs w:val="22"/>
        </w:rPr>
        <w:t>e</w:t>
      </w:r>
      <w:r>
        <w:rPr>
          <w:szCs w:val="22"/>
        </w:rPr>
        <w:t xml:space="preserve"> throughout this report</w:t>
      </w:r>
      <w:r w:rsidRPr="00D651BA">
        <w:rPr>
          <w:szCs w:val="22"/>
        </w:rPr>
        <w:t xml:space="preserve">. </w:t>
      </w:r>
      <w:r>
        <w:rPr>
          <w:szCs w:val="22"/>
        </w:rPr>
        <w:t>Most data in this report</w:t>
      </w:r>
      <w:r w:rsidRPr="00D651BA">
        <w:rPr>
          <w:szCs w:val="22"/>
        </w:rPr>
        <w:t xml:space="preserve"> are from the American Community Survey. </w:t>
      </w:r>
    </w:p>
    <w:p w14:paraId="79537E1C" w14:textId="77777777" w:rsidR="00052ED4" w:rsidRDefault="00052ED4" w:rsidP="00052ED4">
      <w:pPr>
        <w:pStyle w:val="21ElementsText"/>
        <w:rPr>
          <w:rStyle w:val="Hyperlink"/>
        </w:rPr>
      </w:pPr>
    </w:p>
    <w:p w14:paraId="1319EB0A" w14:textId="77777777" w:rsidR="00052ED4" w:rsidRDefault="00052ED4" w:rsidP="00052ED4">
      <w:pPr>
        <w:pStyle w:val="21ElementsText"/>
      </w:pPr>
      <w:r>
        <w:t xml:space="preserve">Association of Bay Area Governments: Projections 2009. </w:t>
      </w:r>
    </w:p>
    <w:p w14:paraId="645AA3A4" w14:textId="77777777" w:rsidR="00052ED4" w:rsidRPr="00833E12" w:rsidRDefault="00052ED4" w:rsidP="00052ED4">
      <w:pPr>
        <w:pStyle w:val="21ElementsText"/>
        <w:rPr>
          <w:szCs w:val="22"/>
        </w:rPr>
      </w:pPr>
      <w:r w:rsidRPr="00833E12">
        <w:rPr>
          <w:szCs w:val="22"/>
        </w:rPr>
        <w:t xml:space="preserve">Notes: The Association of Bay Area Governments provides the most accurate </w:t>
      </w:r>
      <w:r>
        <w:rPr>
          <w:szCs w:val="22"/>
        </w:rPr>
        <w:t xml:space="preserve">population and employment data </w:t>
      </w:r>
      <w:r w:rsidRPr="00833E12">
        <w:rPr>
          <w:szCs w:val="22"/>
        </w:rPr>
        <w:t xml:space="preserve">for cities in the nine county Bay Area. These projections are based on theoretical models and can run high. </w:t>
      </w:r>
    </w:p>
    <w:p w14:paraId="0444AF96" w14:textId="77777777" w:rsidR="00052ED4" w:rsidRDefault="00052ED4" w:rsidP="00052ED4">
      <w:pPr>
        <w:pStyle w:val="21ElementsText"/>
      </w:pPr>
    </w:p>
    <w:p w14:paraId="5A10BB46" w14:textId="77777777" w:rsidR="00052ED4" w:rsidRDefault="00052ED4" w:rsidP="00052ED4">
      <w:pPr>
        <w:pStyle w:val="21ElementsText"/>
      </w:pPr>
      <w:r>
        <w:t xml:space="preserve">Association of Bay Area Governments. 2014-2022 Regional Housing Needs Allocation. </w:t>
      </w:r>
    </w:p>
    <w:p w14:paraId="4EED4598" w14:textId="77777777" w:rsidR="00052ED4" w:rsidRDefault="00052ED4" w:rsidP="00052ED4">
      <w:pPr>
        <w:pStyle w:val="21ElementsText"/>
        <w:rPr>
          <w:szCs w:val="22"/>
        </w:rPr>
      </w:pPr>
      <w:r w:rsidRPr="00833E12">
        <w:rPr>
          <w:szCs w:val="22"/>
        </w:rPr>
        <w:t>Notes: The Regional Housing Needs Allocation (RHNA) addresses housing demand across income levels and coordinates housing policy throughout California. Each jurisdiction in the Bay Area (101 cities, nine counties) is given a share of the anticipated regional housing need. The Bay Area's regional housing need is generally allocated by the California State Department of Housing and Community Development (HCD), and finalized though negotiations with the Association of Bay Area Governments (ABAG).</w:t>
      </w:r>
    </w:p>
    <w:p w14:paraId="7F93B7E6" w14:textId="77777777" w:rsidR="00052ED4" w:rsidRDefault="00052ED4" w:rsidP="00052ED4">
      <w:pPr>
        <w:pStyle w:val="21ElementsText"/>
        <w:rPr>
          <w:szCs w:val="22"/>
        </w:rPr>
      </w:pPr>
    </w:p>
    <w:p w14:paraId="6102F108" w14:textId="77777777" w:rsidR="00052ED4" w:rsidRDefault="00052ED4" w:rsidP="00052ED4">
      <w:pPr>
        <w:pStyle w:val="21ElementsText"/>
        <w:rPr>
          <w:szCs w:val="22"/>
        </w:rPr>
      </w:pPr>
      <w:r>
        <w:rPr>
          <w:szCs w:val="22"/>
        </w:rPr>
        <w:t xml:space="preserve">California Department of Finance demographic reports available at </w:t>
      </w:r>
      <w:hyperlink r:id="rId23" w:history="1">
        <w:r w:rsidRPr="005D1326">
          <w:rPr>
            <w:rStyle w:val="Hyperlink"/>
            <w:szCs w:val="22"/>
          </w:rPr>
          <w:t>http://www.dof.ca.gov/research/demographic/reports/view.php</w:t>
        </w:r>
      </w:hyperlink>
    </w:p>
    <w:p w14:paraId="48E5B11F" w14:textId="77777777" w:rsidR="00052ED4" w:rsidRPr="00833E12" w:rsidRDefault="00052ED4" w:rsidP="00052ED4">
      <w:pPr>
        <w:pStyle w:val="21ElementsText"/>
        <w:rPr>
          <w:szCs w:val="22"/>
        </w:rPr>
      </w:pPr>
      <w:r>
        <w:rPr>
          <w:szCs w:val="22"/>
        </w:rPr>
        <w:t xml:space="preserve"> </w:t>
      </w:r>
    </w:p>
    <w:p w14:paraId="2EC8DDB6" w14:textId="77777777" w:rsidR="00052ED4" w:rsidRDefault="00052ED4" w:rsidP="00052ED4">
      <w:pPr>
        <w:pStyle w:val="21ElementsText"/>
      </w:pPr>
      <w:r>
        <w:t xml:space="preserve">California Department of Housing and Community Development. State Income Limits for 2013. </w:t>
      </w:r>
      <w:r w:rsidRPr="006F6E0E">
        <w:t>http://www.hcd.ca.gov/hpd/hrc/rep/state/inc2k13.pdf</w:t>
      </w:r>
    </w:p>
    <w:p w14:paraId="6AEE54B9" w14:textId="77777777" w:rsidR="00052ED4" w:rsidRDefault="00052ED4" w:rsidP="00052ED4">
      <w:pPr>
        <w:pStyle w:val="21ElementsText"/>
      </w:pPr>
      <w:r w:rsidRPr="00833E12">
        <w:rPr>
          <w:szCs w:val="22"/>
        </w:rPr>
        <w:t>Notes: The California Department of Housing and Community Development sets income limits annually based on data on the median family income.  These limits are used to determine eligibility for government-sponsored low income housing, but are also useful categories for discussing broader affordability concerns</w:t>
      </w:r>
      <w:r w:rsidRPr="00CD3C3F">
        <w:t>.</w:t>
      </w:r>
      <w:r>
        <w:t xml:space="preserve"> </w:t>
      </w:r>
    </w:p>
    <w:p w14:paraId="54353398" w14:textId="77777777" w:rsidR="00052ED4" w:rsidRDefault="00052ED4" w:rsidP="00052ED4">
      <w:pPr>
        <w:pStyle w:val="21ElementsText"/>
      </w:pPr>
    </w:p>
    <w:p w14:paraId="180927C3" w14:textId="77777777" w:rsidR="00052ED4" w:rsidRDefault="00052ED4" w:rsidP="00052ED4">
      <w:pPr>
        <w:pStyle w:val="21ElementsText"/>
      </w:pPr>
      <w:r>
        <w:rPr>
          <w:iCs/>
        </w:rPr>
        <w:t xml:space="preserve">California State Board of Pharmacy. </w:t>
      </w:r>
      <w:r w:rsidRPr="000868F2">
        <w:t>Care of Children &amp; Adults with Developmental Disabilities</w:t>
      </w:r>
      <w:r>
        <w:t xml:space="preserve">. 2001.  </w:t>
      </w:r>
    </w:p>
    <w:p w14:paraId="324719A4" w14:textId="77777777" w:rsidR="00052ED4" w:rsidRDefault="00052ED4" w:rsidP="00052ED4">
      <w:pPr>
        <w:pStyle w:val="21ElementsText"/>
      </w:pPr>
    </w:p>
    <w:p w14:paraId="6CAF6C16" w14:textId="77777777" w:rsidR="00052ED4" w:rsidRDefault="00052ED4" w:rsidP="00052ED4">
      <w:pPr>
        <w:pStyle w:val="21ElementsText"/>
      </w:pPr>
      <w:r>
        <w:t xml:space="preserve">Final Report, San Mateo County Housing Needs Study, prepared by Economic Planning Systems, Inc., July 2007 for City/County Council of Governments San Mateo County, San Mateo County Department of Housing, and Housing Endowment and Regional Trust (HEART) </w:t>
      </w:r>
      <w:hyperlink r:id="rId24" w:history="1">
        <w:r w:rsidRPr="005D1326">
          <w:rPr>
            <w:rStyle w:val="Hyperlink"/>
          </w:rPr>
          <w:t>http://www.ccag.ca.gov/pdf/documents/archive/Final%20Housing%20Needs%20Study%20July%202007.pdf</w:t>
        </w:r>
      </w:hyperlink>
    </w:p>
    <w:p w14:paraId="20D27B16" w14:textId="77777777" w:rsidR="00052ED4" w:rsidRDefault="00052ED4" w:rsidP="00052ED4">
      <w:pPr>
        <w:pStyle w:val="21ElementsText"/>
      </w:pPr>
    </w:p>
    <w:p w14:paraId="45C8AE78" w14:textId="77777777" w:rsidR="00052ED4" w:rsidRDefault="00052ED4" w:rsidP="00052ED4">
      <w:pPr>
        <w:pStyle w:val="21ElementsText"/>
        <w:rPr>
          <w:iCs/>
        </w:rPr>
      </w:pPr>
      <w:r>
        <w:rPr>
          <w:iCs/>
        </w:rPr>
        <w:t xml:space="preserve">Craigslist, June-July 2013. </w:t>
      </w:r>
      <w:r w:rsidRPr="006F6E0E">
        <w:rPr>
          <w:iCs/>
        </w:rPr>
        <w:t>www.craigslist.com</w:t>
      </w:r>
      <w:r>
        <w:rPr>
          <w:iCs/>
        </w:rPr>
        <w:t xml:space="preserve">. </w:t>
      </w:r>
    </w:p>
    <w:p w14:paraId="3EDA0344" w14:textId="77777777" w:rsidR="00052ED4" w:rsidRPr="00833E12" w:rsidRDefault="00052ED4" w:rsidP="00052ED4">
      <w:pPr>
        <w:pStyle w:val="21ElementsText"/>
        <w:rPr>
          <w:iCs/>
          <w:szCs w:val="22"/>
        </w:rPr>
      </w:pPr>
      <w:r w:rsidRPr="00833E12">
        <w:rPr>
          <w:iCs/>
          <w:szCs w:val="22"/>
        </w:rPr>
        <w:t xml:space="preserve">Notes: Craigslist is a very popular rental listing website.  To gather average rental data for various jurisdictions, listings were compiled from Craigslist during June 2013 and July 2013. </w:t>
      </w:r>
    </w:p>
    <w:p w14:paraId="4CBC2118" w14:textId="77777777" w:rsidR="00052ED4" w:rsidRDefault="00052ED4" w:rsidP="00052ED4">
      <w:pPr>
        <w:pStyle w:val="21ElementsText"/>
        <w:rPr>
          <w:iCs/>
        </w:rPr>
      </w:pPr>
    </w:p>
    <w:p w14:paraId="684E63F1" w14:textId="77777777" w:rsidR="00052ED4" w:rsidRPr="00D651BA" w:rsidRDefault="00052ED4" w:rsidP="00052ED4">
      <w:pPr>
        <w:pStyle w:val="21ElementsText"/>
        <w:rPr>
          <w:iCs/>
        </w:rPr>
      </w:pPr>
      <w:r>
        <w:rPr>
          <w:iCs/>
        </w:rPr>
        <w:t>P</w:t>
      </w:r>
      <w:r w:rsidRPr="00D651BA">
        <w:rPr>
          <w:iCs/>
        </w:rPr>
        <w:t>ersonal communication from Gabriel Rogin</w:t>
      </w:r>
      <w:r>
        <w:rPr>
          <w:iCs/>
        </w:rPr>
        <w:t xml:space="preserve"> </w:t>
      </w:r>
      <w:r w:rsidRPr="00D651BA">
        <w:rPr>
          <w:iCs/>
        </w:rPr>
        <w:t>Supervisor, Community Resource Development, Golden Gate Regional Center, May 14th, 2013</w:t>
      </w:r>
      <w:r>
        <w:rPr>
          <w:iCs/>
        </w:rPr>
        <w:t xml:space="preserve">. </w:t>
      </w:r>
    </w:p>
    <w:p w14:paraId="225D06AB" w14:textId="77777777" w:rsidR="00052ED4" w:rsidRDefault="00052ED4" w:rsidP="00052ED4">
      <w:pPr>
        <w:pStyle w:val="21ElementsText"/>
        <w:rPr>
          <w:iCs/>
        </w:rPr>
      </w:pPr>
    </w:p>
    <w:p w14:paraId="65D59A19" w14:textId="77777777" w:rsidR="00052ED4" w:rsidRDefault="00052ED4" w:rsidP="00052ED4">
      <w:pPr>
        <w:pStyle w:val="21ElementsText"/>
      </w:pPr>
      <w:r>
        <w:t xml:space="preserve">RealFacts Annual Trends repot 2005-2013. </w:t>
      </w:r>
    </w:p>
    <w:p w14:paraId="4E8591F7" w14:textId="77777777" w:rsidR="00052ED4" w:rsidRPr="006F6E0E" w:rsidRDefault="00052ED4" w:rsidP="00052ED4">
      <w:pPr>
        <w:pStyle w:val="21ElementsText"/>
        <w:rPr>
          <w:iCs/>
          <w:szCs w:val="22"/>
        </w:rPr>
      </w:pPr>
      <w:r w:rsidRPr="006F6E0E">
        <w:rPr>
          <w:szCs w:val="22"/>
        </w:rPr>
        <w:t xml:space="preserve">Notes: </w:t>
      </w:r>
      <w:r w:rsidRPr="006F6E0E">
        <w:rPr>
          <w:iCs/>
          <w:szCs w:val="22"/>
        </w:rPr>
        <w:t>Based on reporting from large apartment complexes</w:t>
      </w:r>
      <w:r>
        <w:rPr>
          <w:iCs/>
          <w:szCs w:val="22"/>
        </w:rPr>
        <w:t xml:space="preserve"> (50 or more units)</w:t>
      </w:r>
      <w:r w:rsidRPr="006F6E0E">
        <w:rPr>
          <w:iCs/>
          <w:szCs w:val="22"/>
        </w:rPr>
        <w:t xml:space="preserve">. </w:t>
      </w:r>
    </w:p>
    <w:p w14:paraId="753D853F" w14:textId="77777777" w:rsidR="00052ED4" w:rsidRDefault="00052ED4" w:rsidP="00052ED4">
      <w:pPr>
        <w:pStyle w:val="21ElementsText"/>
      </w:pPr>
    </w:p>
    <w:p w14:paraId="542DBDE4" w14:textId="77777777" w:rsidR="00052ED4" w:rsidRDefault="00052ED4" w:rsidP="00052ED4">
      <w:pPr>
        <w:pStyle w:val="21ElementsText"/>
        <w:rPr>
          <w:iCs/>
        </w:rPr>
      </w:pPr>
      <w:r>
        <w:rPr>
          <w:iCs/>
        </w:rPr>
        <w:t xml:space="preserve">San Mateo County Association of Realtors. </w:t>
      </w:r>
      <w:r w:rsidRPr="00D32DC6">
        <w:rPr>
          <w:iCs/>
        </w:rPr>
        <w:t>San Mateo County Home Sale Statistics</w:t>
      </w:r>
      <w:r>
        <w:rPr>
          <w:iCs/>
        </w:rPr>
        <w:t xml:space="preserve">: Single Family Residences and Common Interest Development. Annual Reports 2005-2012. </w:t>
      </w:r>
      <w:r w:rsidRPr="006F6E0E">
        <w:rPr>
          <w:iCs/>
        </w:rPr>
        <w:t>http://www.samcar.org/index.cfm/sales_statistics.htm</w:t>
      </w:r>
      <w:r>
        <w:rPr>
          <w:iCs/>
        </w:rPr>
        <w:t xml:space="preserve">. </w:t>
      </w:r>
    </w:p>
    <w:p w14:paraId="79DAC557" w14:textId="77777777" w:rsidR="00052ED4" w:rsidRDefault="00052ED4" w:rsidP="00052ED4">
      <w:pPr>
        <w:pStyle w:val="21ElementsText"/>
        <w:rPr>
          <w:iCs/>
        </w:rPr>
      </w:pPr>
    </w:p>
    <w:p w14:paraId="58D1A1ED" w14:textId="77777777" w:rsidR="00052ED4" w:rsidRDefault="00052ED4" w:rsidP="00052ED4">
      <w:pPr>
        <w:pStyle w:val="21ElementsText"/>
        <w:rPr>
          <w:iCs/>
        </w:rPr>
      </w:pPr>
      <w:r>
        <w:rPr>
          <w:iCs/>
        </w:rPr>
        <w:t xml:space="preserve">San Mateo Human Services Agency, Center on Homelessness: </w:t>
      </w:r>
      <w:r w:rsidRPr="003146D7">
        <w:rPr>
          <w:iCs/>
        </w:rPr>
        <w:t>San Mateo County Homeless Census and Survey</w:t>
      </w:r>
      <w:r>
        <w:rPr>
          <w:iCs/>
        </w:rPr>
        <w:t xml:space="preserve">. 2007-2013. </w:t>
      </w:r>
    </w:p>
    <w:p w14:paraId="7D3DDCBB" w14:textId="77777777" w:rsidR="00052ED4" w:rsidRDefault="00052ED4" w:rsidP="00052ED4">
      <w:pPr>
        <w:pStyle w:val="21ElementsText"/>
      </w:pPr>
    </w:p>
    <w:p w14:paraId="4949F7C1" w14:textId="77777777" w:rsidR="00052ED4" w:rsidRDefault="00052ED4" w:rsidP="00052ED4">
      <w:pPr>
        <w:pStyle w:val="21ElementsText"/>
        <w:rPr>
          <w:rStyle w:val="Hyperlink"/>
        </w:rPr>
      </w:pPr>
      <w:r>
        <w:t xml:space="preserve">US Census, 1990-2012. </w:t>
      </w:r>
      <w:r w:rsidRPr="006B6BE5">
        <w:t>www.census.gov</w:t>
      </w:r>
    </w:p>
    <w:p w14:paraId="35B290D7" w14:textId="77777777" w:rsidR="00052ED4" w:rsidRDefault="00052ED4" w:rsidP="00052ED4">
      <w:pPr>
        <w:pStyle w:val="21ElementsText"/>
      </w:pPr>
    </w:p>
    <w:p w14:paraId="1E6B46E6" w14:textId="77777777" w:rsidR="00052ED4" w:rsidRDefault="00052ED4" w:rsidP="00052ED4">
      <w:pPr>
        <w:pStyle w:val="21ElementsText"/>
        <w:rPr>
          <w:iCs/>
        </w:rPr>
      </w:pPr>
      <w:r>
        <w:rPr>
          <w:iCs/>
        </w:rPr>
        <w:t xml:space="preserve">US Department of Health and Human Services. </w:t>
      </w:r>
      <w:r w:rsidRPr="003146D7">
        <w:rPr>
          <w:iCs/>
        </w:rPr>
        <w:t xml:space="preserve">The Developmental Disabilities Assistance and Bill of Right Act. 2000. </w:t>
      </w:r>
    </w:p>
    <w:p w14:paraId="148BA147" w14:textId="77777777" w:rsidR="00052ED4" w:rsidRDefault="00052ED4" w:rsidP="00052ED4">
      <w:pPr>
        <w:pStyle w:val="21ElementsText"/>
        <w:rPr>
          <w:iCs/>
        </w:rPr>
      </w:pPr>
    </w:p>
    <w:p w14:paraId="4BB6CB5A" w14:textId="77777777" w:rsidR="00052ED4" w:rsidRDefault="00052ED4" w:rsidP="00052ED4">
      <w:pPr>
        <w:pStyle w:val="21ElementsText"/>
      </w:pPr>
      <w:r>
        <w:t xml:space="preserve">US Department of Housing and Urban Development. Comprehensive Housing Affordability Strategy (CHAS) Data, 2006-2009. </w:t>
      </w:r>
      <w:r w:rsidRPr="006F6E0E">
        <w:t>http://www.huduser.org/portal/datasets/cp.html</w:t>
      </w:r>
      <w:r>
        <w:t xml:space="preserve"> </w:t>
      </w:r>
    </w:p>
    <w:p w14:paraId="3EA41C21" w14:textId="77777777" w:rsidR="00052ED4" w:rsidRPr="00A5563D" w:rsidRDefault="00052ED4" w:rsidP="00052ED4">
      <w:pPr>
        <w:pStyle w:val="21ElementsText"/>
        <w:rPr>
          <w:szCs w:val="22"/>
        </w:rPr>
      </w:pPr>
      <w:r w:rsidRPr="00A5563D">
        <w:rPr>
          <w:szCs w:val="22"/>
        </w:rPr>
        <w:t xml:space="preserve">Notes: CHAS data is provided to the US Department of Housing and Urban Development by the US census to provide a fuller picture of affordable housing concerns across the country. </w:t>
      </w:r>
    </w:p>
    <w:p w14:paraId="38D7EF10" w14:textId="77777777" w:rsidR="00052ED4" w:rsidRDefault="00052ED4" w:rsidP="00052ED4">
      <w:pPr>
        <w:pStyle w:val="21ElementsText"/>
      </w:pPr>
    </w:p>
    <w:p w14:paraId="4EFB00D1" w14:textId="77777777" w:rsidR="00052ED4" w:rsidRDefault="00052ED4" w:rsidP="00052ED4">
      <w:pPr>
        <w:pStyle w:val="21ElementsText"/>
      </w:pPr>
      <w:r w:rsidRPr="00833E12">
        <w:t>Zillow</w:t>
      </w:r>
      <w:r>
        <w:t xml:space="preserve">, </w:t>
      </w:r>
      <w:r w:rsidRPr="006F6E0E">
        <w:t>www.zillow.com</w:t>
      </w:r>
      <w:r>
        <w:t xml:space="preserve">. </w:t>
      </w:r>
    </w:p>
    <w:p w14:paraId="0E5B411F" w14:textId="77777777" w:rsidR="00052ED4" w:rsidRPr="000A76DF" w:rsidRDefault="00052ED4" w:rsidP="00052ED4">
      <w:pPr>
        <w:pStyle w:val="21ElementsText"/>
        <w:rPr>
          <w:szCs w:val="22"/>
        </w:rPr>
      </w:pPr>
      <w:r w:rsidRPr="000A76DF">
        <w:rPr>
          <w:szCs w:val="22"/>
        </w:rPr>
        <w:t xml:space="preserve">Notes: Zillow is a real estate website which provides both information on for-sale homes and apartment rentals, but also proprietary information on real estate market trends. </w:t>
      </w:r>
    </w:p>
    <w:p w14:paraId="5DDE0B04" w14:textId="77777777" w:rsidR="00052ED4" w:rsidRDefault="00052ED4" w:rsidP="00052ED4">
      <w:pPr>
        <w:pStyle w:val="21ElementsText"/>
      </w:pPr>
    </w:p>
    <w:p w14:paraId="2A59809B" w14:textId="77777777" w:rsidR="00052ED4" w:rsidRDefault="00052ED4" w:rsidP="00052ED4">
      <w:pPr>
        <w:pStyle w:val="21ElementsText"/>
      </w:pPr>
    </w:p>
    <w:p w14:paraId="2048F85A" w14:textId="77777777" w:rsidR="009448F2" w:rsidRDefault="009448F2" w:rsidP="00052ED4">
      <w:pPr>
        <w:pStyle w:val="21ElementsText"/>
      </w:pPr>
    </w:p>
    <w:sectPr w:rsidR="009448F2" w:rsidSect="000D4D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ABC2D" w14:textId="77777777" w:rsidR="006D409D" w:rsidRDefault="006D409D" w:rsidP="001A5CD6">
      <w:r>
        <w:separator/>
      </w:r>
    </w:p>
  </w:endnote>
  <w:endnote w:type="continuationSeparator" w:id="0">
    <w:p w14:paraId="588473C3" w14:textId="77777777" w:rsidR="006D409D" w:rsidRDefault="006D409D" w:rsidP="001A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1163" w14:textId="77777777" w:rsidR="006D409D" w:rsidRDefault="006D409D" w:rsidP="002C3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C6F1A" w14:textId="77777777" w:rsidR="006D409D" w:rsidRDefault="006D409D" w:rsidP="00C923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DB68" w14:textId="77777777" w:rsidR="006D409D" w:rsidRDefault="006D409D" w:rsidP="00067077">
    <w:pPr>
      <w:pStyle w:val="Footer"/>
      <w:tabs>
        <w:tab w:val="clear" w:pos="8640"/>
        <w:tab w:val="right" w:pos="9270"/>
      </w:tabs>
      <w:spacing w:line="240" w:lineRule="auto"/>
      <w:rPr>
        <w:b/>
        <w:sz w:val="20"/>
        <w:szCs w:val="20"/>
      </w:rPr>
    </w:pPr>
  </w:p>
  <w:p w14:paraId="62CAC40F" w14:textId="2001B486" w:rsidR="006D409D" w:rsidRPr="00067077" w:rsidRDefault="006D409D" w:rsidP="00C979B6">
    <w:pPr>
      <w:pStyle w:val="Footer"/>
      <w:shd w:val="clear" w:color="auto" w:fill="0B5095"/>
      <w:tabs>
        <w:tab w:val="clear" w:pos="8640"/>
        <w:tab w:val="right" w:pos="9270"/>
      </w:tabs>
      <w:spacing w:line="240" w:lineRule="auto"/>
      <w:ind w:left="-720" w:right="-810"/>
      <w:rPr>
        <w:b/>
        <w:sz w:val="8"/>
        <w:szCs w:val="20"/>
      </w:rPr>
    </w:pPr>
    <w:r>
      <w:rPr>
        <w:b/>
        <w:sz w:val="8"/>
        <w:szCs w:val="20"/>
      </w:rPr>
      <w:t>-</w:t>
    </w:r>
  </w:p>
  <w:p w14:paraId="2FC6856E" w14:textId="77777777" w:rsidR="006D409D" w:rsidRPr="00067077" w:rsidRDefault="006D409D" w:rsidP="00067077">
    <w:pPr>
      <w:pStyle w:val="Footer"/>
      <w:tabs>
        <w:tab w:val="clear" w:pos="8640"/>
        <w:tab w:val="right" w:pos="9270"/>
      </w:tabs>
      <w:spacing w:line="240" w:lineRule="auto"/>
      <w:rPr>
        <w:b/>
        <w:sz w:val="8"/>
        <w:szCs w:val="20"/>
      </w:rPr>
    </w:pPr>
  </w:p>
  <w:p w14:paraId="5D74D61E" w14:textId="6A101E2F" w:rsidR="006D409D" w:rsidRPr="00067077" w:rsidRDefault="006D409D" w:rsidP="00DC16E6">
    <w:pPr>
      <w:pStyle w:val="Footer"/>
      <w:tabs>
        <w:tab w:val="clear" w:pos="8640"/>
        <w:tab w:val="right" w:pos="9270"/>
      </w:tabs>
      <w:spacing w:line="240" w:lineRule="auto"/>
      <w:rPr>
        <w:rStyle w:val="PageNumber"/>
        <w:b/>
      </w:rPr>
    </w:pPr>
    <w:r>
      <w:rPr>
        <w:b/>
        <w:color w:val="C0504D" w:themeColor="accent2"/>
        <w:sz w:val="20"/>
        <w:szCs w:val="20"/>
      </w:rPr>
      <w:t xml:space="preserve">DRAFT </w:t>
    </w:r>
    <w:r>
      <w:rPr>
        <w:b/>
        <w:sz w:val="20"/>
        <w:szCs w:val="20"/>
      </w:rPr>
      <w:t>Town of Hillsborough</w:t>
    </w:r>
    <w:r w:rsidRPr="00067077">
      <w:rPr>
        <w:b/>
        <w:sz w:val="20"/>
        <w:szCs w:val="20"/>
      </w:rPr>
      <w:t xml:space="preserve"> Housing Element </w:t>
    </w:r>
    <w:r>
      <w:rPr>
        <w:b/>
        <w:sz w:val="20"/>
        <w:szCs w:val="20"/>
      </w:rPr>
      <w:t xml:space="preserve">— Housing Needs Assessment </w:t>
    </w:r>
    <w:r w:rsidRPr="00067077">
      <w:rPr>
        <w:b/>
        <w:sz w:val="20"/>
        <w:szCs w:val="20"/>
      </w:rPr>
      <w:tab/>
    </w:r>
    <w:r w:rsidRPr="00067077">
      <w:rPr>
        <w:rStyle w:val="PageNumber"/>
        <w:b/>
      </w:rPr>
      <w:fldChar w:fldCharType="begin"/>
    </w:r>
    <w:r w:rsidRPr="00067077">
      <w:rPr>
        <w:rStyle w:val="PageNumber"/>
        <w:b/>
      </w:rPr>
      <w:instrText xml:space="preserve">PAGE  </w:instrText>
    </w:r>
    <w:r w:rsidRPr="00067077">
      <w:rPr>
        <w:rStyle w:val="PageNumber"/>
        <w:b/>
      </w:rPr>
      <w:fldChar w:fldCharType="separate"/>
    </w:r>
    <w:r w:rsidR="00B81596">
      <w:rPr>
        <w:rStyle w:val="PageNumber"/>
        <w:b/>
        <w:noProof/>
      </w:rPr>
      <w:t>1</w:t>
    </w:r>
    <w:r w:rsidRPr="00067077">
      <w:rPr>
        <w:rStyle w:val="PageNumber"/>
        <w:b/>
      </w:rPr>
      <w:fldChar w:fldCharType="end"/>
    </w:r>
  </w:p>
  <w:p w14:paraId="4E47E7BB" w14:textId="3B95A69B" w:rsidR="006D409D" w:rsidRPr="00067077" w:rsidRDefault="006D409D" w:rsidP="00DC16E6">
    <w:pPr>
      <w:pStyle w:val="Footer"/>
      <w:tabs>
        <w:tab w:val="clear" w:pos="8640"/>
        <w:tab w:val="right" w:pos="9270"/>
      </w:tabs>
      <w:spacing w:line="240" w:lineRule="auto"/>
      <w:rPr>
        <w:sz w:val="20"/>
        <w:szCs w:val="20"/>
      </w:rPr>
    </w:pPr>
    <w:r w:rsidRPr="0027789E">
      <w:rPr>
        <w:sz w:val="20"/>
        <w:szCs w:val="20"/>
      </w:rPr>
      <w:t xml:space="preserve">Prepared by 21 Elements </w:t>
    </w:r>
    <w:r>
      <w:rPr>
        <w:sz w:val="20"/>
        <w:szCs w:val="20"/>
      </w:rPr>
      <w:t>— January 7,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E04E" w14:textId="77777777" w:rsidR="006D409D" w:rsidRDefault="006D409D" w:rsidP="001A5CD6">
      <w:r>
        <w:separator/>
      </w:r>
    </w:p>
  </w:footnote>
  <w:footnote w:type="continuationSeparator" w:id="0">
    <w:p w14:paraId="31C8AA5A" w14:textId="77777777" w:rsidR="006D409D" w:rsidRDefault="006D409D" w:rsidP="001A5CD6">
      <w:r>
        <w:continuationSeparator/>
      </w:r>
    </w:p>
  </w:footnote>
  <w:footnote w:id="1">
    <w:p w14:paraId="7667FF66" w14:textId="56ED4D3A" w:rsidR="006D409D" w:rsidRPr="00547E58" w:rsidRDefault="006D409D">
      <w:pPr>
        <w:pStyle w:val="FootnoteText"/>
        <w:rPr>
          <w:sz w:val="18"/>
          <w:szCs w:val="18"/>
        </w:rPr>
      </w:pPr>
      <w:r>
        <w:rPr>
          <w:rStyle w:val="FootnoteReference"/>
        </w:rPr>
        <w:footnoteRef/>
      </w:r>
      <w:r>
        <w:t xml:space="preserve"> </w:t>
      </w:r>
      <w:r>
        <w:rPr>
          <w:sz w:val="18"/>
          <w:szCs w:val="18"/>
        </w:rPr>
        <w:t xml:space="preserve">The town of Hillsborough is in contact with Plan Bay Area and ABAG about the projections, which are unrealistic giving Hillsborough’s current zoning and character. </w:t>
      </w:r>
    </w:p>
  </w:footnote>
  <w:footnote w:id="2">
    <w:p w14:paraId="4C14B639" w14:textId="67E10F16" w:rsidR="006D409D" w:rsidRDefault="006D409D">
      <w:pPr>
        <w:pStyle w:val="FootnoteText"/>
      </w:pPr>
      <w:r>
        <w:rPr>
          <w:rStyle w:val="FootnoteReference"/>
        </w:rPr>
        <w:footnoteRef/>
      </w:r>
      <w:r>
        <w:t xml:space="preserve"> </w:t>
      </w:r>
      <w:r w:rsidRPr="00CB4F22">
        <w:rPr>
          <w:sz w:val="18"/>
          <w:szCs w:val="18"/>
        </w:rPr>
        <w:t>The town of Hillsborough has no community care facilities within its boundaries, however, GGRC bases their data on zip codes, and so some areas outside of Hillsborough might be included here.</w:t>
      </w:r>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D8EC" w14:textId="77777777" w:rsidR="006D409D" w:rsidRPr="00ED0B04" w:rsidRDefault="006D409D" w:rsidP="00C979B6">
    <w:pPr>
      <w:pStyle w:val="Header"/>
      <w:shd w:val="clear" w:color="auto" w:fill="0B5095"/>
      <w:ind w:left="-720" w:right="-81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452"/>
    <w:multiLevelType w:val="hybridMultilevel"/>
    <w:tmpl w:val="4DCA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312A"/>
    <w:multiLevelType w:val="hybridMultilevel"/>
    <w:tmpl w:val="A012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F4B93"/>
    <w:multiLevelType w:val="hybridMultilevel"/>
    <w:tmpl w:val="3654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4261A"/>
    <w:multiLevelType w:val="hybridMultilevel"/>
    <w:tmpl w:val="1D4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A601A"/>
    <w:multiLevelType w:val="hybridMultilevel"/>
    <w:tmpl w:val="98569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F0F7D"/>
    <w:multiLevelType w:val="hybridMultilevel"/>
    <w:tmpl w:val="C7E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B01A81"/>
    <w:multiLevelType w:val="hybridMultilevel"/>
    <w:tmpl w:val="0EC6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129C1"/>
    <w:multiLevelType w:val="hybridMultilevel"/>
    <w:tmpl w:val="01B83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35"/>
    <w:rsid w:val="000028BD"/>
    <w:rsid w:val="00030E6D"/>
    <w:rsid w:val="000311E7"/>
    <w:rsid w:val="00034C74"/>
    <w:rsid w:val="00034DAF"/>
    <w:rsid w:val="00041106"/>
    <w:rsid w:val="00042115"/>
    <w:rsid w:val="000440E4"/>
    <w:rsid w:val="00052ED4"/>
    <w:rsid w:val="000532B1"/>
    <w:rsid w:val="00063725"/>
    <w:rsid w:val="00067077"/>
    <w:rsid w:val="00067368"/>
    <w:rsid w:val="000739A6"/>
    <w:rsid w:val="00075DA1"/>
    <w:rsid w:val="00086CF3"/>
    <w:rsid w:val="00097BD4"/>
    <w:rsid w:val="000A31F4"/>
    <w:rsid w:val="000A74D8"/>
    <w:rsid w:val="000B147D"/>
    <w:rsid w:val="000B4CCB"/>
    <w:rsid w:val="000B6780"/>
    <w:rsid w:val="000C7B8B"/>
    <w:rsid w:val="000D1131"/>
    <w:rsid w:val="000D11C8"/>
    <w:rsid w:val="000D4D2F"/>
    <w:rsid w:val="000D7203"/>
    <w:rsid w:val="000E3A2A"/>
    <w:rsid w:val="000F0FCF"/>
    <w:rsid w:val="000F437E"/>
    <w:rsid w:val="001053DB"/>
    <w:rsid w:val="00110D9B"/>
    <w:rsid w:val="001238E6"/>
    <w:rsid w:val="00123FE1"/>
    <w:rsid w:val="001275BC"/>
    <w:rsid w:val="0012782D"/>
    <w:rsid w:val="0013057A"/>
    <w:rsid w:val="00135664"/>
    <w:rsid w:val="001359EF"/>
    <w:rsid w:val="00135F56"/>
    <w:rsid w:val="001443DA"/>
    <w:rsid w:val="001519C3"/>
    <w:rsid w:val="00151B5F"/>
    <w:rsid w:val="0015469F"/>
    <w:rsid w:val="00157635"/>
    <w:rsid w:val="0016073B"/>
    <w:rsid w:val="001624C2"/>
    <w:rsid w:val="00163159"/>
    <w:rsid w:val="00164D19"/>
    <w:rsid w:val="0016570B"/>
    <w:rsid w:val="00170E75"/>
    <w:rsid w:val="00174276"/>
    <w:rsid w:val="0017540C"/>
    <w:rsid w:val="001759FD"/>
    <w:rsid w:val="001774DD"/>
    <w:rsid w:val="00183E2B"/>
    <w:rsid w:val="00192426"/>
    <w:rsid w:val="00195DA8"/>
    <w:rsid w:val="001A39EC"/>
    <w:rsid w:val="001A5CD6"/>
    <w:rsid w:val="001B327D"/>
    <w:rsid w:val="001C0A99"/>
    <w:rsid w:val="001D1AA9"/>
    <w:rsid w:val="001D7056"/>
    <w:rsid w:val="001E732F"/>
    <w:rsid w:val="001F7485"/>
    <w:rsid w:val="002022C2"/>
    <w:rsid w:val="0020362E"/>
    <w:rsid w:val="00206E3A"/>
    <w:rsid w:val="002273B5"/>
    <w:rsid w:val="00242D51"/>
    <w:rsid w:val="00250322"/>
    <w:rsid w:val="00252B73"/>
    <w:rsid w:val="00256487"/>
    <w:rsid w:val="00272981"/>
    <w:rsid w:val="00273BF0"/>
    <w:rsid w:val="00277587"/>
    <w:rsid w:val="0027789E"/>
    <w:rsid w:val="00285AFB"/>
    <w:rsid w:val="00290CDD"/>
    <w:rsid w:val="002917C8"/>
    <w:rsid w:val="00291E6D"/>
    <w:rsid w:val="002977FC"/>
    <w:rsid w:val="002B0550"/>
    <w:rsid w:val="002B0964"/>
    <w:rsid w:val="002B2CD0"/>
    <w:rsid w:val="002B3FE8"/>
    <w:rsid w:val="002B5C17"/>
    <w:rsid w:val="002C1D2B"/>
    <w:rsid w:val="002C36FD"/>
    <w:rsid w:val="002C7068"/>
    <w:rsid w:val="002D018F"/>
    <w:rsid w:val="002E2CC4"/>
    <w:rsid w:val="002E7234"/>
    <w:rsid w:val="002F0614"/>
    <w:rsid w:val="002F20B5"/>
    <w:rsid w:val="002F282F"/>
    <w:rsid w:val="002F42B7"/>
    <w:rsid w:val="00302AE7"/>
    <w:rsid w:val="00304CDB"/>
    <w:rsid w:val="00307843"/>
    <w:rsid w:val="0031059A"/>
    <w:rsid w:val="00314302"/>
    <w:rsid w:val="00343B8C"/>
    <w:rsid w:val="00351A31"/>
    <w:rsid w:val="00351B25"/>
    <w:rsid w:val="003543D6"/>
    <w:rsid w:val="00366A2C"/>
    <w:rsid w:val="003708D3"/>
    <w:rsid w:val="00371AC0"/>
    <w:rsid w:val="0037327B"/>
    <w:rsid w:val="003733EA"/>
    <w:rsid w:val="003745B4"/>
    <w:rsid w:val="00376C14"/>
    <w:rsid w:val="003805C6"/>
    <w:rsid w:val="00385ADE"/>
    <w:rsid w:val="00390FBD"/>
    <w:rsid w:val="003B1324"/>
    <w:rsid w:val="003B2D4B"/>
    <w:rsid w:val="003B2F93"/>
    <w:rsid w:val="003B34C4"/>
    <w:rsid w:val="003B4837"/>
    <w:rsid w:val="003B70CF"/>
    <w:rsid w:val="003C454C"/>
    <w:rsid w:val="003E2ADD"/>
    <w:rsid w:val="003F000A"/>
    <w:rsid w:val="003F135D"/>
    <w:rsid w:val="003F1BCF"/>
    <w:rsid w:val="00403A72"/>
    <w:rsid w:val="00411096"/>
    <w:rsid w:val="0041231F"/>
    <w:rsid w:val="004126F8"/>
    <w:rsid w:val="00412918"/>
    <w:rsid w:val="004154BA"/>
    <w:rsid w:val="0043122A"/>
    <w:rsid w:val="00433EE1"/>
    <w:rsid w:val="00437BE0"/>
    <w:rsid w:val="00456E27"/>
    <w:rsid w:val="00462D64"/>
    <w:rsid w:val="00472596"/>
    <w:rsid w:val="00480DE6"/>
    <w:rsid w:val="00482C89"/>
    <w:rsid w:val="00486082"/>
    <w:rsid w:val="00490CAB"/>
    <w:rsid w:val="0049718F"/>
    <w:rsid w:val="004978CA"/>
    <w:rsid w:val="004A5EC8"/>
    <w:rsid w:val="004B100F"/>
    <w:rsid w:val="004B3740"/>
    <w:rsid w:val="004B3DC4"/>
    <w:rsid w:val="004B6601"/>
    <w:rsid w:val="004C427B"/>
    <w:rsid w:val="004D08BB"/>
    <w:rsid w:val="004D1335"/>
    <w:rsid w:val="004D36F4"/>
    <w:rsid w:val="004F1C15"/>
    <w:rsid w:val="004F4CC5"/>
    <w:rsid w:val="004F7336"/>
    <w:rsid w:val="00507DBA"/>
    <w:rsid w:val="0051150B"/>
    <w:rsid w:val="00511F70"/>
    <w:rsid w:val="0051228F"/>
    <w:rsid w:val="005158C1"/>
    <w:rsid w:val="0052526A"/>
    <w:rsid w:val="00547E58"/>
    <w:rsid w:val="00572ADE"/>
    <w:rsid w:val="005749EB"/>
    <w:rsid w:val="00575BD9"/>
    <w:rsid w:val="005976A1"/>
    <w:rsid w:val="005A5E32"/>
    <w:rsid w:val="005B5E5C"/>
    <w:rsid w:val="005B6E52"/>
    <w:rsid w:val="005C15A0"/>
    <w:rsid w:val="005C4681"/>
    <w:rsid w:val="005C76CD"/>
    <w:rsid w:val="005D0111"/>
    <w:rsid w:val="005D037F"/>
    <w:rsid w:val="005D0BF5"/>
    <w:rsid w:val="005D0F50"/>
    <w:rsid w:val="005D291C"/>
    <w:rsid w:val="005E20C0"/>
    <w:rsid w:val="005E6E61"/>
    <w:rsid w:val="005F33B8"/>
    <w:rsid w:val="005F4AF3"/>
    <w:rsid w:val="005F7A10"/>
    <w:rsid w:val="006009BF"/>
    <w:rsid w:val="006066B9"/>
    <w:rsid w:val="00610A71"/>
    <w:rsid w:val="00615BF7"/>
    <w:rsid w:val="00624F85"/>
    <w:rsid w:val="006253F6"/>
    <w:rsid w:val="00634730"/>
    <w:rsid w:val="0064143A"/>
    <w:rsid w:val="00651989"/>
    <w:rsid w:val="00663BF7"/>
    <w:rsid w:val="006669C0"/>
    <w:rsid w:val="00667D3F"/>
    <w:rsid w:val="00694FD6"/>
    <w:rsid w:val="00695D68"/>
    <w:rsid w:val="00697165"/>
    <w:rsid w:val="006A6AB4"/>
    <w:rsid w:val="006A7CDE"/>
    <w:rsid w:val="006B18C9"/>
    <w:rsid w:val="006B62C3"/>
    <w:rsid w:val="006C4E74"/>
    <w:rsid w:val="006C5372"/>
    <w:rsid w:val="006D409D"/>
    <w:rsid w:val="006D4E02"/>
    <w:rsid w:val="006D5BA4"/>
    <w:rsid w:val="006D6044"/>
    <w:rsid w:val="006E08FB"/>
    <w:rsid w:val="006E694B"/>
    <w:rsid w:val="006F02AC"/>
    <w:rsid w:val="006F316F"/>
    <w:rsid w:val="007008A2"/>
    <w:rsid w:val="00701CC3"/>
    <w:rsid w:val="007120F5"/>
    <w:rsid w:val="00712CC2"/>
    <w:rsid w:val="00715953"/>
    <w:rsid w:val="00716E27"/>
    <w:rsid w:val="00721CBD"/>
    <w:rsid w:val="00724CDC"/>
    <w:rsid w:val="007257E9"/>
    <w:rsid w:val="00725AB4"/>
    <w:rsid w:val="00726380"/>
    <w:rsid w:val="007310D1"/>
    <w:rsid w:val="0073127E"/>
    <w:rsid w:val="007312B3"/>
    <w:rsid w:val="00735721"/>
    <w:rsid w:val="0074261C"/>
    <w:rsid w:val="0075107E"/>
    <w:rsid w:val="007537D1"/>
    <w:rsid w:val="00761863"/>
    <w:rsid w:val="00764BBB"/>
    <w:rsid w:val="00767A57"/>
    <w:rsid w:val="00773F4D"/>
    <w:rsid w:val="007852B6"/>
    <w:rsid w:val="007866AE"/>
    <w:rsid w:val="007939A1"/>
    <w:rsid w:val="007A61EA"/>
    <w:rsid w:val="007B59F9"/>
    <w:rsid w:val="007B67EC"/>
    <w:rsid w:val="007B7EDB"/>
    <w:rsid w:val="007C15A6"/>
    <w:rsid w:val="007C1647"/>
    <w:rsid w:val="007C16AA"/>
    <w:rsid w:val="007C44B8"/>
    <w:rsid w:val="007C6D79"/>
    <w:rsid w:val="007E5593"/>
    <w:rsid w:val="007E5AC0"/>
    <w:rsid w:val="007E658F"/>
    <w:rsid w:val="007F19C8"/>
    <w:rsid w:val="007F1E45"/>
    <w:rsid w:val="007F36E1"/>
    <w:rsid w:val="008002B9"/>
    <w:rsid w:val="008062D2"/>
    <w:rsid w:val="0081297B"/>
    <w:rsid w:val="00812AE9"/>
    <w:rsid w:val="00815D5C"/>
    <w:rsid w:val="0081769B"/>
    <w:rsid w:val="0082463F"/>
    <w:rsid w:val="00832224"/>
    <w:rsid w:val="00832690"/>
    <w:rsid w:val="00841842"/>
    <w:rsid w:val="00845EE3"/>
    <w:rsid w:val="00847F52"/>
    <w:rsid w:val="00853231"/>
    <w:rsid w:val="00861AD2"/>
    <w:rsid w:val="00874CEF"/>
    <w:rsid w:val="00884367"/>
    <w:rsid w:val="00892C0A"/>
    <w:rsid w:val="008B0E4A"/>
    <w:rsid w:val="008B112C"/>
    <w:rsid w:val="008C1A4D"/>
    <w:rsid w:val="008D1973"/>
    <w:rsid w:val="008E58E2"/>
    <w:rsid w:val="00900F95"/>
    <w:rsid w:val="00903898"/>
    <w:rsid w:val="00917AAA"/>
    <w:rsid w:val="009302BC"/>
    <w:rsid w:val="0093125D"/>
    <w:rsid w:val="009314C2"/>
    <w:rsid w:val="009448F2"/>
    <w:rsid w:val="00947469"/>
    <w:rsid w:val="00953768"/>
    <w:rsid w:val="00964F69"/>
    <w:rsid w:val="00972AD5"/>
    <w:rsid w:val="00992C0B"/>
    <w:rsid w:val="00997AD9"/>
    <w:rsid w:val="009A3364"/>
    <w:rsid w:val="009A5ACA"/>
    <w:rsid w:val="009B205F"/>
    <w:rsid w:val="009B52F8"/>
    <w:rsid w:val="009C321B"/>
    <w:rsid w:val="009C4A31"/>
    <w:rsid w:val="009C57FF"/>
    <w:rsid w:val="009C5AFE"/>
    <w:rsid w:val="009D005E"/>
    <w:rsid w:val="009D0B39"/>
    <w:rsid w:val="009D603D"/>
    <w:rsid w:val="009D701F"/>
    <w:rsid w:val="009D71AA"/>
    <w:rsid w:val="009E5339"/>
    <w:rsid w:val="009E5657"/>
    <w:rsid w:val="009E676D"/>
    <w:rsid w:val="009F35D2"/>
    <w:rsid w:val="009F3CA8"/>
    <w:rsid w:val="009F66DF"/>
    <w:rsid w:val="00A03E5F"/>
    <w:rsid w:val="00A129A8"/>
    <w:rsid w:val="00A12E22"/>
    <w:rsid w:val="00A143AB"/>
    <w:rsid w:val="00A22844"/>
    <w:rsid w:val="00A34E33"/>
    <w:rsid w:val="00A4152F"/>
    <w:rsid w:val="00A420C7"/>
    <w:rsid w:val="00A43397"/>
    <w:rsid w:val="00A5376C"/>
    <w:rsid w:val="00A56948"/>
    <w:rsid w:val="00A5720A"/>
    <w:rsid w:val="00A6272D"/>
    <w:rsid w:val="00A63421"/>
    <w:rsid w:val="00A7124B"/>
    <w:rsid w:val="00A82E5D"/>
    <w:rsid w:val="00A92637"/>
    <w:rsid w:val="00A93CE7"/>
    <w:rsid w:val="00AA2DA3"/>
    <w:rsid w:val="00AA593F"/>
    <w:rsid w:val="00AA7DB5"/>
    <w:rsid w:val="00AB2B44"/>
    <w:rsid w:val="00AB3276"/>
    <w:rsid w:val="00AD0EEA"/>
    <w:rsid w:val="00AE265C"/>
    <w:rsid w:val="00AE40F1"/>
    <w:rsid w:val="00AE4558"/>
    <w:rsid w:val="00AE7A6A"/>
    <w:rsid w:val="00AF5A41"/>
    <w:rsid w:val="00B12A04"/>
    <w:rsid w:val="00B13BA9"/>
    <w:rsid w:val="00B152C6"/>
    <w:rsid w:val="00B15C3D"/>
    <w:rsid w:val="00B168E8"/>
    <w:rsid w:val="00B2046A"/>
    <w:rsid w:val="00B20CEE"/>
    <w:rsid w:val="00B2298B"/>
    <w:rsid w:val="00B24B9A"/>
    <w:rsid w:val="00B25236"/>
    <w:rsid w:val="00B40C39"/>
    <w:rsid w:val="00B45B67"/>
    <w:rsid w:val="00B51BDA"/>
    <w:rsid w:val="00B55C7E"/>
    <w:rsid w:val="00B81596"/>
    <w:rsid w:val="00B91736"/>
    <w:rsid w:val="00B92742"/>
    <w:rsid w:val="00B92846"/>
    <w:rsid w:val="00B967B5"/>
    <w:rsid w:val="00BA1843"/>
    <w:rsid w:val="00BA1A0C"/>
    <w:rsid w:val="00BB068D"/>
    <w:rsid w:val="00BB1DF7"/>
    <w:rsid w:val="00BC783E"/>
    <w:rsid w:val="00BC79C7"/>
    <w:rsid w:val="00BD0120"/>
    <w:rsid w:val="00BD182B"/>
    <w:rsid w:val="00BD46FA"/>
    <w:rsid w:val="00BD557D"/>
    <w:rsid w:val="00BD65B3"/>
    <w:rsid w:val="00BE6E94"/>
    <w:rsid w:val="00BE77C6"/>
    <w:rsid w:val="00BF48B0"/>
    <w:rsid w:val="00C03E94"/>
    <w:rsid w:val="00C046D7"/>
    <w:rsid w:val="00C0568E"/>
    <w:rsid w:val="00C0780F"/>
    <w:rsid w:val="00C30273"/>
    <w:rsid w:val="00C34F57"/>
    <w:rsid w:val="00C37606"/>
    <w:rsid w:val="00C37622"/>
    <w:rsid w:val="00C433BE"/>
    <w:rsid w:val="00C43468"/>
    <w:rsid w:val="00C44683"/>
    <w:rsid w:val="00C46520"/>
    <w:rsid w:val="00C47C9B"/>
    <w:rsid w:val="00C61961"/>
    <w:rsid w:val="00C7023D"/>
    <w:rsid w:val="00C76840"/>
    <w:rsid w:val="00C8702E"/>
    <w:rsid w:val="00C923E5"/>
    <w:rsid w:val="00C93E62"/>
    <w:rsid w:val="00C979B6"/>
    <w:rsid w:val="00CA2530"/>
    <w:rsid w:val="00CA5F44"/>
    <w:rsid w:val="00CB4F22"/>
    <w:rsid w:val="00CB7BB7"/>
    <w:rsid w:val="00CC420A"/>
    <w:rsid w:val="00CD17A8"/>
    <w:rsid w:val="00CE1ACC"/>
    <w:rsid w:val="00CF499F"/>
    <w:rsid w:val="00D03FA1"/>
    <w:rsid w:val="00D12632"/>
    <w:rsid w:val="00D138A4"/>
    <w:rsid w:val="00D14D30"/>
    <w:rsid w:val="00D227DC"/>
    <w:rsid w:val="00D22EC0"/>
    <w:rsid w:val="00D25635"/>
    <w:rsid w:val="00D25F3D"/>
    <w:rsid w:val="00D3324F"/>
    <w:rsid w:val="00D33473"/>
    <w:rsid w:val="00D346EB"/>
    <w:rsid w:val="00D35DC0"/>
    <w:rsid w:val="00D37861"/>
    <w:rsid w:val="00D406E6"/>
    <w:rsid w:val="00D40CC8"/>
    <w:rsid w:val="00D424A2"/>
    <w:rsid w:val="00D44C9E"/>
    <w:rsid w:val="00D47833"/>
    <w:rsid w:val="00D4795C"/>
    <w:rsid w:val="00D57ED3"/>
    <w:rsid w:val="00D62236"/>
    <w:rsid w:val="00D7239F"/>
    <w:rsid w:val="00D85134"/>
    <w:rsid w:val="00D972B3"/>
    <w:rsid w:val="00DA5852"/>
    <w:rsid w:val="00DA5EF9"/>
    <w:rsid w:val="00DA6A17"/>
    <w:rsid w:val="00DC16E6"/>
    <w:rsid w:val="00DC2B76"/>
    <w:rsid w:val="00DC7D7C"/>
    <w:rsid w:val="00DD200D"/>
    <w:rsid w:val="00DE082E"/>
    <w:rsid w:val="00DE701F"/>
    <w:rsid w:val="00DE70EF"/>
    <w:rsid w:val="00E02427"/>
    <w:rsid w:val="00E044C5"/>
    <w:rsid w:val="00E14C4A"/>
    <w:rsid w:val="00E15E37"/>
    <w:rsid w:val="00E23125"/>
    <w:rsid w:val="00E36A4E"/>
    <w:rsid w:val="00E4494A"/>
    <w:rsid w:val="00E45F4B"/>
    <w:rsid w:val="00E479CB"/>
    <w:rsid w:val="00E566F2"/>
    <w:rsid w:val="00E601C5"/>
    <w:rsid w:val="00E7092A"/>
    <w:rsid w:val="00E7737F"/>
    <w:rsid w:val="00E80839"/>
    <w:rsid w:val="00E80EDB"/>
    <w:rsid w:val="00E81844"/>
    <w:rsid w:val="00E913AE"/>
    <w:rsid w:val="00E9222B"/>
    <w:rsid w:val="00EA0A95"/>
    <w:rsid w:val="00EA2277"/>
    <w:rsid w:val="00EB1908"/>
    <w:rsid w:val="00EB6D53"/>
    <w:rsid w:val="00EC42E2"/>
    <w:rsid w:val="00ED0B04"/>
    <w:rsid w:val="00EE4FFD"/>
    <w:rsid w:val="00EF05AC"/>
    <w:rsid w:val="00EF3927"/>
    <w:rsid w:val="00EF416C"/>
    <w:rsid w:val="00EF6B03"/>
    <w:rsid w:val="00F12F9F"/>
    <w:rsid w:val="00F27D1E"/>
    <w:rsid w:val="00F352BA"/>
    <w:rsid w:val="00F4100C"/>
    <w:rsid w:val="00F4401E"/>
    <w:rsid w:val="00F441AC"/>
    <w:rsid w:val="00F44AA7"/>
    <w:rsid w:val="00F50779"/>
    <w:rsid w:val="00F513BC"/>
    <w:rsid w:val="00F55768"/>
    <w:rsid w:val="00F65531"/>
    <w:rsid w:val="00F655D7"/>
    <w:rsid w:val="00F6669D"/>
    <w:rsid w:val="00F67AF2"/>
    <w:rsid w:val="00F708B1"/>
    <w:rsid w:val="00F71937"/>
    <w:rsid w:val="00F76EA2"/>
    <w:rsid w:val="00F807F0"/>
    <w:rsid w:val="00F83EF7"/>
    <w:rsid w:val="00F920F4"/>
    <w:rsid w:val="00FA00AB"/>
    <w:rsid w:val="00FA0281"/>
    <w:rsid w:val="00FA21E1"/>
    <w:rsid w:val="00FB25A9"/>
    <w:rsid w:val="00FB4927"/>
    <w:rsid w:val="00FB4E71"/>
    <w:rsid w:val="00FD3ACF"/>
    <w:rsid w:val="00FD5DA4"/>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21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E9"/>
    <w:pPr>
      <w:spacing w:line="288" w:lineRule="auto"/>
    </w:pPr>
    <w:rPr>
      <w:rFonts w:ascii="Century Gothic" w:hAnsi="Century Gothic"/>
      <w:sz w:val="22"/>
    </w:rPr>
  </w:style>
  <w:style w:type="paragraph" w:styleId="Heading1">
    <w:name w:val="heading 1"/>
    <w:basedOn w:val="Normal"/>
    <w:next w:val="Normal"/>
    <w:link w:val="Heading1Char"/>
    <w:uiPriority w:val="9"/>
    <w:qFormat/>
    <w:rsid w:val="00610A71"/>
    <w:pPr>
      <w:keepNext/>
      <w:keepLines/>
      <w:outlineLvl w:val="0"/>
    </w:pPr>
    <w:rPr>
      <w:rFonts w:eastAsiaTheme="majorEastAsia"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35"/>
    <w:pPr>
      <w:ind w:left="720"/>
      <w:contextualSpacing/>
    </w:pPr>
  </w:style>
  <w:style w:type="paragraph" w:customStyle="1" w:styleId="Style1">
    <w:name w:val="Style 1"/>
    <w:rsid w:val="00D25635"/>
    <w:pPr>
      <w:widowControl w:val="0"/>
      <w:autoSpaceDE w:val="0"/>
      <w:autoSpaceDN w:val="0"/>
      <w:adjustRightInd w:val="0"/>
    </w:pPr>
    <w:rPr>
      <w:rFonts w:ascii="Times New Roman" w:eastAsia="Times New Roman" w:hAnsi="Times New Roman" w:cs="Times New Roman"/>
      <w:sz w:val="20"/>
      <w:szCs w:val="20"/>
    </w:rPr>
  </w:style>
  <w:style w:type="paragraph" w:customStyle="1" w:styleId="Style15">
    <w:name w:val="Style 15"/>
    <w:rsid w:val="00D25635"/>
    <w:pPr>
      <w:widowControl w:val="0"/>
      <w:autoSpaceDE w:val="0"/>
      <w:autoSpaceDN w:val="0"/>
      <w:spacing w:before="252"/>
      <w:ind w:left="144" w:right="144"/>
      <w:jc w:val="both"/>
    </w:pPr>
    <w:rPr>
      <w:rFonts w:ascii="Times New Roman" w:eastAsia="Times New Roman" w:hAnsi="Times New Roman" w:cs="Times New Roman"/>
    </w:rPr>
  </w:style>
  <w:style w:type="character" w:customStyle="1" w:styleId="CharacterStyle13">
    <w:name w:val="Character Style 13"/>
    <w:rsid w:val="00D25635"/>
    <w:rPr>
      <w:spacing w:val="2"/>
    </w:rPr>
  </w:style>
  <w:style w:type="paragraph" w:styleId="BalloonText">
    <w:name w:val="Balloon Text"/>
    <w:basedOn w:val="Normal"/>
    <w:link w:val="BalloonTextChar"/>
    <w:uiPriority w:val="99"/>
    <w:semiHidden/>
    <w:unhideWhenUsed/>
    <w:rsid w:val="00D25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6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25635"/>
    <w:rPr>
      <w:sz w:val="16"/>
      <w:szCs w:val="16"/>
    </w:rPr>
  </w:style>
  <w:style w:type="paragraph" w:styleId="CommentText">
    <w:name w:val="annotation text"/>
    <w:basedOn w:val="Normal"/>
    <w:link w:val="CommentTextChar"/>
    <w:uiPriority w:val="99"/>
    <w:semiHidden/>
    <w:unhideWhenUsed/>
    <w:rsid w:val="00D25635"/>
    <w:rPr>
      <w:sz w:val="20"/>
      <w:szCs w:val="20"/>
    </w:rPr>
  </w:style>
  <w:style w:type="character" w:customStyle="1" w:styleId="CommentTextChar">
    <w:name w:val="Comment Text Char"/>
    <w:basedOn w:val="DefaultParagraphFont"/>
    <w:link w:val="CommentText"/>
    <w:uiPriority w:val="99"/>
    <w:semiHidden/>
    <w:rsid w:val="00D25635"/>
    <w:rPr>
      <w:sz w:val="20"/>
      <w:szCs w:val="20"/>
    </w:rPr>
  </w:style>
  <w:style w:type="paragraph" w:styleId="FootnoteText">
    <w:name w:val="footnote text"/>
    <w:basedOn w:val="Normal"/>
    <w:link w:val="FootnoteTextChar"/>
    <w:uiPriority w:val="99"/>
    <w:unhideWhenUsed/>
    <w:rsid w:val="001A5CD6"/>
  </w:style>
  <w:style w:type="character" w:customStyle="1" w:styleId="FootnoteTextChar">
    <w:name w:val="Footnote Text Char"/>
    <w:basedOn w:val="DefaultParagraphFont"/>
    <w:link w:val="FootnoteText"/>
    <w:uiPriority w:val="99"/>
    <w:rsid w:val="001A5CD6"/>
  </w:style>
  <w:style w:type="character" w:styleId="FootnoteReference">
    <w:name w:val="footnote reference"/>
    <w:basedOn w:val="DefaultParagraphFont"/>
    <w:uiPriority w:val="99"/>
    <w:unhideWhenUsed/>
    <w:rsid w:val="001A5CD6"/>
    <w:rPr>
      <w:vertAlign w:val="superscript"/>
    </w:rPr>
  </w:style>
  <w:style w:type="paragraph" w:styleId="CommentSubject">
    <w:name w:val="annotation subject"/>
    <w:basedOn w:val="CommentText"/>
    <w:next w:val="CommentText"/>
    <w:link w:val="CommentSubjectChar"/>
    <w:uiPriority w:val="99"/>
    <w:semiHidden/>
    <w:unhideWhenUsed/>
    <w:rsid w:val="00CA2530"/>
    <w:rPr>
      <w:b/>
      <w:bCs/>
    </w:rPr>
  </w:style>
  <w:style w:type="character" w:customStyle="1" w:styleId="CommentSubjectChar">
    <w:name w:val="Comment Subject Char"/>
    <w:basedOn w:val="CommentTextChar"/>
    <w:link w:val="CommentSubject"/>
    <w:uiPriority w:val="99"/>
    <w:semiHidden/>
    <w:rsid w:val="00CA2530"/>
    <w:rPr>
      <w:b/>
      <w:bCs/>
      <w:sz w:val="20"/>
      <w:szCs w:val="20"/>
    </w:rPr>
  </w:style>
  <w:style w:type="character" w:customStyle="1" w:styleId="Heading1Char">
    <w:name w:val="Heading 1 Char"/>
    <w:basedOn w:val="DefaultParagraphFont"/>
    <w:link w:val="Heading1"/>
    <w:uiPriority w:val="9"/>
    <w:rsid w:val="00610A71"/>
    <w:rPr>
      <w:rFonts w:ascii="Century Gothic" w:eastAsiaTheme="majorEastAsia" w:hAnsi="Century Gothic" w:cstheme="majorBidi"/>
      <w:b/>
      <w:bCs/>
      <w:color w:val="FFFFFF" w:themeColor="background1"/>
      <w:sz w:val="20"/>
      <w:szCs w:val="32"/>
    </w:rPr>
  </w:style>
  <w:style w:type="paragraph" w:styleId="Footer">
    <w:name w:val="footer"/>
    <w:basedOn w:val="Normal"/>
    <w:link w:val="FooterChar"/>
    <w:uiPriority w:val="99"/>
    <w:unhideWhenUsed/>
    <w:rsid w:val="00C923E5"/>
    <w:pPr>
      <w:tabs>
        <w:tab w:val="center" w:pos="4320"/>
        <w:tab w:val="right" w:pos="8640"/>
      </w:tabs>
    </w:pPr>
  </w:style>
  <w:style w:type="character" w:customStyle="1" w:styleId="FooterChar">
    <w:name w:val="Footer Char"/>
    <w:basedOn w:val="DefaultParagraphFont"/>
    <w:link w:val="Footer"/>
    <w:uiPriority w:val="99"/>
    <w:rsid w:val="00C923E5"/>
  </w:style>
  <w:style w:type="character" w:styleId="PageNumber">
    <w:name w:val="page number"/>
    <w:basedOn w:val="DefaultParagraphFont"/>
    <w:uiPriority w:val="99"/>
    <w:semiHidden/>
    <w:unhideWhenUsed/>
    <w:rsid w:val="00C923E5"/>
  </w:style>
  <w:style w:type="paragraph" w:styleId="Header">
    <w:name w:val="header"/>
    <w:basedOn w:val="Normal"/>
    <w:link w:val="HeaderChar"/>
    <w:unhideWhenUsed/>
    <w:rsid w:val="00C923E5"/>
    <w:pPr>
      <w:tabs>
        <w:tab w:val="center" w:pos="4320"/>
        <w:tab w:val="right" w:pos="8640"/>
      </w:tabs>
    </w:pPr>
  </w:style>
  <w:style w:type="character" w:customStyle="1" w:styleId="HeaderChar">
    <w:name w:val="Header Char"/>
    <w:basedOn w:val="DefaultParagraphFont"/>
    <w:link w:val="Header"/>
    <w:rsid w:val="00C923E5"/>
  </w:style>
  <w:style w:type="paragraph" w:styleId="TOCHeading">
    <w:name w:val="TOC Heading"/>
    <w:basedOn w:val="Heading1"/>
    <w:next w:val="Normal"/>
    <w:uiPriority w:val="39"/>
    <w:unhideWhenUsed/>
    <w:qFormat/>
    <w:rsid w:val="003B34C4"/>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semiHidden/>
    <w:unhideWhenUsed/>
    <w:rsid w:val="003B34C4"/>
    <w:pPr>
      <w:spacing w:before="240" w:after="120"/>
    </w:pPr>
    <w:rPr>
      <w:b/>
      <w:caps/>
      <w:szCs w:val="22"/>
      <w:u w:val="single"/>
    </w:rPr>
  </w:style>
  <w:style w:type="paragraph" w:styleId="TOC2">
    <w:name w:val="toc 2"/>
    <w:basedOn w:val="Normal"/>
    <w:next w:val="Normal"/>
    <w:autoRedefine/>
    <w:uiPriority w:val="39"/>
    <w:semiHidden/>
    <w:unhideWhenUsed/>
    <w:rsid w:val="003B34C4"/>
    <w:rPr>
      <w:b/>
      <w:smallCaps/>
      <w:szCs w:val="22"/>
    </w:rPr>
  </w:style>
  <w:style w:type="paragraph" w:styleId="TOC3">
    <w:name w:val="toc 3"/>
    <w:basedOn w:val="Normal"/>
    <w:next w:val="Normal"/>
    <w:autoRedefine/>
    <w:uiPriority w:val="39"/>
    <w:semiHidden/>
    <w:unhideWhenUsed/>
    <w:rsid w:val="003B34C4"/>
    <w:rPr>
      <w:smallCaps/>
      <w:szCs w:val="22"/>
    </w:rPr>
  </w:style>
  <w:style w:type="paragraph" w:styleId="TOC4">
    <w:name w:val="toc 4"/>
    <w:basedOn w:val="Normal"/>
    <w:next w:val="Normal"/>
    <w:autoRedefine/>
    <w:uiPriority w:val="39"/>
    <w:semiHidden/>
    <w:unhideWhenUsed/>
    <w:rsid w:val="003B34C4"/>
    <w:rPr>
      <w:szCs w:val="22"/>
    </w:rPr>
  </w:style>
  <w:style w:type="paragraph" w:styleId="TOC5">
    <w:name w:val="toc 5"/>
    <w:basedOn w:val="Normal"/>
    <w:next w:val="Normal"/>
    <w:autoRedefine/>
    <w:uiPriority w:val="39"/>
    <w:semiHidden/>
    <w:unhideWhenUsed/>
    <w:rsid w:val="003B34C4"/>
    <w:rPr>
      <w:szCs w:val="22"/>
    </w:rPr>
  </w:style>
  <w:style w:type="paragraph" w:styleId="TOC6">
    <w:name w:val="toc 6"/>
    <w:basedOn w:val="Normal"/>
    <w:next w:val="Normal"/>
    <w:autoRedefine/>
    <w:uiPriority w:val="39"/>
    <w:semiHidden/>
    <w:unhideWhenUsed/>
    <w:rsid w:val="003B34C4"/>
    <w:rPr>
      <w:szCs w:val="22"/>
    </w:rPr>
  </w:style>
  <w:style w:type="paragraph" w:styleId="TOC7">
    <w:name w:val="toc 7"/>
    <w:basedOn w:val="Normal"/>
    <w:next w:val="Normal"/>
    <w:autoRedefine/>
    <w:uiPriority w:val="39"/>
    <w:semiHidden/>
    <w:unhideWhenUsed/>
    <w:rsid w:val="003B34C4"/>
    <w:rPr>
      <w:szCs w:val="22"/>
    </w:rPr>
  </w:style>
  <w:style w:type="paragraph" w:styleId="TOC8">
    <w:name w:val="toc 8"/>
    <w:basedOn w:val="Normal"/>
    <w:next w:val="Normal"/>
    <w:autoRedefine/>
    <w:uiPriority w:val="39"/>
    <w:semiHidden/>
    <w:unhideWhenUsed/>
    <w:rsid w:val="003B34C4"/>
    <w:rPr>
      <w:szCs w:val="22"/>
    </w:rPr>
  </w:style>
  <w:style w:type="paragraph" w:styleId="TOC9">
    <w:name w:val="toc 9"/>
    <w:basedOn w:val="Normal"/>
    <w:next w:val="Normal"/>
    <w:autoRedefine/>
    <w:uiPriority w:val="39"/>
    <w:semiHidden/>
    <w:unhideWhenUsed/>
    <w:rsid w:val="003B34C4"/>
    <w:rPr>
      <w:szCs w:val="22"/>
    </w:rPr>
  </w:style>
  <w:style w:type="paragraph" w:customStyle="1" w:styleId="heading10">
    <w:name w:val="heading1"/>
    <w:basedOn w:val="Normal"/>
    <w:qFormat/>
    <w:rsid w:val="009E676D"/>
    <w:pPr>
      <w:tabs>
        <w:tab w:val="left" w:pos="1440"/>
      </w:tabs>
    </w:pPr>
    <w:rPr>
      <w:b/>
      <w:sz w:val="28"/>
      <w:szCs w:val="28"/>
    </w:rPr>
  </w:style>
  <w:style w:type="character" w:styleId="Hyperlink">
    <w:name w:val="Hyperlink"/>
    <w:basedOn w:val="DefaultParagraphFont"/>
    <w:uiPriority w:val="99"/>
    <w:unhideWhenUsed/>
    <w:rsid w:val="007C6D79"/>
    <w:rPr>
      <w:color w:val="0000FF" w:themeColor="hyperlink"/>
      <w:u w:val="single"/>
    </w:rPr>
  </w:style>
  <w:style w:type="paragraph" w:customStyle="1" w:styleId="21ElementsText">
    <w:name w:val="21 Elements Text"/>
    <w:basedOn w:val="Normal"/>
    <w:qFormat/>
    <w:rsid w:val="002F0614"/>
  </w:style>
  <w:style w:type="character" w:styleId="FollowedHyperlink">
    <w:name w:val="FollowedHyperlink"/>
    <w:basedOn w:val="DefaultParagraphFont"/>
    <w:uiPriority w:val="99"/>
    <w:semiHidden/>
    <w:unhideWhenUsed/>
    <w:rsid w:val="002B5C17"/>
    <w:rPr>
      <w:color w:val="800080" w:themeColor="followedHyperlink"/>
      <w:u w:val="single"/>
    </w:rPr>
  </w:style>
  <w:style w:type="paragraph" w:styleId="Revision">
    <w:name w:val="Revision"/>
    <w:hidden/>
    <w:uiPriority w:val="99"/>
    <w:semiHidden/>
    <w:rsid w:val="003B1324"/>
    <w:rPr>
      <w:rFonts w:ascii="Century Gothic" w:hAnsi="Century Gothic"/>
      <w:sz w:val="22"/>
    </w:rPr>
  </w:style>
  <w:style w:type="paragraph" w:customStyle="1" w:styleId="maintext">
    <w:name w:val="main text"/>
    <w:basedOn w:val="Normal"/>
    <w:rsid w:val="00615BF7"/>
    <w:pPr>
      <w:spacing w:after="120" w:line="264" w:lineRule="auto"/>
    </w:pPr>
    <w:rPr>
      <w:rFonts w:ascii="Arial" w:eastAsia="MS Mincho" w:hAnsi="Arial"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E9"/>
    <w:pPr>
      <w:spacing w:line="288" w:lineRule="auto"/>
    </w:pPr>
    <w:rPr>
      <w:rFonts w:ascii="Century Gothic" w:hAnsi="Century Gothic"/>
      <w:sz w:val="22"/>
    </w:rPr>
  </w:style>
  <w:style w:type="paragraph" w:styleId="Heading1">
    <w:name w:val="heading 1"/>
    <w:basedOn w:val="Normal"/>
    <w:next w:val="Normal"/>
    <w:link w:val="Heading1Char"/>
    <w:uiPriority w:val="9"/>
    <w:qFormat/>
    <w:rsid w:val="00610A71"/>
    <w:pPr>
      <w:keepNext/>
      <w:keepLines/>
      <w:outlineLvl w:val="0"/>
    </w:pPr>
    <w:rPr>
      <w:rFonts w:eastAsiaTheme="majorEastAsia"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35"/>
    <w:pPr>
      <w:ind w:left="720"/>
      <w:contextualSpacing/>
    </w:pPr>
  </w:style>
  <w:style w:type="paragraph" w:customStyle="1" w:styleId="Style1">
    <w:name w:val="Style 1"/>
    <w:rsid w:val="00D25635"/>
    <w:pPr>
      <w:widowControl w:val="0"/>
      <w:autoSpaceDE w:val="0"/>
      <w:autoSpaceDN w:val="0"/>
      <w:adjustRightInd w:val="0"/>
    </w:pPr>
    <w:rPr>
      <w:rFonts w:ascii="Times New Roman" w:eastAsia="Times New Roman" w:hAnsi="Times New Roman" w:cs="Times New Roman"/>
      <w:sz w:val="20"/>
      <w:szCs w:val="20"/>
    </w:rPr>
  </w:style>
  <w:style w:type="paragraph" w:customStyle="1" w:styleId="Style15">
    <w:name w:val="Style 15"/>
    <w:rsid w:val="00D25635"/>
    <w:pPr>
      <w:widowControl w:val="0"/>
      <w:autoSpaceDE w:val="0"/>
      <w:autoSpaceDN w:val="0"/>
      <w:spacing w:before="252"/>
      <w:ind w:left="144" w:right="144"/>
      <w:jc w:val="both"/>
    </w:pPr>
    <w:rPr>
      <w:rFonts w:ascii="Times New Roman" w:eastAsia="Times New Roman" w:hAnsi="Times New Roman" w:cs="Times New Roman"/>
    </w:rPr>
  </w:style>
  <w:style w:type="character" w:customStyle="1" w:styleId="CharacterStyle13">
    <w:name w:val="Character Style 13"/>
    <w:rsid w:val="00D25635"/>
    <w:rPr>
      <w:spacing w:val="2"/>
    </w:rPr>
  </w:style>
  <w:style w:type="paragraph" w:styleId="BalloonText">
    <w:name w:val="Balloon Text"/>
    <w:basedOn w:val="Normal"/>
    <w:link w:val="BalloonTextChar"/>
    <w:uiPriority w:val="99"/>
    <w:semiHidden/>
    <w:unhideWhenUsed/>
    <w:rsid w:val="00D25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6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25635"/>
    <w:rPr>
      <w:sz w:val="16"/>
      <w:szCs w:val="16"/>
    </w:rPr>
  </w:style>
  <w:style w:type="paragraph" w:styleId="CommentText">
    <w:name w:val="annotation text"/>
    <w:basedOn w:val="Normal"/>
    <w:link w:val="CommentTextChar"/>
    <w:uiPriority w:val="99"/>
    <w:semiHidden/>
    <w:unhideWhenUsed/>
    <w:rsid w:val="00D25635"/>
    <w:rPr>
      <w:sz w:val="20"/>
      <w:szCs w:val="20"/>
    </w:rPr>
  </w:style>
  <w:style w:type="character" w:customStyle="1" w:styleId="CommentTextChar">
    <w:name w:val="Comment Text Char"/>
    <w:basedOn w:val="DefaultParagraphFont"/>
    <w:link w:val="CommentText"/>
    <w:uiPriority w:val="99"/>
    <w:semiHidden/>
    <w:rsid w:val="00D25635"/>
    <w:rPr>
      <w:sz w:val="20"/>
      <w:szCs w:val="20"/>
    </w:rPr>
  </w:style>
  <w:style w:type="paragraph" w:styleId="FootnoteText">
    <w:name w:val="footnote text"/>
    <w:basedOn w:val="Normal"/>
    <w:link w:val="FootnoteTextChar"/>
    <w:uiPriority w:val="99"/>
    <w:unhideWhenUsed/>
    <w:rsid w:val="001A5CD6"/>
  </w:style>
  <w:style w:type="character" w:customStyle="1" w:styleId="FootnoteTextChar">
    <w:name w:val="Footnote Text Char"/>
    <w:basedOn w:val="DefaultParagraphFont"/>
    <w:link w:val="FootnoteText"/>
    <w:uiPriority w:val="99"/>
    <w:rsid w:val="001A5CD6"/>
  </w:style>
  <w:style w:type="character" w:styleId="FootnoteReference">
    <w:name w:val="footnote reference"/>
    <w:basedOn w:val="DefaultParagraphFont"/>
    <w:uiPriority w:val="99"/>
    <w:unhideWhenUsed/>
    <w:rsid w:val="001A5CD6"/>
    <w:rPr>
      <w:vertAlign w:val="superscript"/>
    </w:rPr>
  </w:style>
  <w:style w:type="paragraph" w:styleId="CommentSubject">
    <w:name w:val="annotation subject"/>
    <w:basedOn w:val="CommentText"/>
    <w:next w:val="CommentText"/>
    <w:link w:val="CommentSubjectChar"/>
    <w:uiPriority w:val="99"/>
    <w:semiHidden/>
    <w:unhideWhenUsed/>
    <w:rsid w:val="00CA2530"/>
    <w:rPr>
      <w:b/>
      <w:bCs/>
    </w:rPr>
  </w:style>
  <w:style w:type="character" w:customStyle="1" w:styleId="CommentSubjectChar">
    <w:name w:val="Comment Subject Char"/>
    <w:basedOn w:val="CommentTextChar"/>
    <w:link w:val="CommentSubject"/>
    <w:uiPriority w:val="99"/>
    <w:semiHidden/>
    <w:rsid w:val="00CA2530"/>
    <w:rPr>
      <w:b/>
      <w:bCs/>
      <w:sz w:val="20"/>
      <w:szCs w:val="20"/>
    </w:rPr>
  </w:style>
  <w:style w:type="character" w:customStyle="1" w:styleId="Heading1Char">
    <w:name w:val="Heading 1 Char"/>
    <w:basedOn w:val="DefaultParagraphFont"/>
    <w:link w:val="Heading1"/>
    <w:uiPriority w:val="9"/>
    <w:rsid w:val="00610A71"/>
    <w:rPr>
      <w:rFonts w:ascii="Century Gothic" w:eastAsiaTheme="majorEastAsia" w:hAnsi="Century Gothic" w:cstheme="majorBidi"/>
      <w:b/>
      <w:bCs/>
      <w:color w:val="FFFFFF" w:themeColor="background1"/>
      <w:sz w:val="20"/>
      <w:szCs w:val="32"/>
    </w:rPr>
  </w:style>
  <w:style w:type="paragraph" w:styleId="Footer">
    <w:name w:val="footer"/>
    <w:basedOn w:val="Normal"/>
    <w:link w:val="FooterChar"/>
    <w:uiPriority w:val="99"/>
    <w:unhideWhenUsed/>
    <w:rsid w:val="00C923E5"/>
    <w:pPr>
      <w:tabs>
        <w:tab w:val="center" w:pos="4320"/>
        <w:tab w:val="right" w:pos="8640"/>
      </w:tabs>
    </w:pPr>
  </w:style>
  <w:style w:type="character" w:customStyle="1" w:styleId="FooterChar">
    <w:name w:val="Footer Char"/>
    <w:basedOn w:val="DefaultParagraphFont"/>
    <w:link w:val="Footer"/>
    <w:uiPriority w:val="99"/>
    <w:rsid w:val="00C923E5"/>
  </w:style>
  <w:style w:type="character" w:styleId="PageNumber">
    <w:name w:val="page number"/>
    <w:basedOn w:val="DefaultParagraphFont"/>
    <w:uiPriority w:val="99"/>
    <w:semiHidden/>
    <w:unhideWhenUsed/>
    <w:rsid w:val="00C923E5"/>
  </w:style>
  <w:style w:type="paragraph" w:styleId="Header">
    <w:name w:val="header"/>
    <w:basedOn w:val="Normal"/>
    <w:link w:val="HeaderChar"/>
    <w:unhideWhenUsed/>
    <w:rsid w:val="00C923E5"/>
    <w:pPr>
      <w:tabs>
        <w:tab w:val="center" w:pos="4320"/>
        <w:tab w:val="right" w:pos="8640"/>
      </w:tabs>
    </w:pPr>
  </w:style>
  <w:style w:type="character" w:customStyle="1" w:styleId="HeaderChar">
    <w:name w:val="Header Char"/>
    <w:basedOn w:val="DefaultParagraphFont"/>
    <w:link w:val="Header"/>
    <w:rsid w:val="00C923E5"/>
  </w:style>
  <w:style w:type="paragraph" w:styleId="TOCHeading">
    <w:name w:val="TOC Heading"/>
    <w:basedOn w:val="Heading1"/>
    <w:next w:val="Normal"/>
    <w:uiPriority w:val="39"/>
    <w:unhideWhenUsed/>
    <w:qFormat/>
    <w:rsid w:val="003B34C4"/>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semiHidden/>
    <w:unhideWhenUsed/>
    <w:rsid w:val="003B34C4"/>
    <w:pPr>
      <w:spacing w:before="240" w:after="120"/>
    </w:pPr>
    <w:rPr>
      <w:b/>
      <w:caps/>
      <w:szCs w:val="22"/>
      <w:u w:val="single"/>
    </w:rPr>
  </w:style>
  <w:style w:type="paragraph" w:styleId="TOC2">
    <w:name w:val="toc 2"/>
    <w:basedOn w:val="Normal"/>
    <w:next w:val="Normal"/>
    <w:autoRedefine/>
    <w:uiPriority w:val="39"/>
    <w:semiHidden/>
    <w:unhideWhenUsed/>
    <w:rsid w:val="003B34C4"/>
    <w:rPr>
      <w:b/>
      <w:smallCaps/>
      <w:szCs w:val="22"/>
    </w:rPr>
  </w:style>
  <w:style w:type="paragraph" w:styleId="TOC3">
    <w:name w:val="toc 3"/>
    <w:basedOn w:val="Normal"/>
    <w:next w:val="Normal"/>
    <w:autoRedefine/>
    <w:uiPriority w:val="39"/>
    <w:semiHidden/>
    <w:unhideWhenUsed/>
    <w:rsid w:val="003B34C4"/>
    <w:rPr>
      <w:smallCaps/>
      <w:szCs w:val="22"/>
    </w:rPr>
  </w:style>
  <w:style w:type="paragraph" w:styleId="TOC4">
    <w:name w:val="toc 4"/>
    <w:basedOn w:val="Normal"/>
    <w:next w:val="Normal"/>
    <w:autoRedefine/>
    <w:uiPriority w:val="39"/>
    <w:semiHidden/>
    <w:unhideWhenUsed/>
    <w:rsid w:val="003B34C4"/>
    <w:rPr>
      <w:szCs w:val="22"/>
    </w:rPr>
  </w:style>
  <w:style w:type="paragraph" w:styleId="TOC5">
    <w:name w:val="toc 5"/>
    <w:basedOn w:val="Normal"/>
    <w:next w:val="Normal"/>
    <w:autoRedefine/>
    <w:uiPriority w:val="39"/>
    <w:semiHidden/>
    <w:unhideWhenUsed/>
    <w:rsid w:val="003B34C4"/>
    <w:rPr>
      <w:szCs w:val="22"/>
    </w:rPr>
  </w:style>
  <w:style w:type="paragraph" w:styleId="TOC6">
    <w:name w:val="toc 6"/>
    <w:basedOn w:val="Normal"/>
    <w:next w:val="Normal"/>
    <w:autoRedefine/>
    <w:uiPriority w:val="39"/>
    <w:semiHidden/>
    <w:unhideWhenUsed/>
    <w:rsid w:val="003B34C4"/>
    <w:rPr>
      <w:szCs w:val="22"/>
    </w:rPr>
  </w:style>
  <w:style w:type="paragraph" w:styleId="TOC7">
    <w:name w:val="toc 7"/>
    <w:basedOn w:val="Normal"/>
    <w:next w:val="Normal"/>
    <w:autoRedefine/>
    <w:uiPriority w:val="39"/>
    <w:semiHidden/>
    <w:unhideWhenUsed/>
    <w:rsid w:val="003B34C4"/>
    <w:rPr>
      <w:szCs w:val="22"/>
    </w:rPr>
  </w:style>
  <w:style w:type="paragraph" w:styleId="TOC8">
    <w:name w:val="toc 8"/>
    <w:basedOn w:val="Normal"/>
    <w:next w:val="Normal"/>
    <w:autoRedefine/>
    <w:uiPriority w:val="39"/>
    <w:semiHidden/>
    <w:unhideWhenUsed/>
    <w:rsid w:val="003B34C4"/>
    <w:rPr>
      <w:szCs w:val="22"/>
    </w:rPr>
  </w:style>
  <w:style w:type="paragraph" w:styleId="TOC9">
    <w:name w:val="toc 9"/>
    <w:basedOn w:val="Normal"/>
    <w:next w:val="Normal"/>
    <w:autoRedefine/>
    <w:uiPriority w:val="39"/>
    <w:semiHidden/>
    <w:unhideWhenUsed/>
    <w:rsid w:val="003B34C4"/>
    <w:rPr>
      <w:szCs w:val="22"/>
    </w:rPr>
  </w:style>
  <w:style w:type="paragraph" w:customStyle="1" w:styleId="heading10">
    <w:name w:val="heading1"/>
    <w:basedOn w:val="Normal"/>
    <w:qFormat/>
    <w:rsid w:val="009E676D"/>
    <w:pPr>
      <w:tabs>
        <w:tab w:val="left" w:pos="1440"/>
      </w:tabs>
    </w:pPr>
    <w:rPr>
      <w:b/>
      <w:sz w:val="28"/>
      <w:szCs w:val="28"/>
    </w:rPr>
  </w:style>
  <w:style w:type="character" w:styleId="Hyperlink">
    <w:name w:val="Hyperlink"/>
    <w:basedOn w:val="DefaultParagraphFont"/>
    <w:uiPriority w:val="99"/>
    <w:unhideWhenUsed/>
    <w:rsid w:val="007C6D79"/>
    <w:rPr>
      <w:color w:val="0000FF" w:themeColor="hyperlink"/>
      <w:u w:val="single"/>
    </w:rPr>
  </w:style>
  <w:style w:type="paragraph" w:customStyle="1" w:styleId="21ElementsText">
    <w:name w:val="21 Elements Text"/>
    <w:basedOn w:val="Normal"/>
    <w:qFormat/>
    <w:rsid w:val="002F0614"/>
  </w:style>
  <w:style w:type="character" w:styleId="FollowedHyperlink">
    <w:name w:val="FollowedHyperlink"/>
    <w:basedOn w:val="DefaultParagraphFont"/>
    <w:uiPriority w:val="99"/>
    <w:semiHidden/>
    <w:unhideWhenUsed/>
    <w:rsid w:val="002B5C17"/>
    <w:rPr>
      <w:color w:val="800080" w:themeColor="followedHyperlink"/>
      <w:u w:val="single"/>
    </w:rPr>
  </w:style>
  <w:style w:type="paragraph" w:styleId="Revision">
    <w:name w:val="Revision"/>
    <w:hidden/>
    <w:uiPriority w:val="99"/>
    <w:semiHidden/>
    <w:rsid w:val="003B1324"/>
    <w:rPr>
      <w:rFonts w:ascii="Century Gothic" w:hAnsi="Century Gothic"/>
      <w:sz w:val="22"/>
    </w:rPr>
  </w:style>
  <w:style w:type="paragraph" w:customStyle="1" w:styleId="maintext">
    <w:name w:val="main text"/>
    <w:basedOn w:val="Normal"/>
    <w:rsid w:val="00615BF7"/>
    <w:pPr>
      <w:spacing w:after="120" w:line="264" w:lineRule="auto"/>
    </w:pPr>
    <w:rPr>
      <w:rFonts w:ascii="Arial" w:eastAsia="MS Mincho" w:hAnsi="Arial"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00">
      <w:bodyDiv w:val="1"/>
      <w:marLeft w:val="0"/>
      <w:marRight w:val="0"/>
      <w:marTop w:val="0"/>
      <w:marBottom w:val="0"/>
      <w:divBdr>
        <w:top w:val="none" w:sz="0" w:space="0" w:color="auto"/>
        <w:left w:val="none" w:sz="0" w:space="0" w:color="auto"/>
        <w:bottom w:val="none" w:sz="0" w:space="0" w:color="auto"/>
        <w:right w:val="none" w:sz="0" w:space="0" w:color="auto"/>
      </w:divBdr>
    </w:div>
    <w:div w:id="61800953">
      <w:bodyDiv w:val="1"/>
      <w:marLeft w:val="0"/>
      <w:marRight w:val="0"/>
      <w:marTop w:val="0"/>
      <w:marBottom w:val="0"/>
      <w:divBdr>
        <w:top w:val="none" w:sz="0" w:space="0" w:color="auto"/>
        <w:left w:val="none" w:sz="0" w:space="0" w:color="auto"/>
        <w:bottom w:val="none" w:sz="0" w:space="0" w:color="auto"/>
        <w:right w:val="none" w:sz="0" w:space="0" w:color="auto"/>
      </w:divBdr>
    </w:div>
    <w:div w:id="106045762">
      <w:bodyDiv w:val="1"/>
      <w:marLeft w:val="0"/>
      <w:marRight w:val="0"/>
      <w:marTop w:val="0"/>
      <w:marBottom w:val="0"/>
      <w:divBdr>
        <w:top w:val="none" w:sz="0" w:space="0" w:color="auto"/>
        <w:left w:val="none" w:sz="0" w:space="0" w:color="auto"/>
        <w:bottom w:val="none" w:sz="0" w:space="0" w:color="auto"/>
        <w:right w:val="none" w:sz="0" w:space="0" w:color="auto"/>
      </w:divBdr>
    </w:div>
    <w:div w:id="181281459">
      <w:bodyDiv w:val="1"/>
      <w:marLeft w:val="0"/>
      <w:marRight w:val="0"/>
      <w:marTop w:val="0"/>
      <w:marBottom w:val="0"/>
      <w:divBdr>
        <w:top w:val="none" w:sz="0" w:space="0" w:color="auto"/>
        <w:left w:val="none" w:sz="0" w:space="0" w:color="auto"/>
        <w:bottom w:val="none" w:sz="0" w:space="0" w:color="auto"/>
        <w:right w:val="none" w:sz="0" w:space="0" w:color="auto"/>
      </w:divBdr>
    </w:div>
    <w:div w:id="222647113">
      <w:bodyDiv w:val="1"/>
      <w:marLeft w:val="0"/>
      <w:marRight w:val="0"/>
      <w:marTop w:val="0"/>
      <w:marBottom w:val="0"/>
      <w:divBdr>
        <w:top w:val="none" w:sz="0" w:space="0" w:color="auto"/>
        <w:left w:val="none" w:sz="0" w:space="0" w:color="auto"/>
        <w:bottom w:val="none" w:sz="0" w:space="0" w:color="auto"/>
        <w:right w:val="none" w:sz="0" w:space="0" w:color="auto"/>
      </w:divBdr>
    </w:div>
    <w:div w:id="243998985">
      <w:bodyDiv w:val="1"/>
      <w:marLeft w:val="0"/>
      <w:marRight w:val="0"/>
      <w:marTop w:val="0"/>
      <w:marBottom w:val="0"/>
      <w:divBdr>
        <w:top w:val="none" w:sz="0" w:space="0" w:color="auto"/>
        <w:left w:val="none" w:sz="0" w:space="0" w:color="auto"/>
        <w:bottom w:val="none" w:sz="0" w:space="0" w:color="auto"/>
        <w:right w:val="none" w:sz="0" w:space="0" w:color="auto"/>
      </w:divBdr>
    </w:div>
    <w:div w:id="291057446">
      <w:bodyDiv w:val="1"/>
      <w:marLeft w:val="0"/>
      <w:marRight w:val="0"/>
      <w:marTop w:val="0"/>
      <w:marBottom w:val="0"/>
      <w:divBdr>
        <w:top w:val="none" w:sz="0" w:space="0" w:color="auto"/>
        <w:left w:val="none" w:sz="0" w:space="0" w:color="auto"/>
        <w:bottom w:val="none" w:sz="0" w:space="0" w:color="auto"/>
        <w:right w:val="none" w:sz="0" w:space="0" w:color="auto"/>
      </w:divBdr>
    </w:div>
    <w:div w:id="313067677">
      <w:bodyDiv w:val="1"/>
      <w:marLeft w:val="0"/>
      <w:marRight w:val="0"/>
      <w:marTop w:val="0"/>
      <w:marBottom w:val="0"/>
      <w:divBdr>
        <w:top w:val="none" w:sz="0" w:space="0" w:color="auto"/>
        <w:left w:val="none" w:sz="0" w:space="0" w:color="auto"/>
        <w:bottom w:val="none" w:sz="0" w:space="0" w:color="auto"/>
        <w:right w:val="none" w:sz="0" w:space="0" w:color="auto"/>
      </w:divBdr>
    </w:div>
    <w:div w:id="357125461">
      <w:bodyDiv w:val="1"/>
      <w:marLeft w:val="0"/>
      <w:marRight w:val="0"/>
      <w:marTop w:val="0"/>
      <w:marBottom w:val="0"/>
      <w:divBdr>
        <w:top w:val="none" w:sz="0" w:space="0" w:color="auto"/>
        <w:left w:val="none" w:sz="0" w:space="0" w:color="auto"/>
        <w:bottom w:val="none" w:sz="0" w:space="0" w:color="auto"/>
        <w:right w:val="none" w:sz="0" w:space="0" w:color="auto"/>
      </w:divBdr>
    </w:div>
    <w:div w:id="411313846">
      <w:bodyDiv w:val="1"/>
      <w:marLeft w:val="0"/>
      <w:marRight w:val="0"/>
      <w:marTop w:val="0"/>
      <w:marBottom w:val="0"/>
      <w:divBdr>
        <w:top w:val="none" w:sz="0" w:space="0" w:color="auto"/>
        <w:left w:val="none" w:sz="0" w:space="0" w:color="auto"/>
        <w:bottom w:val="none" w:sz="0" w:space="0" w:color="auto"/>
        <w:right w:val="none" w:sz="0" w:space="0" w:color="auto"/>
      </w:divBdr>
    </w:div>
    <w:div w:id="421294184">
      <w:bodyDiv w:val="1"/>
      <w:marLeft w:val="0"/>
      <w:marRight w:val="0"/>
      <w:marTop w:val="0"/>
      <w:marBottom w:val="0"/>
      <w:divBdr>
        <w:top w:val="none" w:sz="0" w:space="0" w:color="auto"/>
        <w:left w:val="none" w:sz="0" w:space="0" w:color="auto"/>
        <w:bottom w:val="none" w:sz="0" w:space="0" w:color="auto"/>
        <w:right w:val="none" w:sz="0" w:space="0" w:color="auto"/>
      </w:divBdr>
    </w:div>
    <w:div w:id="562452724">
      <w:bodyDiv w:val="1"/>
      <w:marLeft w:val="0"/>
      <w:marRight w:val="0"/>
      <w:marTop w:val="0"/>
      <w:marBottom w:val="0"/>
      <w:divBdr>
        <w:top w:val="none" w:sz="0" w:space="0" w:color="auto"/>
        <w:left w:val="none" w:sz="0" w:space="0" w:color="auto"/>
        <w:bottom w:val="none" w:sz="0" w:space="0" w:color="auto"/>
        <w:right w:val="none" w:sz="0" w:space="0" w:color="auto"/>
      </w:divBdr>
    </w:div>
    <w:div w:id="631206772">
      <w:bodyDiv w:val="1"/>
      <w:marLeft w:val="0"/>
      <w:marRight w:val="0"/>
      <w:marTop w:val="0"/>
      <w:marBottom w:val="0"/>
      <w:divBdr>
        <w:top w:val="none" w:sz="0" w:space="0" w:color="auto"/>
        <w:left w:val="none" w:sz="0" w:space="0" w:color="auto"/>
        <w:bottom w:val="none" w:sz="0" w:space="0" w:color="auto"/>
        <w:right w:val="none" w:sz="0" w:space="0" w:color="auto"/>
      </w:divBdr>
    </w:div>
    <w:div w:id="716708367">
      <w:bodyDiv w:val="1"/>
      <w:marLeft w:val="0"/>
      <w:marRight w:val="0"/>
      <w:marTop w:val="0"/>
      <w:marBottom w:val="0"/>
      <w:divBdr>
        <w:top w:val="none" w:sz="0" w:space="0" w:color="auto"/>
        <w:left w:val="none" w:sz="0" w:space="0" w:color="auto"/>
        <w:bottom w:val="none" w:sz="0" w:space="0" w:color="auto"/>
        <w:right w:val="none" w:sz="0" w:space="0" w:color="auto"/>
      </w:divBdr>
    </w:div>
    <w:div w:id="727800052">
      <w:bodyDiv w:val="1"/>
      <w:marLeft w:val="0"/>
      <w:marRight w:val="0"/>
      <w:marTop w:val="0"/>
      <w:marBottom w:val="0"/>
      <w:divBdr>
        <w:top w:val="none" w:sz="0" w:space="0" w:color="auto"/>
        <w:left w:val="none" w:sz="0" w:space="0" w:color="auto"/>
        <w:bottom w:val="none" w:sz="0" w:space="0" w:color="auto"/>
        <w:right w:val="none" w:sz="0" w:space="0" w:color="auto"/>
      </w:divBdr>
    </w:div>
    <w:div w:id="735130376">
      <w:bodyDiv w:val="1"/>
      <w:marLeft w:val="0"/>
      <w:marRight w:val="0"/>
      <w:marTop w:val="0"/>
      <w:marBottom w:val="0"/>
      <w:divBdr>
        <w:top w:val="none" w:sz="0" w:space="0" w:color="auto"/>
        <w:left w:val="none" w:sz="0" w:space="0" w:color="auto"/>
        <w:bottom w:val="none" w:sz="0" w:space="0" w:color="auto"/>
        <w:right w:val="none" w:sz="0" w:space="0" w:color="auto"/>
      </w:divBdr>
    </w:div>
    <w:div w:id="735204982">
      <w:bodyDiv w:val="1"/>
      <w:marLeft w:val="0"/>
      <w:marRight w:val="0"/>
      <w:marTop w:val="0"/>
      <w:marBottom w:val="0"/>
      <w:divBdr>
        <w:top w:val="none" w:sz="0" w:space="0" w:color="auto"/>
        <w:left w:val="none" w:sz="0" w:space="0" w:color="auto"/>
        <w:bottom w:val="none" w:sz="0" w:space="0" w:color="auto"/>
        <w:right w:val="none" w:sz="0" w:space="0" w:color="auto"/>
      </w:divBdr>
    </w:div>
    <w:div w:id="772628672">
      <w:bodyDiv w:val="1"/>
      <w:marLeft w:val="0"/>
      <w:marRight w:val="0"/>
      <w:marTop w:val="0"/>
      <w:marBottom w:val="0"/>
      <w:divBdr>
        <w:top w:val="none" w:sz="0" w:space="0" w:color="auto"/>
        <w:left w:val="none" w:sz="0" w:space="0" w:color="auto"/>
        <w:bottom w:val="none" w:sz="0" w:space="0" w:color="auto"/>
        <w:right w:val="none" w:sz="0" w:space="0" w:color="auto"/>
      </w:divBdr>
    </w:div>
    <w:div w:id="825975975">
      <w:bodyDiv w:val="1"/>
      <w:marLeft w:val="0"/>
      <w:marRight w:val="0"/>
      <w:marTop w:val="0"/>
      <w:marBottom w:val="0"/>
      <w:divBdr>
        <w:top w:val="none" w:sz="0" w:space="0" w:color="auto"/>
        <w:left w:val="none" w:sz="0" w:space="0" w:color="auto"/>
        <w:bottom w:val="none" w:sz="0" w:space="0" w:color="auto"/>
        <w:right w:val="none" w:sz="0" w:space="0" w:color="auto"/>
      </w:divBdr>
    </w:div>
    <w:div w:id="844563463">
      <w:bodyDiv w:val="1"/>
      <w:marLeft w:val="0"/>
      <w:marRight w:val="0"/>
      <w:marTop w:val="0"/>
      <w:marBottom w:val="0"/>
      <w:divBdr>
        <w:top w:val="none" w:sz="0" w:space="0" w:color="auto"/>
        <w:left w:val="none" w:sz="0" w:space="0" w:color="auto"/>
        <w:bottom w:val="none" w:sz="0" w:space="0" w:color="auto"/>
        <w:right w:val="none" w:sz="0" w:space="0" w:color="auto"/>
      </w:divBdr>
    </w:div>
    <w:div w:id="919758245">
      <w:bodyDiv w:val="1"/>
      <w:marLeft w:val="0"/>
      <w:marRight w:val="0"/>
      <w:marTop w:val="0"/>
      <w:marBottom w:val="0"/>
      <w:divBdr>
        <w:top w:val="none" w:sz="0" w:space="0" w:color="auto"/>
        <w:left w:val="none" w:sz="0" w:space="0" w:color="auto"/>
        <w:bottom w:val="none" w:sz="0" w:space="0" w:color="auto"/>
        <w:right w:val="none" w:sz="0" w:space="0" w:color="auto"/>
      </w:divBdr>
    </w:div>
    <w:div w:id="937829513">
      <w:bodyDiv w:val="1"/>
      <w:marLeft w:val="0"/>
      <w:marRight w:val="0"/>
      <w:marTop w:val="0"/>
      <w:marBottom w:val="0"/>
      <w:divBdr>
        <w:top w:val="none" w:sz="0" w:space="0" w:color="auto"/>
        <w:left w:val="none" w:sz="0" w:space="0" w:color="auto"/>
        <w:bottom w:val="none" w:sz="0" w:space="0" w:color="auto"/>
        <w:right w:val="none" w:sz="0" w:space="0" w:color="auto"/>
      </w:divBdr>
    </w:div>
    <w:div w:id="1021471858">
      <w:bodyDiv w:val="1"/>
      <w:marLeft w:val="0"/>
      <w:marRight w:val="0"/>
      <w:marTop w:val="0"/>
      <w:marBottom w:val="0"/>
      <w:divBdr>
        <w:top w:val="none" w:sz="0" w:space="0" w:color="auto"/>
        <w:left w:val="none" w:sz="0" w:space="0" w:color="auto"/>
        <w:bottom w:val="none" w:sz="0" w:space="0" w:color="auto"/>
        <w:right w:val="none" w:sz="0" w:space="0" w:color="auto"/>
      </w:divBdr>
    </w:div>
    <w:div w:id="1036929080">
      <w:bodyDiv w:val="1"/>
      <w:marLeft w:val="0"/>
      <w:marRight w:val="0"/>
      <w:marTop w:val="0"/>
      <w:marBottom w:val="0"/>
      <w:divBdr>
        <w:top w:val="none" w:sz="0" w:space="0" w:color="auto"/>
        <w:left w:val="none" w:sz="0" w:space="0" w:color="auto"/>
        <w:bottom w:val="none" w:sz="0" w:space="0" w:color="auto"/>
        <w:right w:val="none" w:sz="0" w:space="0" w:color="auto"/>
      </w:divBdr>
    </w:div>
    <w:div w:id="1097753400">
      <w:bodyDiv w:val="1"/>
      <w:marLeft w:val="0"/>
      <w:marRight w:val="0"/>
      <w:marTop w:val="0"/>
      <w:marBottom w:val="0"/>
      <w:divBdr>
        <w:top w:val="none" w:sz="0" w:space="0" w:color="auto"/>
        <w:left w:val="none" w:sz="0" w:space="0" w:color="auto"/>
        <w:bottom w:val="none" w:sz="0" w:space="0" w:color="auto"/>
        <w:right w:val="none" w:sz="0" w:space="0" w:color="auto"/>
      </w:divBdr>
    </w:div>
    <w:div w:id="1121072239">
      <w:bodyDiv w:val="1"/>
      <w:marLeft w:val="0"/>
      <w:marRight w:val="0"/>
      <w:marTop w:val="0"/>
      <w:marBottom w:val="0"/>
      <w:divBdr>
        <w:top w:val="none" w:sz="0" w:space="0" w:color="auto"/>
        <w:left w:val="none" w:sz="0" w:space="0" w:color="auto"/>
        <w:bottom w:val="none" w:sz="0" w:space="0" w:color="auto"/>
        <w:right w:val="none" w:sz="0" w:space="0" w:color="auto"/>
      </w:divBdr>
    </w:div>
    <w:div w:id="1182745135">
      <w:bodyDiv w:val="1"/>
      <w:marLeft w:val="0"/>
      <w:marRight w:val="0"/>
      <w:marTop w:val="0"/>
      <w:marBottom w:val="0"/>
      <w:divBdr>
        <w:top w:val="none" w:sz="0" w:space="0" w:color="auto"/>
        <w:left w:val="none" w:sz="0" w:space="0" w:color="auto"/>
        <w:bottom w:val="none" w:sz="0" w:space="0" w:color="auto"/>
        <w:right w:val="none" w:sz="0" w:space="0" w:color="auto"/>
      </w:divBdr>
    </w:div>
    <w:div w:id="1229802725">
      <w:bodyDiv w:val="1"/>
      <w:marLeft w:val="0"/>
      <w:marRight w:val="0"/>
      <w:marTop w:val="0"/>
      <w:marBottom w:val="0"/>
      <w:divBdr>
        <w:top w:val="none" w:sz="0" w:space="0" w:color="auto"/>
        <w:left w:val="none" w:sz="0" w:space="0" w:color="auto"/>
        <w:bottom w:val="none" w:sz="0" w:space="0" w:color="auto"/>
        <w:right w:val="none" w:sz="0" w:space="0" w:color="auto"/>
      </w:divBdr>
    </w:div>
    <w:div w:id="1241911620">
      <w:bodyDiv w:val="1"/>
      <w:marLeft w:val="0"/>
      <w:marRight w:val="0"/>
      <w:marTop w:val="0"/>
      <w:marBottom w:val="0"/>
      <w:divBdr>
        <w:top w:val="none" w:sz="0" w:space="0" w:color="auto"/>
        <w:left w:val="none" w:sz="0" w:space="0" w:color="auto"/>
        <w:bottom w:val="none" w:sz="0" w:space="0" w:color="auto"/>
        <w:right w:val="none" w:sz="0" w:space="0" w:color="auto"/>
      </w:divBdr>
    </w:div>
    <w:div w:id="1246183878">
      <w:bodyDiv w:val="1"/>
      <w:marLeft w:val="0"/>
      <w:marRight w:val="0"/>
      <w:marTop w:val="0"/>
      <w:marBottom w:val="0"/>
      <w:divBdr>
        <w:top w:val="none" w:sz="0" w:space="0" w:color="auto"/>
        <w:left w:val="none" w:sz="0" w:space="0" w:color="auto"/>
        <w:bottom w:val="none" w:sz="0" w:space="0" w:color="auto"/>
        <w:right w:val="none" w:sz="0" w:space="0" w:color="auto"/>
      </w:divBdr>
    </w:div>
    <w:div w:id="1249995861">
      <w:bodyDiv w:val="1"/>
      <w:marLeft w:val="0"/>
      <w:marRight w:val="0"/>
      <w:marTop w:val="0"/>
      <w:marBottom w:val="0"/>
      <w:divBdr>
        <w:top w:val="none" w:sz="0" w:space="0" w:color="auto"/>
        <w:left w:val="none" w:sz="0" w:space="0" w:color="auto"/>
        <w:bottom w:val="none" w:sz="0" w:space="0" w:color="auto"/>
        <w:right w:val="none" w:sz="0" w:space="0" w:color="auto"/>
      </w:divBdr>
    </w:div>
    <w:div w:id="1288853398">
      <w:bodyDiv w:val="1"/>
      <w:marLeft w:val="0"/>
      <w:marRight w:val="0"/>
      <w:marTop w:val="0"/>
      <w:marBottom w:val="0"/>
      <w:divBdr>
        <w:top w:val="none" w:sz="0" w:space="0" w:color="auto"/>
        <w:left w:val="none" w:sz="0" w:space="0" w:color="auto"/>
        <w:bottom w:val="none" w:sz="0" w:space="0" w:color="auto"/>
        <w:right w:val="none" w:sz="0" w:space="0" w:color="auto"/>
      </w:divBdr>
    </w:div>
    <w:div w:id="1451972549">
      <w:bodyDiv w:val="1"/>
      <w:marLeft w:val="0"/>
      <w:marRight w:val="0"/>
      <w:marTop w:val="0"/>
      <w:marBottom w:val="0"/>
      <w:divBdr>
        <w:top w:val="none" w:sz="0" w:space="0" w:color="auto"/>
        <w:left w:val="none" w:sz="0" w:space="0" w:color="auto"/>
        <w:bottom w:val="none" w:sz="0" w:space="0" w:color="auto"/>
        <w:right w:val="none" w:sz="0" w:space="0" w:color="auto"/>
      </w:divBdr>
    </w:div>
    <w:div w:id="1484007915">
      <w:bodyDiv w:val="1"/>
      <w:marLeft w:val="0"/>
      <w:marRight w:val="0"/>
      <w:marTop w:val="0"/>
      <w:marBottom w:val="0"/>
      <w:divBdr>
        <w:top w:val="none" w:sz="0" w:space="0" w:color="auto"/>
        <w:left w:val="none" w:sz="0" w:space="0" w:color="auto"/>
        <w:bottom w:val="none" w:sz="0" w:space="0" w:color="auto"/>
        <w:right w:val="none" w:sz="0" w:space="0" w:color="auto"/>
      </w:divBdr>
    </w:div>
    <w:div w:id="1525510538">
      <w:bodyDiv w:val="1"/>
      <w:marLeft w:val="0"/>
      <w:marRight w:val="0"/>
      <w:marTop w:val="0"/>
      <w:marBottom w:val="0"/>
      <w:divBdr>
        <w:top w:val="none" w:sz="0" w:space="0" w:color="auto"/>
        <w:left w:val="none" w:sz="0" w:space="0" w:color="auto"/>
        <w:bottom w:val="none" w:sz="0" w:space="0" w:color="auto"/>
        <w:right w:val="none" w:sz="0" w:space="0" w:color="auto"/>
      </w:divBdr>
    </w:div>
    <w:div w:id="1537542259">
      <w:bodyDiv w:val="1"/>
      <w:marLeft w:val="0"/>
      <w:marRight w:val="0"/>
      <w:marTop w:val="0"/>
      <w:marBottom w:val="0"/>
      <w:divBdr>
        <w:top w:val="none" w:sz="0" w:space="0" w:color="auto"/>
        <w:left w:val="none" w:sz="0" w:space="0" w:color="auto"/>
        <w:bottom w:val="none" w:sz="0" w:space="0" w:color="auto"/>
        <w:right w:val="none" w:sz="0" w:space="0" w:color="auto"/>
      </w:divBdr>
    </w:div>
    <w:div w:id="1580211132">
      <w:bodyDiv w:val="1"/>
      <w:marLeft w:val="0"/>
      <w:marRight w:val="0"/>
      <w:marTop w:val="0"/>
      <w:marBottom w:val="0"/>
      <w:divBdr>
        <w:top w:val="none" w:sz="0" w:space="0" w:color="auto"/>
        <w:left w:val="none" w:sz="0" w:space="0" w:color="auto"/>
        <w:bottom w:val="none" w:sz="0" w:space="0" w:color="auto"/>
        <w:right w:val="none" w:sz="0" w:space="0" w:color="auto"/>
      </w:divBdr>
    </w:div>
    <w:div w:id="1605848021">
      <w:bodyDiv w:val="1"/>
      <w:marLeft w:val="0"/>
      <w:marRight w:val="0"/>
      <w:marTop w:val="0"/>
      <w:marBottom w:val="0"/>
      <w:divBdr>
        <w:top w:val="none" w:sz="0" w:space="0" w:color="auto"/>
        <w:left w:val="none" w:sz="0" w:space="0" w:color="auto"/>
        <w:bottom w:val="none" w:sz="0" w:space="0" w:color="auto"/>
        <w:right w:val="none" w:sz="0" w:space="0" w:color="auto"/>
      </w:divBdr>
    </w:div>
    <w:div w:id="1625765490">
      <w:bodyDiv w:val="1"/>
      <w:marLeft w:val="0"/>
      <w:marRight w:val="0"/>
      <w:marTop w:val="0"/>
      <w:marBottom w:val="0"/>
      <w:divBdr>
        <w:top w:val="none" w:sz="0" w:space="0" w:color="auto"/>
        <w:left w:val="none" w:sz="0" w:space="0" w:color="auto"/>
        <w:bottom w:val="none" w:sz="0" w:space="0" w:color="auto"/>
        <w:right w:val="none" w:sz="0" w:space="0" w:color="auto"/>
      </w:divBdr>
    </w:div>
    <w:div w:id="1803770047">
      <w:bodyDiv w:val="1"/>
      <w:marLeft w:val="0"/>
      <w:marRight w:val="0"/>
      <w:marTop w:val="0"/>
      <w:marBottom w:val="0"/>
      <w:divBdr>
        <w:top w:val="none" w:sz="0" w:space="0" w:color="auto"/>
        <w:left w:val="none" w:sz="0" w:space="0" w:color="auto"/>
        <w:bottom w:val="none" w:sz="0" w:space="0" w:color="auto"/>
        <w:right w:val="none" w:sz="0" w:space="0" w:color="auto"/>
      </w:divBdr>
    </w:div>
    <w:div w:id="1856066930">
      <w:bodyDiv w:val="1"/>
      <w:marLeft w:val="0"/>
      <w:marRight w:val="0"/>
      <w:marTop w:val="0"/>
      <w:marBottom w:val="0"/>
      <w:divBdr>
        <w:top w:val="none" w:sz="0" w:space="0" w:color="auto"/>
        <w:left w:val="none" w:sz="0" w:space="0" w:color="auto"/>
        <w:bottom w:val="none" w:sz="0" w:space="0" w:color="auto"/>
        <w:right w:val="none" w:sz="0" w:space="0" w:color="auto"/>
      </w:divBdr>
    </w:div>
    <w:div w:id="1903909753">
      <w:bodyDiv w:val="1"/>
      <w:marLeft w:val="0"/>
      <w:marRight w:val="0"/>
      <w:marTop w:val="0"/>
      <w:marBottom w:val="0"/>
      <w:divBdr>
        <w:top w:val="none" w:sz="0" w:space="0" w:color="auto"/>
        <w:left w:val="none" w:sz="0" w:space="0" w:color="auto"/>
        <w:bottom w:val="none" w:sz="0" w:space="0" w:color="auto"/>
        <w:right w:val="none" w:sz="0" w:space="0" w:color="auto"/>
      </w:divBdr>
    </w:div>
    <w:div w:id="1931086933">
      <w:bodyDiv w:val="1"/>
      <w:marLeft w:val="0"/>
      <w:marRight w:val="0"/>
      <w:marTop w:val="0"/>
      <w:marBottom w:val="0"/>
      <w:divBdr>
        <w:top w:val="none" w:sz="0" w:space="0" w:color="auto"/>
        <w:left w:val="none" w:sz="0" w:space="0" w:color="auto"/>
        <w:bottom w:val="none" w:sz="0" w:space="0" w:color="auto"/>
        <w:right w:val="none" w:sz="0" w:space="0" w:color="auto"/>
      </w:divBdr>
    </w:div>
    <w:div w:id="1975477457">
      <w:bodyDiv w:val="1"/>
      <w:marLeft w:val="0"/>
      <w:marRight w:val="0"/>
      <w:marTop w:val="0"/>
      <w:marBottom w:val="0"/>
      <w:divBdr>
        <w:top w:val="none" w:sz="0" w:space="0" w:color="auto"/>
        <w:left w:val="none" w:sz="0" w:space="0" w:color="auto"/>
        <w:bottom w:val="none" w:sz="0" w:space="0" w:color="auto"/>
        <w:right w:val="none" w:sz="0" w:space="0" w:color="auto"/>
      </w:divBdr>
    </w:div>
    <w:div w:id="1985155748">
      <w:bodyDiv w:val="1"/>
      <w:marLeft w:val="0"/>
      <w:marRight w:val="0"/>
      <w:marTop w:val="0"/>
      <w:marBottom w:val="0"/>
      <w:divBdr>
        <w:top w:val="none" w:sz="0" w:space="0" w:color="auto"/>
        <w:left w:val="none" w:sz="0" w:space="0" w:color="auto"/>
        <w:bottom w:val="none" w:sz="0" w:space="0" w:color="auto"/>
        <w:right w:val="none" w:sz="0" w:space="0" w:color="auto"/>
      </w:divBdr>
    </w:div>
    <w:div w:id="1999647232">
      <w:bodyDiv w:val="1"/>
      <w:marLeft w:val="0"/>
      <w:marRight w:val="0"/>
      <w:marTop w:val="0"/>
      <w:marBottom w:val="0"/>
      <w:divBdr>
        <w:top w:val="none" w:sz="0" w:space="0" w:color="auto"/>
        <w:left w:val="none" w:sz="0" w:space="0" w:color="auto"/>
        <w:bottom w:val="none" w:sz="0" w:space="0" w:color="auto"/>
        <w:right w:val="none" w:sz="0" w:space="0" w:color="auto"/>
      </w:divBdr>
    </w:div>
    <w:div w:id="2024168299">
      <w:bodyDiv w:val="1"/>
      <w:marLeft w:val="0"/>
      <w:marRight w:val="0"/>
      <w:marTop w:val="0"/>
      <w:marBottom w:val="0"/>
      <w:divBdr>
        <w:top w:val="none" w:sz="0" w:space="0" w:color="auto"/>
        <w:left w:val="none" w:sz="0" w:space="0" w:color="auto"/>
        <w:bottom w:val="none" w:sz="0" w:space="0" w:color="auto"/>
        <w:right w:val="none" w:sz="0" w:space="0" w:color="auto"/>
      </w:divBdr>
    </w:div>
    <w:div w:id="2058166750">
      <w:bodyDiv w:val="1"/>
      <w:marLeft w:val="0"/>
      <w:marRight w:val="0"/>
      <w:marTop w:val="0"/>
      <w:marBottom w:val="0"/>
      <w:divBdr>
        <w:top w:val="none" w:sz="0" w:space="0" w:color="auto"/>
        <w:left w:val="none" w:sz="0" w:space="0" w:color="auto"/>
        <w:bottom w:val="none" w:sz="0" w:space="0" w:color="auto"/>
        <w:right w:val="none" w:sz="0" w:space="0" w:color="auto"/>
      </w:divBdr>
    </w:div>
    <w:div w:id="2141486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cd.ca.gov/hpd/hrc/rep/state/incNote.html" TargetMode="External"/><Relationship Id="rId20" Type="http://schemas.openxmlformats.org/officeDocument/2006/relationships/hyperlink" Target="http://www.samcar.org/index.cfm/sales_statistics.htm" TargetMode="External"/><Relationship Id="rId21" Type="http://schemas.openxmlformats.org/officeDocument/2006/relationships/chart" Target="charts/chart5.xml"/><Relationship Id="rId22" Type="http://schemas.openxmlformats.org/officeDocument/2006/relationships/image" Target="media/image1.jpeg"/><Relationship Id="rId23" Type="http://schemas.openxmlformats.org/officeDocument/2006/relationships/hyperlink" Target="http://www.dof.ca.gov/research/demographic/reports/view.php" TargetMode="External"/><Relationship Id="rId24" Type="http://schemas.openxmlformats.org/officeDocument/2006/relationships/hyperlink" Target="http://www.ccag.ca.gov/pdf/documents/archive/Final%20Housing%20Needs%20Study%20July%202007.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hyperlink" Target="http://www.dof.ca.gov/research/demographic/reports/projections/P-1/" TargetMode="External"/><Relationship Id="rId12" Type="http://schemas.openxmlformats.org/officeDocument/2006/relationships/hyperlink" Target="http://onebayarea.org/pdf/final_supplemental_reports/FINAL_PBA_Forecast_of_Jobs_Population_and_Housing.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dof.ca.gov/research/demographic/reports/estimates/e-5/2011-20/view.php" TargetMode="Externa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ffbaird:Documents:21%20Element%20RHNA%205%20Work:21%20Elements%20Dec%202013:21%20Elements%20Nov%202013:Pop%20projections%20tabl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alexandra:Documents:B&amp;D:21%20Elements:Housing%20Need%20profiles:Hillsborough:Hillsborough%20Tables%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alexandra:Documents:B&amp;D:21%20Elements:Housing%20Need%20profiles:Hillsborough:Hillsborough%20Tables%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alexandra:Documents:B&amp;D:21%20Elements:Housing%20Need%20profiles:Hillsborough:Hillsborough%20Tables%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alexandra:Documents:B&amp;D:21%20Elements:Housing%20Need%20profiles:Hillsborough:Hillsborough%20Tables%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Population Growth in Hillsborough (1990-2030)</a:t>
            </a:r>
          </a:p>
        </c:rich>
      </c:tx>
      <c:layout/>
      <c:overlay val="0"/>
    </c:title>
    <c:autoTitleDeleted val="0"/>
    <c:plotArea>
      <c:layout/>
      <c:barChart>
        <c:barDir val="col"/>
        <c:grouping val="clustered"/>
        <c:varyColors val="0"/>
        <c:ser>
          <c:idx val="0"/>
          <c:order val="0"/>
          <c:spPr>
            <a:solidFill>
              <a:schemeClr val="accent5"/>
            </a:solidFill>
            <a:ln>
              <a:noFill/>
            </a:ln>
            <a:effectLst>
              <a:outerShdw blurRad="69850" dist="50800" algn="tl" rotWithShape="0">
                <a:srgbClr val="000000">
                  <a:alpha val="38000"/>
                </a:srgbClr>
              </a:outerShdw>
            </a:effectLst>
          </c:spPr>
          <c:invertIfNegative val="0"/>
          <c:cat>
            <c:strRef>
              <c:f>Sheet1!$A$29:$A$33</c:f>
              <c:strCache>
                <c:ptCount val="5"/>
                <c:pt idx="0">
                  <c:v>1990</c:v>
                </c:pt>
                <c:pt idx="1">
                  <c:v>2000</c:v>
                </c:pt>
                <c:pt idx="2">
                  <c:v>2010</c:v>
                </c:pt>
                <c:pt idx="3">
                  <c:v>2020 (Projected)</c:v>
                </c:pt>
                <c:pt idx="4">
                  <c:v>2030 (Projected)</c:v>
                </c:pt>
              </c:strCache>
            </c:strRef>
          </c:cat>
          <c:val>
            <c:numRef>
              <c:f>Sheet1!$B$29:$B$33</c:f>
              <c:numCache>
                <c:formatCode>#,##0</c:formatCode>
                <c:ptCount val="5"/>
                <c:pt idx="0">
                  <c:v>10667.0</c:v>
                </c:pt>
                <c:pt idx="1">
                  <c:v>10825.0</c:v>
                </c:pt>
                <c:pt idx="2">
                  <c:v>10825.0</c:v>
                </c:pt>
                <c:pt idx="3">
                  <c:v>11200.0</c:v>
                </c:pt>
                <c:pt idx="4">
                  <c:v>11600.0</c:v>
                </c:pt>
              </c:numCache>
            </c:numRef>
          </c:val>
        </c:ser>
        <c:dLbls>
          <c:showLegendKey val="0"/>
          <c:showVal val="0"/>
          <c:showCatName val="0"/>
          <c:showSerName val="0"/>
          <c:showPercent val="0"/>
          <c:showBubbleSize val="0"/>
        </c:dLbls>
        <c:gapWidth val="150"/>
        <c:axId val="-2013758088"/>
        <c:axId val="-2013755080"/>
      </c:barChart>
      <c:catAx>
        <c:axId val="-2013758088"/>
        <c:scaling>
          <c:orientation val="minMax"/>
        </c:scaling>
        <c:delete val="0"/>
        <c:axPos val="b"/>
        <c:majorTickMark val="out"/>
        <c:minorTickMark val="none"/>
        <c:tickLblPos val="nextTo"/>
        <c:crossAx val="-2013755080"/>
        <c:crosses val="autoZero"/>
        <c:auto val="1"/>
        <c:lblAlgn val="ctr"/>
        <c:lblOffset val="100"/>
        <c:noMultiLvlLbl val="0"/>
      </c:catAx>
      <c:valAx>
        <c:axId val="-2013755080"/>
        <c:scaling>
          <c:orientation val="minMax"/>
          <c:min val="0.0"/>
        </c:scaling>
        <c:delete val="0"/>
        <c:axPos val="l"/>
        <c:majorGridlines>
          <c:spPr>
            <a:ln>
              <a:noFill/>
            </a:ln>
          </c:spPr>
        </c:majorGridlines>
        <c:numFmt formatCode="#,##0" sourceLinked="1"/>
        <c:majorTickMark val="out"/>
        <c:minorTickMark val="none"/>
        <c:tickLblPos val="nextTo"/>
        <c:crossAx val="-2013758088"/>
        <c:crosses val="autoZero"/>
        <c:crossBetween val="between"/>
      </c:valAx>
    </c:plotArea>
    <c:plotVisOnly val="1"/>
    <c:dispBlanksAs val="gap"/>
    <c:showDLblsOverMax val="0"/>
  </c:chart>
  <c:spPr>
    <a:ln>
      <a:noFill/>
    </a:ln>
  </c:spPr>
  <c:txPr>
    <a:bodyPr/>
    <a:lstStyle/>
    <a:p>
      <a:pPr>
        <a:defRPr>
          <a:latin typeface="Century Gothic"/>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latin typeface="Century Gothic"/>
                <a:cs typeface="Century Gothic"/>
              </a:defRPr>
            </a:pPr>
            <a:r>
              <a:rPr lang="en-US" sz="1000">
                <a:latin typeface="Century Gothic"/>
                <a:cs typeface="Century Gothic"/>
              </a:rPr>
              <a:t>Residential Building Types in Hillsborough</a:t>
            </a:r>
            <a:r>
              <a:rPr lang="en-US" sz="1000" baseline="0">
                <a:latin typeface="Century Gothic"/>
                <a:cs typeface="Century Gothic"/>
              </a:rPr>
              <a:t> (2011)</a:t>
            </a:r>
            <a:endParaRPr lang="en-US" sz="1000">
              <a:latin typeface="Century Gothic"/>
              <a:cs typeface="Century Gothic"/>
            </a:endParaRPr>
          </a:p>
        </c:rich>
      </c:tx>
      <c:layout/>
      <c:overlay val="0"/>
    </c:title>
    <c:autoTitleDeleted val="0"/>
    <c:plotArea>
      <c:layout/>
      <c:pieChart>
        <c:varyColors val="1"/>
        <c:ser>
          <c:idx val="0"/>
          <c:order val="0"/>
          <c:tx>
            <c:strRef>
              <c:f>'for charts'!$B$29:$B$30</c:f>
              <c:strCache>
                <c:ptCount val="1"/>
                <c:pt idx="0">
                  <c:v>Building Type</c:v>
                </c:pt>
              </c:strCache>
            </c:strRef>
          </c:tx>
          <c:dLbls>
            <c:dLbl>
              <c:idx val="0"/>
              <c:layout>
                <c:manualLayout>
                  <c:x val="0.25992523661815"/>
                  <c:y val="-0.171717171717172"/>
                </c:manualLayout>
              </c:layout>
              <c:showLegendKey val="0"/>
              <c:showVal val="0"/>
              <c:showCatName val="1"/>
              <c:showSerName val="0"/>
              <c:showPercent val="1"/>
              <c:showBubbleSize val="0"/>
            </c:dLbl>
            <c:dLbl>
              <c:idx val="1"/>
              <c:layout>
                <c:manualLayout>
                  <c:x val="-0.250920544022906"/>
                  <c:y val="0.0464657069381479"/>
                </c:manualLayout>
              </c:layout>
              <c:showLegendKey val="0"/>
              <c:showVal val="0"/>
              <c:showCatName val="1"/>
              <c:showSerName val="0"/>
              <c:showPercent val="1"/>
              <c:showBubbleSize val="0"/>
            </c:dLbl>
            <c:dLbl>
              <c:idx val="2"/>
              <c:delete val="1"/>
            </c:dLbl>
            <c:dLbl>
              <c:idx val="3"/>
              <c:delete val="1"/>
            </c:dLbl>
            <c:dLbl>
              <c:idx val="4"/>
              <c:delete val="1"/>
            </c:dLbl>
            <c:dLbl>
              <c:idx val="5"/>
              <c:delete val="1"/>
            </c:dLbl>
            <c:dLbl>
              <c:idx val="6"/>
              <c:delete val="1"/>
            </c:dLbl>
            <c:dLbl>
              <c:idx val="7"/>
              <c:delete val="1"/>
            </c:dLbl>
            <c:txPr>
              <a:bodyPr/>
              <a:lstStyle/>
              <a:p>
                <a:pPr>
                  <a:defRPr>
                    <a:latin typeface="Century Gothic"/>
                    <a:cs typeface="Century Gothic"/>
                  </a:defRPr>
                </a:pPr>
                <a:endParaRPr lang="en-US"/>
              </a:p>
            </c:txPr>
            <c:showLegendKey val="0"/>
            <c:showVal val="0"/>
            <c:showCatName val="1"/>
            <c:showSerName val="0"/>
            <c:showPercent val="1"/>
            <c:showBubbleSize val="0"/>
            <c:showLeaderLines val="1"/>
          </c:dLbls>
          <c:cat>
            <c:strRef>
              <c:f>'for charts'!$A$31:$A$38</c:f>
              <c:strCache>
                <c:ptCount val="8"/>
                <c:pt idx="0">
                  <c:v>Single Family Detached</c:v>
                </c:pt>
                <c:pt idx="1">
                  <c:v>Single Family Attached</c:v>
                </c:pt>
                <c:pt idx="2">
                  <c:v>2 units</c:v>
                </c:pt>
                <c:pt idx="3">
                  <c:v>3 or 4 units</c:v>
                </c:pt>
                <c:pt idx="4">
                  <c:v>5 to 9 units</c:v>
                </c:pt>
                <c:pt idx="5">
                  <c:v>10 to 19 units</c:v>
                </c:pt>
                <c:pt idx="6">
                  <c:v>20 or more units</c:v>
                </c:pt>
                <c:pt idx="7">
                  <c:v>Mobile Home or Other</c:v>
                </c:pt>
              </c:strCache>
            </c:strRef>
          </c:cat>
          <c:val>
            <c:numRef>
              <c:f>'for charts'!$B$31:$B$38</c:f>
              <c:numCache>
                <c:formatCode>0%</c:formatCode>
                <c:ptCount val="8"/>
                <c:pt idx="0">
                  <c:v>0.978426729807945</c:v>
                </c:pt>
                <c:pt idx="1">
                  <c:v>0.0178900289397527</c:v>
                </c:pt>
                <c:pt idx="2">
                  <c:v>0.00368324125230202</c:v>
                </c:pt>
                <c:pt idx="3">
                  <c:v>0.0</c:v>
                </c:pt>
                <c:pt idx="4">
                  <c:v>0.0</c:v>
                </c:pt>
                <c:pt idx="5">
                  <c:v>0.0</c:v>
                </c:pt>
                <c:pt idx="6">
                  <c:v>0.0</c:v>
                </c:pt>
                <c:pt idx="7">
                  <c:v>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latin typeface="Century Gothic"/>
                <a:cs typeface="Century Gothic"/>
              </a:defRPr>
            </a:pPr>
            <a:r>
              <a:rPr lang="en-US" sz="1000">
                <a:latin typeface="Century Gothic"/>
                <a:cs typeface="Century Gothic"/>
              </a:rPr>
              <a:t>Tenure</a:t>
            </a:r>
            <a:r>
              <a:rPr lang="en-US" sz="1000" baseline="0">
                <a:latin typeface="Century Gothic"/>
                <a:cs typeface="Century Gothic"/>
              </a:rPr>
              <a:t> of Housing in Hillsborough (2011)</a:t>
            </a:r>
          </a:p>
          <a:p>
            <a:pPr>
              <a:defRPr>
                <a:latin typeface="Century Gothic"/>
                <a:cs typeface="Century Gothic"/>
              </a:defRPr>
            </a:pPr>
            <a:endParaRPr lang="en-US" sz="1000">
              <a:latin typeface="Century Gothic"/>
              <a:cs typeface="Century Gothic"/>
            </a:endParaRPr>
          </a:p>
        </c:rich>
      </c:tx>
      <c:layout>
        <c:manualLayout>
          <c:xMode val="edge"/>
          <c:yMode val="edge"/>
          <c:x val="0.322478123224288"/>
          <c:y val="0.0721649484536082"/>
        </c:manualLayout>
      </c:layout>
      <c:overlay val="0"/>
    </c:title>
    <c:autoTitleDeleted val="0"/>
    <c:plotArea>
      <c:layout/>
      <c:pieChart>
        <c:varyColors val="1"/>
        <c:ser>
          <c:idx val="0"/>
          <c:order val="0"/>
          <c:dLbls>
            <c:dLbl>
              <c:idx val="1"/>
              <c:layout>
                <c:manualLayout>
                  <c:x val="0.209561003328192"/>
                  <c:y val="-0.185567010309278"/>
                </c:manualLayout>
              </c:layout>
              <c:showLegendKey val="0"/>
              <c:showVal val="0"/>
              <c:showCatName val="1"/>
              <c:showSerName val="0"/>
              <c:showPercent val="1"/>
              <c:showBubbleSize val="0"/>
            </c:dLbl>
            <c:dLbl>
              <c:idx val="2"/>
              <c:layout>
                <c:manualLayout>
                  <c:x val="-0.205466433963796"/>
                  <c:y val="0.0252704494412425"/>
                </c:manualLayout>
              </c:layout>
              <c:showLegendKey val="0"/>
              <c:showVal val="0"/>
              <c:showCatName val="1"/>
              <c:showSerName val="0"/>
              <c:showPercent val="1"/>
              <c:showBubbleSize val="0"/>
            </c:dLbl>
            <c:txPr>
              <a:bodyPr/>
              <a:lstStyle/>
              <a:p>
                <a:pPr>
                  <a:defRPr>
                    <a:latin typeface="Century Gothic"/>
                    <a:cs typeface="Century Gothic"/>
                  </a:defRPr>
                </a:pPr>
                <a:endParaRPr lang="en-US"/>
              </a:p>
            </c:txPr>
            <c:showLegendKey val="0"/>
            <c:showVal val="0"/>
            <c:showCatName val="1"/>
            <c:showSerName val="0"/>
            <c:showPercent val="1"/>
            <c:showBubbleSize val="0"/>
            <c:showLeaderLines val="1"/>
          </c:dLbls>
          <c:cat>
            <c:strRef>
              <c:f>'for charts'!$J$25:$J$27</c:f>
              <c:strCache>
                <c:ptCount val="3"/>
                <c:pt idx="0">
                  <c:v>Tenure Type</c:v>
                </c:pt>
                <c:pt idx="1">
                  <c:v>Owners</c:v>
                </c:pt>
                <c:pt idx="2">
                  <c:v>Renters</c:v>
                </c:pt>
              </c:strCache>
            </c:strRef>
          </c:cat>
          <c:val>
            <c:numRef>
              <c:f>'for charts'!$K$25:$K$27</c:f>
              <c:numCache>
                <c:formatCode>0%</c:formatCode>
                <c:ptCount val="3"/>
                <c:pt idx="1">
                  <c:v>0.958143507972665</c:v>
                </c:pt>
                <c:pt idx="2">
                  <c:v>0.0418564920273348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latin typeface="Century Gothic"/>
                <a:cs typeface="Century Gothic"/>
              </a:defRPr>
            </a:pPr>
            <a:r>
              <a:rPr lang="en-US" sz="1000">
                <a:latin typeface="Century Gothic"/>
                <a:cs typeface="Century Gothic"/>
              </a:rPr>
              <a:t>Distribution of Households in Hillsborough</a:t>
            </a:r>
            <a:r>
              <a:rPr lang="en-US" sz="1000" baseline="0">
                <a:latin typeface="Century Gothic"/>
                <a:cs typeface="Century Gothic"/>
              </a:rPr>
              <a:t> </a:t>
            </a:r>
            <a:r>
              <a:rPr lang="en-US" sz="1000">
                <a:latin typeface="Century Gothic"/>
                <a:cs typeface="Century Gothic"/>
              </a:rPr>
              <a:t>by Income (2010)</a:t>
            </a:r>
          </a:p>
        </c:rich>
      </c:tx>
      <c:layout>
        <c:manualLayout>
          <c:xMode val="edge"/>
          <c:yMode val="edge"/>
          <c:x val="0.233889659141445"/>
          <c:y val="0.036989074462578"/>
        </c:manualLayout>
      </c:layout>
      <c:overlay val="0"/>
    </c:title>
    <c:autoTitleDeleted val="0"/>
    <c:plotArea>
      <c:layout/>
      <c:pieChart>
        <c:varyColors val="1"/>
        <c:ser>
          <c:idx val="0"/>
          <c:order val="0"/>
          <c:tx>
            <c:strRef>
              <c:f>'for charts'!$F$4</c:f>
              <c:strCache>
                <c:ptCount val="1"/>
                <c:pt idx="0">
                  <c:v>% of all households</c:v>
                </c:pt>
              </c:strCache>
            </c:strRef>
          </c:tx>
          <c:dLbls>
            <c:dLbl>
              <c:idx val="0"/>
              <c:layout>
                <c:manualLayout>
                  <c:x val="0.235100354461506"/>
                  <c:y val="0.0506800534016293"/>
                </c:manualLayout>
              </c:layout>
              <c:showLegendKey val="0"/>
              <c:showVal val="0"/>
              <c:showCatName val="1"/>
              <c:showSerName val="0"/>
              <c:showPercent val="1"/>
              <c:showBubbleSize val="0"/>
            </c:dLbl>
            <c:dLbl>
              <c:idx val="1"/>
              <c:layout>
                <c:manualLayout>
                  <c:x val="0.230257409684254"/>
                  <c:y val="0.151127155818325"/>
                </c:manualLayout>
              </c:layout>
              <c:showLegendKey val="0"/>
              <c:showVal val="0"/>
              <c:showCatName val="1"/>
              <c:showSerName val="0"/>
              <c:showPercent val="1"/>
              <c:showBubbleSize val="0"/>
            </c:dLbl>
            <c:dLbl>
              <c:idx val="2"/>
              <c:layout>
                <c:manualLayout>
                  <c:x val="0.217298637088969"/>
                  <c:y val="0.20845761926818"/>
                </c:manualLayout>
              </c:layout>
              <c:showLegendKey val="0"/>
              <c:showVal val="0"/>
              <c:showCatName val="1"/>
              <c:showSerName val="0"/>
              <c:showPercent val="1"/>
              <c:showBubbleSize val="0"/>
            </c:dLbl>
            <c:dLbl>
              <c:idx val="3"/>
              <c:layout>
                <c:manualLayout>
                  <c:x val="0.149631968242342"/>
                  <c:y val="0.213950085824047"/>
                </c:manualLayout>
              </c:layout>
              <c:showLegendKey val="0"/>
              <c:showVal val="0"/>
              <c:showCatName val="1"/>
              <c:showSerName val="0"/>
              <c:showPercent val="1"/>
              <c:showBubbleSize val="0"/>
            </c:dLbl>
            <c:dLbl>
              <c:idx val="4"/>
              <c:layout>
                <c:manualLayout>
                  <c:x val="-0.0859047597248018"/>
                  <c:y val="-0.198137754406997"/>
                </c:manualLayout>
              </c:layout>
              <c:showLegendKey val="0"/>
              <c:showVal val="0"/>
              <c:showCatName val="1"/>
              <c:showSerName val="0"/>
              <c:showPercent val="1"/>
              <c:showBubbleSize val="0"/>
            </c:dLbl>
            <c:txPr>
              <a:bodyPr/>
              <a:lstStyle/>
              <a:p>
                <a:pPr>
                  <a:defRPr>
                    <a:latin typeface="Century Gothic"/>
                    <a:cs typeface="Century Gothic"/>
                  </a:defRPr>
                </a:pPr>
                <a:endParaRPr lang="en-US"/>
              </a:p>
            </c:txPr>
            <c:showLegendKey val="0"/>
            <c:showVal val="0"/>
            <c:showCatName val="1"/>
            <c:showSerName val="0"/>
            <c:showPercent val="1"/>
            <c:showBubbleSize val="0"/>
            <c:showLeaderLines val="1"/>
          </c:dLbls>
          <c:cat>
            <c:strRef>
              <c:f>'for charts'!$G$2:$K$3</c:f>
              <c:strCache>
                <c:ptCount val="5"/>
                <c:pt idx="0">
                  <c:v>Extremely Low </c:v>
                </c:pt>
                <c:pt idx="1">
                  <c:v>Very Low </c:v>
                </c:pt>
                <c:pt idx="2">
                  <c:v>Low</c:v>
                </c:pt>
                <c:pt idx="3">
                  <c:v>Moderate</c:v>
                </c:pt>
                <c:pt idx="4">
                  <c:v>Above Moderate</c:v>
                </c:pt>
              </c:strCache>
            </c:strRef>
          </c:cat>
          <c:val>
            <c:numRef>
              <c:f>'for charts'!$G$4:$K$4</c:f>
              <c:numCache>
                <c:formatCode>0%</c:formatCode>
                <c:ptCount val="5"/>
                <c:pt idx="0">
                  <c:v>0.036986301369863</c:v>
                </c:pt>
                <c:pt idx="1">
                  <c:v>0.0410958904109589</c:v>
                </c:pt>
                <c:pt idx="2">
                  <c:v>0.0753424657534246</c:v>
                </c:pt>
                <c:pt idx="3">
                  <c:v>0.0301369863013699</c:v>
                </c:pt>
                <c:pt idx="4">
                  <c:v>0.816438356164383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latin typeface="Century Gothic"/>
                <a:cs typeface="Century Gothic"/>
              </a:defRPr>
            </a:pPr>
            <a:r>
              <a:rPr lang="en-US" sz="1000" baseline="0">
                <a:latin typeface="Century Gothic"/>
                <a:cs typeface="Century Gothic"/>
              </a:rPr>
              <a:t>Hillsborough Households Overpaying for Housing by Income (2011)</a:t>
            </a:r>
            <a:endParaRPr lang="en-US" sz="1000">
              <a:latin typeface="Century Gothic"/>
              <a:cs typeface="Century Gothic"/>
            </a:endParaRPr>
          </a:p>
        </c:rich>
      </c:tx>
      <c:layout/>
      <c:overlay val="0"/>
    </c:title>
    <c:autoTitleDeleted val="0"/>
    <c:plotArea>
      <c:layout/>
      <c:barChart>
        <c:barDir val="bar"/>
        <c:grouping val="clustered"/>
        <c:varyColors val="0"/>
        <c:ser>
          <c:idx val="0"/>
          <c:order val="0"/>
          <c:spPr>
            <a:effectLst>
              <a:outerShdw blurRad="50800" dist="38100" dir="2700000" algn="tl" rotWithShape="0">
                <a:srgbClr val="000000">
                  <a:alpha val="43000"/>
                </a:srgbClr>
              </a:outerShdw>
            </a:effectLst>
          </c:spPr>
          <c:invertIfNegative val="0"/>
          <c:cat>
            <c:multiLvlStrRef>
              <c:f>'for charts'!$A$48:$B$50</c:f>
              <c:multiLvlStrCache>
                <c:ptCount val="3"/>
                <c:lvl>
                  <c:pt idx="0">
                    <c:v>Less than $35,000</c:v>
                  </c:pt>
                  <c:pt idx="1">
                    <c:v>$35,000-$74,999</c:v>
                  </c:pt>
                  <c:pt idx="2">
                    <c:v>$75,000+</c:v>
                  </c:pt>
                </c:lvl>
                <c:lvl>
                  <c:pt idx="0">
                    <c:v>Owners</c:v>
                  </c:pt>
                </c:lvl>
              </c:multiLvlStrCache>
            </c:multiLvlStrRef>
          </c:cat>
          <c:val>
            <c:numRef>
              <c:f>'for charts'!$C$48:$C$50</c:f>
              <c:numCache>
                <c:formatCode>0%</c:formatCode>
                <c:ptCount val="3"/>
                <c:pt idx="0">
                  <c:v>1.0</c:v>
                </c:pt>
                <c:pt idx="1">
                  <c:v>0.855018587360595</c:v>
                </c:pt>
                <c:pt idx="2">
                  <c:v>0.375994465582843</c:v>
                </c:pt>
              </c:numCache>
            </c:numRef>
          </c:val>
        </c:ser>
        <c:dLbls>
          <c:showLegendKey val="0"/>
          <c:showVal val="0"/>
          <c:showCatName val="0"/>
          <c:showSerName val="0"/>
          <c:showPercent val="0"/>
          <c:showBubbleSize val="0"/>
        </c:dLbls>
        <c:gapWidth val="150"/>
        <c:axId val="-2009558280"/>
        <c:axId val="-2009555256"/>
      </c:barChart>
      <c:catAx>
        <c:axId val="-2009558280"/>
        <c:scaling>
          <c:orientation val="minMax"/>
        </c:scaling>
        <c:delete val="0"/>
        <c:axPos val="l"/>
        <c:majorTickMark val="none"/>
        <c:minorTickMark val="none"/>
        <c:tickLblPos val="nextTo"/>
        <c:txPr>
          <a:bodyPr/>
          <a:lstStyle/>
          <a:p>
            <a:pPr>
              <a:defRPr sz="900">
                <a:latin typeface="Century Gothic"/>
                <a:cs typeface="Century Gothic"/>
              </a:defRPr>
            </a:pPr>
            <a:endParaRPr lang="en-US"/>
          </a:p>
        </c:txPr>
        <c:crossAx val="-2009555256"/>
        <c:crosses val="autoZero"/>
        <c:auto val="1"/>
        <c:lblAlgn val="ctr"/>
        <c:lblOffset val="100"/>
        <c:noMultiLvlLbl val="0"/>
      </c:catAx>
      <c:valAx>
        <c:axId val="-2009555256"/>
        <c:scaling>
          <c:orientation val="minMax"/>
        </c:scaling>
        <c:delete val="0"/>
        <c:axPos val="b"/>
        <c:numFmt formatCode="0%" sourceLinked="1"/>
        <c:majorTickMark val="none"/>
        <c:minorTickMark val="none"/>
        <c:tickLblPos val="nextTo"/>
        <c:txPr>
          <a:bodyPr/>
          <a:lstStyle/>
          <a:p>
            <a:pPr>
              <a:defRPr>
                <a:latin typeface="Century Gothic"/>
                <a:cs typeface="Century Gothic"/>
              </a:defRPr>
            </a:pPr>
            <a:endParaRPr lang="en-US"/>
          </a:p>
        </c:txPr>
        <c:crossAx val="-2009558280"/>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0B78D8-41E4-7547-B09A-C850B8BD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41</Pages>
  <Words>10187</Words>
  <Characters>58066</Characters>
  <Application>Microsoft Macintosh Word</Application>
  <DocSecurity>0</DocSecurity>
  <Lines>483</Lines>
  <Paragraphs>136</Paragraphs>
  <ScaleCrop>false</ScaleCrop>
  <Company/>
  <LinksUpToDate>false</LinksUpToDate>
  <CharactersWithSpaces>68117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Goldman</dc:creator>
  <cp:keywords/>
  <dc:description/>
  <cp:lastModifiedBy>Jeffery Baird</cp:lastModifiedBy>
  <cp:revision>7</cp:revision>
  <dcterms:created xsi:type="dcterms:W3CDTF">2014-03-21T23:15:00Z</dcterms:created>
  <dcterms:modified xsi:type="dcterms:W3CDTF">2014-04-18T17:51:00Z</dcterms:modified>
</cp:coreProperties>
</file>